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8"/>
        <w:gridCol w:w="673"/>
        <w:gridCol w:w="355"/>
        <w:gridCol w:w="448"/>
        <w:gridCol w:w="404"/>
        <w:gridCol w:w="151"/>
        <w:gridCol w:w="184"/>
        <w:gridCol w:w="372"/>
        <w:gridCol w:w="540"/>
        <w:gridCol w:w="16"/>
        <w:gridCol w:w="117"/>
        <w:gridCol w:w="147"/>
        <w:gridCol w:w="291"/>
        <w:gridCol w:w="345"/>
        <w:gridCol w:w="211"/>
        <w:gridCol w:w="556"/>
        <w:gridCol w:w="79"/>
        <w:gridCol w:w="70"/>
        <w:gridCol w:w="407"/>
        <w:gridCol w:w="111"/>
        <w:gridCol w:w="394"/>
        <w:gridCol w:w="50"/>
        <w:gridCol w:w="261"/>
        <w:gridCol w:w="295"/>
        <w:gridCol w:w="310"/>
        <w:gridCol w:w="246"/>
        <w:gridCol w:w="556"/>
        <w:gridCol w:w="110"/>
        <w:gridCol w:w="1424"/>
      </w:tblGrid>
      <w:tr w:rsidR="006A701A" w:rsidRPr="008B4FE6" w14:paraId="26819001" w14:textId="77777777" w:rsidTr="0053280C">
        <w:trPr>
          <w:trHeight w:val="1611"/>
        </w:trPr>
        <w:tc>
          <w:tcPr>
            <w:tcW w:w="6427" w:type="dxa"/>
            <w:gridSpan w:val="17"/>
          </w:tcPr>
          <w:p w14:paraId="4FD14D55" w14:textId="5925767E" w:rsidR="006A701A" w:rsidRPr="003973C4" w:rsidRDefault="006A701A" w:rsidP="003973C4">
            <w:pPr>
              <w:spacing w:line="240" w:lineRule="auto"/>
              <w:ind w:hanging="45"/>
              <w:rPr>
                <w:rFonts w:ascii="Times New Roman" w:hAnsi="Times New Roman"/>
                <w:color w:val="000000"/>
                <w:sz w:val="24"/>
                <w:szCs w:val="24"/>
              </w:rPr>
            </w:pPr>
            <w:bookmarkStart w:id="0" w:name="t1"/>
            <w:r w:rsidRPr="003973C4">
              <w:rPr>
                <w:rFonts w:ascii="Times New Roman" w:hAnsi="Times New Roman"/>
                <w:b/>
                <w:color w:val="000000"/>
                <w:sz w:val="24"/>
                <w:szCs w:val="24"/>
              </w:rPr>
              <w:t xml:space="preserve">Nazwa </w:t>
            </w:r>
            <w:r w:rsidR="001B75D8" w:rsidRPr="003973C4">
              <w:rPr>
                <w:rFonts w:ascii="Times New Roman" w:hAnsi="Times New Roman"/>
                <w:b/>
                <w:color w:val="000000"/>
                <w:sz w:val="24"/>
                <w:szCs w:val="24"/>
              </w:rPr>
              <w:t>projektu</w:t>
            </w:r>
          </w:p>
          <w:p w14:paraId="655468F0" w14:textId="0D3A72BA" w:rsidR="00D259FB" w:rsidRPr="003973C4" w:rsidRDefault="008367FF" w:rsidP="003973C4">
            <w:pPr>
              <w:spacing w:after="120" w:line="240" w:lineRule="auto"/>
              <w:ind w:hanging="34"/>
              <w:rPr>
                <w:rFonts w:ascii="Times New Roman" w:hAnsi="Times New Roman"/>
                <w:color w:val="000000"/>
                <w:sz w:val="24"/>
                <w:szCs w:val="24"/>
              </w:rPr>
            </w:pPr>
            <w:bookmarkStart w:id="1" w:name="t2"/>
            <w:bookmarkStart w:id="2" w:name="_Hlk214275087"/>
            <w:r w:rsidRPr="003973C4">
              <w:rPr>
                <w:rFonts w:ascii="Times New Roman" w:hAnsi="Times New Roman"/>
                <w:color w:val="000000"/>
                <w:sz w:val="24"/>
                <w:szCs w:val="24"/>
              </w:rPr>
              <w:t xml:space="preserve">Projekt ustawy o zmianie </w:t>
            </w:r>
            <w:r w:rsidR="00612ECA" w:rsidRPr="003973C4">
              <w:rPr>
                <w:rFonts w:ascii="Times New Roman" w:hAnsi="Times New Roman"/>
                <w:color w:val="000000"/>
                <w:sz w:val="24"/>
                <w:szCs w:val="24"/>
              </w:rPr>
              <w:t xml:space="preserve">niektórych ustaw w związku </w:t>
            </w:r>
            <w:bookmarkEnd w:id="1"/>
            <w:r w:rsidR="00F21C73" w:rsidRPr="003973C4">
              <w:rPr>
                <w:rFonts w:ascii="Times New Roman" w:hAnsi="Times New Roman"/>
                <w:color w:val="000000"/>
                <w:sz w:val="24"/>
                <w:szCs w:val="24"/>
              </w:rPr>
              <w:t>z</w:t>
            </w:r>
            <w:r w:rsidR="009016B4" w:rsidRPr="003973C4">
              <w:rPr>
                <w:rFonts w:ascii="Times New Roman" w:hAnsi="Times New Roman"/>
                <w:color w:val="000000"/>
                <w:sz w:val="24"/>
                <w:szCs w:val="24"/>
              </w:rPr>
              <w:t> </w:t>
            </w:r>
            <w:r w:rsidR="00F21C73" w:rsidRPr="003973C4">
              <w:rPr>
                <w:rFonts w:ascii="Times New Roman" w:hAnsi="Times New Roman"/>
                <w:color w:val="000000"/>
                <w:sz w:val="24"/>
                <w:szCs w:val="24"/>
              </w:rPr>
              <w:t>rozwojem funduszy inwestycyjnych</w:t>
            </w:r>
          </w:p>
          <w:bookmarkEnd w:id="2"/>
          <w:p w14:paraId="6547E79B" w14:textId="77777777" w:rsidR="006A701A" w:rsidRPr="003973C4" w:rsidRDefault="006A701A" w:rsidP="003973C4">
            <w:pPr>
              <w:spacing w:line="240" w:lineRule="auto"/>
              <w:ind w:hanging="45"/>
              <w:rPr>
                <w:rFonts w:ascii="Times New Roman" w:hAnsi="Times New Roman"/>
                <w:b/>
                <w:color w:val="000000"/>
                <w:sz w:val="24"/>
                <w:szCs w:val="24"/>
              </w:rPr>
            </w:pPr>
            <w:r w:rsidRPr="003973C4">
              <w:rPr>
                <w:rFonts w:ascii="Times New Roman" w:hAnsi="Times New Roman"/>
                <w:b/>
                <w:color w:val="000000"/>
                <w:sz w:val="24"/>
                <w:szCs w:val="24"/>
              </w:rPr>
              <w:t>Ministerstwo wiodące i ministerstwa współpracujące</w:t>
            </w:r>
          </w:p>
          <w:p w14:paraId="314C74D9" w14:textId="3AE58B0F" w:rsidR="00D259FB" w:rsidRPr="003973C4" w:rsidRDefault="008367FF" w:rsidP="003973C4">
            <w:pPr>
              <w:spacing w:after="120" w:line="240" w:lineRule="auto"/>
              <w:ind w:hanging="34"/>
              <w:rPr>
                <w:rFonts w:ascii="Times New Roman" w:hAnsi="Times New Roman"/>
                <w:color w:val="000000"/>
                <w:sz w:val="24"/>
                <w:szCs w:val="24"/>
              </w:rPr>
            </w:pPr>
            <w:r w:rsidRPr="003973C4">
              <w:rPr>
                <w:rFonts w:ascii="Times New Roman" w:hAnsi="Times New Roman"/>
                <w:color w:val="000000"/>
                <w:sz w:val="24"/>
                <w:szCs w:val="24"/>
              </w:rPr>
              <w:t>Ministerstwo Finansów</w:t>
            </w:r>
            <w:bookmarkEnd w:id="0"/>
            <w:r w:rsidRPr="003973C4">
              <w:rPr>
                <w:rFonts w:ascii="Times New Roman" w:hAnsi="Times New Roman"/>
                <w:color w:val="000000"/>
                <w:sz w:val="24"/>
                <w:szCs w:val="24"/>
              </w:rPr>
              <w:t xml:space="preserve"> </w:t>
            </w:r>
          </w:p>
          <w:p w14:paraId="4A9A5322" w14:textId="371D9899" w:rsidR="001B3460" w:rsidRPr="003973C4" w:rsidRDefault="001B3460" w:rsidP="003973C4">
            <w:pPr>
              <w:spacing w:line="240" w:lineRule="auto"/>
              <w:rPr>
                <w:rFonts w:ascii="Times New Roman" w:hAnsi="Times New Roman"/>
                <w:b/>
                <w:sz w:val="24"/>
                <w:szCs w:val="24"/>
              </w:rPr>
            </w:pPr>
            <w:r w:rsidRPr="003973C4">
              <w:rPr>
                <w:rFonts w:ascii="Times New Roman" w:hAnsi="Times New Roman"/>
                <w:b/>
                <w:sz w:val="24"/>
                <w:szCs w:val="24"/>
              </w:rPr>
              <w:t>Osoba odpowiedzialna za projekt w randze Ministra,</w:t>
            </w:r>
            <w:r w:rsidR="009016B4" w:rsidRPr="003973C4">
              <w:rPr>
                <w:rFonts w:ascii="Times New Roman" w:hAnsi="Times New Roman"/>
                <w:b/>
                <w:sz w:val="24"/>
                <w:szCs w:val="24"/>
              </w:rPr>
              <w:t xml:space="preserve"> </w:t>
            </w:r>
            <w:r w:rsidRPr="003973C4">
              <w:rPr>
                <w:rFonts w:ascii="Times New Roman" w:hAnsi="Times New Roman"/>
                <w:b/>
                <w:sz w:val="24"/>
                <w:szCs w:val="24"/>
              </w:rPr>
              <w:t>Sekretarza Stanu lub Podsekretarza Stanu</w:t>
            </w:r>
          </w:p>
          <w:p w14:paraId="685DBC5F" w14:textId="0573E679" w:rsidR="00D259FB" w:rsidRPr="003973C4" w:rsidRDefault="008367FF" w:rsidP="003973C4">
            <w:pPr>
              <w:spacing w:after="120" w:line="240" w:lineRule="auto"/>
              <w:rPr>
                <w:rFonts w:ascii="Times New Roman" w:hAnsi="Times New Roman"/>
                <w:sz w:val="24"/>
                <w:szCs w:val="24"/>
              </w:rPr>
            </w:pPr>
            <w:r w:rsidRPr="003973C4">
              <w:rPr>
                <w:rFonts w:ascii="Times New Roman" w:hAnsi="Times New Roman"/>
                <w:sz w:val="24"/>
                <w:szCs w:val="24"/>
              </w:rPr>
              <w:t>Jurand Drop,</w:t>
            </w:r>
            <w:r w:rsidR="009016B4" w:rsidRPr="003973C4">
              <w:rPr>
                <w:rFonts w:ascii="Times New Roman" w:hAnsi="Times New Roman"/>
                <w:sz w:val="24"/>
                <w:szCs w:val="24"/>
              </w:rPr>
              <w:t xml:space="preserve"> </w:t>
            </w:r>
            <w:r w:rsidRPr="003973C4">
              <w:rPr>
                <w:rFonts w:ascii="Times New Roman" w:hAnsi="Times New Roman"/>
                <w:sz w:val="24"/>
                <w:szCs w:val="24"/>
              </w:rPr>
              <w:t>Podsekretarz Stanu w Ministerstwie Finansów</w:t>
            </w:r>
          </w:p>
          <w:p w14:paraId="0BEE47D8" w14:textId="77777777" w:rsidR="006A701A" w:rsidRPr="003973C4" w:rsidRDefault="006A701A" w:rsidP="003973C4">
            <w:pPr>
              <w:spacing w:line="240" w:lineRule="auto"/>
              <w:ind w:hanging="45"/>
              <w:rPr>
                <w:rFonts w:ascii="Times New Roman" w:hAnsi="Times New Roman"/>
                <w:b/>
                <w:color w:val="000000"/>
                <w:sz w:val="24"/>
                <w:szCs w:val="24"/>
              </w:rPr>
            </w:pPr>
            <w:r w:rsidRPr="003973C4">
              <w:rPr>
                <w:rFonts w:ascii="Times New Roman" w:hAnsi="Times New Roman"/>
                <w:b/>
                <w:color w:val="000000"/>
                <w:sz w:val="24"/>
                <w:szCs w:val="24"/>
              </w:rPr>
              <w:t>Kontakt do opiekuna merytorycznego projektu</w:t>
            </w:r>
          </w:p>
          <w:p w14:paraId="46E76703" w14:textId="4056F124" w:rsidR="006C18B1" w:rsidRPr="003973C4" w:rsidRDefault="006C18B1" w:rsidP="003973C4">
            <w:pPr>
              <w:spacing w:line="240" w:lineRule="auto"/>
              <w:jc w:val="both"/>
              <w:rPr>
                <w:rFonts w:ascii="Times New Roman" w:hAnsi="Times New Roman"/>
                <w:color w:val="000000"/>
                <w:sz w:val="24"/>
                <w:szCs w:val="24"/>
              </w:rPr>
            </w:pPr>
            <w:r w:rsidRPr="003973C4">
              <w:rPr>
                <w:rFonts w:ascii="Times New Roman" w:hAnsi="Times New Roman"/>
                <w:color w:val="000000"/>
                <w:sz w:val="24"/>
                <w:szCs w:val="24"/>
              </w:rPr>
              <w:t xml:space="preserve">Katarzyna Przewalska, </w:t>
            </w:r>
            <w:r w:rsidR="00BB3AC4" w:rsidRPr="003973C4">
              <w:rPr>
                <w:rFonts w:ascii="Times New Roman" w:hAnsi="Times New Roman"/>
                <w:color w:val="000000"/>
                <w:sz w:val="24"/>
                <w:szCs w:val="24"/>
              </w:rPr>
              <w:t xml:space="preserve">Dyrektor </w:t>
            </w:r>
            <w:r w:rsidRPr="003973C4">
              <w:rPr>
                <w:rFonts w:ascii="Times New Roman" w:hAnsi="Times New Roman"/>
                <w:color w:val="000000"/>
                <w:sz w:val="24"/>
                <w:szCs w:val="24"/>
              </w:rPr>
              <w:t>Departament</w:t>
            </w:r>
            <w:r w:rsidR="00BB3AC4" w:rsidRPr="003973C4">
              <w:rPr>
                <w:rFonts w:ascii="Times New Roman" w:hAnsi="Times New Roman"/>
                <w:color w:val="000000"/>
                <w:sz w:val="24"/>
                <w:szCs w:val="24"/>
              </w:rPr>
              <w:t>u</w:t>
            </w:r>
            <w:r w:rsidRPr="003973C4">
              <w:rPr>
                <w:rFonts w:ascii="Times New Roman" w:hAnsi="Times New Roman"/>
                <w:color w:val="000000"/>
                <w:sz w:val="24"/>
                <w:szCs w:val="24"/>
              </w:rPr>
              <w:t xml:space="preserve"> Rozwoju Rynku Finansowego</w:t>
            </w:r>
            <w:r w:rsidR="00BB3AC4" w:rsidRPr="003973C4">
              <w:rPr>
                <w:rFonts w:ascii="Times New Roman" w:hAnsi="Times New Roman"/>
                <w:color w:val="000000"/>
                <w:sz w:val="24"/>
                <w:szCs w:val="24"/>
              </w:rPr>
              <w:t xml:space="preserve"> w Ministerstwie Finansów</w:t>
            </w:r>
            <w:r w:rsidRPr="003973C4">
              <w:rPr>
                <w:rFonts w:ascii="Times New Roman" w:hAnsi="Times New Roman"/>
                <w:color w:val="000000"/>
                <w:sz w:val="24"/>
                <w:szCs w:val="24"/>
              </w:rPr>
              <w:t xml:space="preserve">, </w:t>
            </w:r>
          </w:p>
          <w:p w14:paraId="4F46E436" w14:textId="17494D3D" w:rsidR="006A701A" w:rsidRPr="009016B4" w:rsidRDefault="006C18B1" w:rsidP="003973C4">
            <w:pPr>
              <w:spacing w:after="120" w:line="240" w:lineRule="auto"/>
              <w:jc w:val="both"/>
              <w:rPr>
                <w:rFonts w:ascii="Times New Roman" w:hAnsi="Times New Roman"/>
                <w:color w:val="000000"/>
                <w:sz w:val="24"/>
                <w:szCs w:val="24"/>
                <w:lang w:val="en-GB"/>
              </w:rPr>
            </w:pPr>
            <w:r w:rsidRPr="003973C4">
              <w:rPr>
                <w:rFonts w:ascii="Times New Roman" w:hAnsi="Times New Roman"/>
                <w:color w:val="000000"/>
                <w:sz w:val="24"/>
                <w:szCs w:val="24"/>
                <w:lang w:val="en-US"/>
              </w:rPr>
              <w:t xml:space="preserve">e-mail: </w:t>
            </w:r>
            <w:hyperlink r:id="rId7" w:history="1">
              <w:r w:rsidRPr="003973C4">
                <w:rPr>
                  <w:rStyle w:val="Hipercze"/>
                  <w:rFonts w:ascii="Times New Roman" w:hAnsi="Times New Roman"/>
                  <w:sz w:val="24"/>
                  <w:szCs w:val="24"/>
                  <w:lang w:val="en-US"/>
                </w:rPr>
                <w:t>katarzyna.przewalska@mf.gov.pl</w:t>
              </w:r>
            </w:hyperlink>
            <w:r w:rsidRPr="003973C4">
              <w:rPr>
                <w:rFonts w:ascii="Times New Roman" w:hAnsi="Times New Roman"/>
                <w:color w:val="000000"/>
                <w:sz w:val="24"/>
                <w:szCs w:val="24"/>
                <w:lang w:val="en-GB"/>
              </w:rPr>
              <w:t xml:space="preserve">, tel. </w:t>
            </w:r>
            <w:r w:rsidR="009016B4" w:rsidRPr="003973C4">
              <w:rPr>
                <w:rFonts w:ascii="Times New Roman" w:hAnsi="Times New Roman"/>
                <w:color w:val="000000"/>
                <w:sz w:val="24"/>
                <w:szCs w:val="24"/>
                <w:lang w:val="en-GB"/>
              </w:rPr>
              <w:t xml:space="preserve">(22) </w:t>
            </w:r>
            <w:r w:rsidRPr="003973C4">
              <w:rPr>
                <w:rFonts w:ascii="Times New Roman" w:hAnsi="Times New Roman"/>
                <w:color w:val="000000"/>
                <w:sz w:val="24"/>
                <w:szCs w:val="24"/>
                <w:lang w:val="en-GB"/>
              </w:rPr>
              <w:t>694-58-28</w:t>
            </w:r>
          </w:p>
        </w:tc>
        <w:tc>
          <w:tcPr>
            <w:tcW w:w="4234" w:type="dxa"/>
            <w:gridSpan w:val="12"/>
            <w:shd w:val="clear" w:color="auto" w:fill="FFFFFF"/>
          </w:tcPr>
          <w:p w14:paraId="6DADD50A" w14:textId="7A852F1B" w:rsidR="001B3460" w:rsidRPr="00D05697" w:rsidRDefault="001B3460" w:rsidP="00033B48">
            <w:pPr>
              <w:spacing w:line="240" w:lineRule="auto"/>
              <w:rPr>
                <w:rFonts w:ascii="Times New Roman" w:hAnsi="Times New Roman"/>
                <w:b/>
                <w:sz w:val="24"/>
                <w:szCs w:val="24"/>
              </w:rPr>
            </w:pPr>
            <w:r w:rsidRPr="00D05697">
              <w:rPr>
                <w:rFonts w:ascii="Times New Roman" w:hAnsi="Times New Roman"/>
                <w:b/>
                <w:sz w:val="24"/>
                <w:szCs w:val="24"/>
              </w:rPr>
              <w:t>Data sporządzenia</w:t>
            </w:r>
            <w:r w:rsidRPr="00D05697">
              <w:rPr>
                <w:rFonts w:ascii="Times New Roman" w:hAnsi="Times New Roman"/>
                <w:b/>
                <w:sz w:val="24"/>
                <w:szCs w:val="24"/>
              </w:rPr>
              <w:br/>
            </w:r>
            <w:r w:rsidR="008367FF" w:rsidRPr="00D05697">
              <w:rPr>
                <w:rFonts w:ascii="Times New Roman" w:hAnsi="Times New Roman"/>
                <w:sz w:val="24"/>
                <w:szCs w:val="24"/>
              </w:rPr>
              <w:t>202</w:t>
            </w:r>
            <w:r w:rsidR="00A34267">
              <w:rPr>
                <w:rFonts w:ascii="Times New Roman" w:hAnsi="Times New Roman"/>
                <w:sz w:val="24"/>
                <w:szCs w:val="24"/>
              </w:rPr>
              <w:t>6</w:t>
            </w:r>
            <w:r w:rsidR="008367FF" w:rsidRPr="00D05697">
              <w:rPr>
                <w:rFonts w:ascii="Times New Roman" w:hAnsi="Times New Roman"/>
                <w:sz w:val="24"/>
                <w:szCs w:val="24"/>
              </w:rPr>
              <w:t>-</w:t>
            </w:r>
            <w:r w:rsidR="00A34267">
              <w:rPr>
                <w:rFonts w:ascii="Times New Roman" w:hAnsi="Times New Roman"/>
                <w:sz w:val="24"/>
                <w:szCs w:val="24"/>
              </w:rPr>
              <w:t>0</w:t>
            </w:r>
            <w:r w:rsidR="00CD62B1">
              <w:rPr>
                <w:rFonts w:ascii="Times New Roman" w:hAnsi="Times New Roman"/>
                <w:sz w:val="24"/>
                <w:szCs w:val="24"/>
              </w:rPr>
              <w:t>4</w:t>
            </w:r>
            <w:r w:rsidR="00A63397" w:rsidRPr="00D05697">
              <w:rPr>
                <w:rFonts w:ascii="Times New Roman" w:hAnsi="Times New Roman"/>
                <w:sz w:val="24"/>
                <w:szCs w:val="24"/>
              </w:rPr>
              <w:t>-</w:t>
            </w:r>
            <w:r w:rsidR="00D90DC3">
              <w:rPr>
                <w:rFonts w:ascii="Times New Roman" w:hAnsi="Times New Roman"/>
                <w:sz w:val="24"/>
                <w:szCs w:val="24"/>
              </w:rPr>
              <w:t>1</w:t>
            </w:r>
            <w:r w:rsidR="00F00ACC">
              <w:rPr>
                <w:rFonts w:ascii="Times New Roman" w:hAnsi="Times New Roman"/>
                <w:sz w:val="24"/>
                <w:szCs w:val="24"/>
              </w:rPr>
              <w:t>7</w:t>
            </w:r>
          </w:p>
          <w:p w14:paraId="40D2D047" w14:textId="77777777" w:rsidR="00F76884" w:rsidRPr="00D05697" w:rsidRDefault="00F76884" w:rsidP="00033B48">
            <w:pPr>
              <w:spacing w:line="240" w:lineRule="auto"/>
              <w:rPr>
                <w:rFonts w:ascii="Times New Roman" w:hAnsi="Times New Roman"/>
                <w:b/>
                <w:sz w:val="24"/>
                <w:szCs w:val="24"/>
              </w:rPr>
            </w:pPr>
          </w:p>
          <w:p w14:paraId="728D0024" w14:textId="77777777" w:rsidR="00F76884" w:rsidRPr="00D05697" w:rsidRDefault="00F76884" w:rsidP="0073251B">
            <w:pPr>
              <w:spacing w:line="240" w:lineRule="auto"/>
              <w:rPr>
                <w:rFonts w:ascii="Times New Roman" w:hAnsi="Times New Roman"/>
                <w:b/>
                <w:sz w:val="24"/>
                <w:szCs w:val="24"/>
              </w:rPr>
            </w:pPr>
            <w:r w:rsidRPr="00D05697">
              <w:rPr>
                <w:rFonts w:ascii="Times New Roman" w:hAnsi="Times New Roman"/>
                <w:b/>
                <w:sz w:val="24"/>
                <w:szCs w:val="24"/>
              </w:rPr>
              <w:t xml:space="preserve">Źródło: </w:t>
            </w:r>
            <w:bookmarkStart w:id="3" w:name="Lista1"/>
          </w:p>
          <w:bookmarkEnd w:id="3"/>
          <w:p w14:paraId="360066E7" w14:textId="66DEE9C7" w:rsidR="00F76884" w:rsidRPr="00D05697" w:rsidRDefault="008367FF" w:rsidP="001B3941">
            <w:pPr>
              <w:spacing w:line="240" w:lineRule="auto"/>
              <w:rPr>
                <w:rFonts w:ascii="Times New Roman" w:hAnsi="Times New Roman"/>
                <w:sz w:val="24"/>
                <w:szCs w:val="24"/>
              </w:rPr>
            </w:pPr>
            <w:r w:rsidRPr="00D05697">
              <w:rPr>
                <w:rFonts w:ascii="Times New Roman" w:hAnsi="Times New Roman"/>
                <w:sz w:val="24"/>
                <w:szCs w:val="24"/>
              </w:rPr>
              <w:t>Inicjatywa własna</w:t>
            </w:r>
          </w:p>
          <w:p w14:paraId="4EAE0351" w14:textId="47D84369" w:rsidR="006A701A" w:rsidRDefault="006A701A" w:rsidP="00630306">
            <w:pPr>
              <w:spacing w:before="120" w:line="240" w:lineRule="auto"/>
              <w:rPr>
                <w:rFonts w:ascii="Times New Roman" w:hAnsi="Times New Roman"/>
                <w:b/>
                <w:color w:val="000000"/>
                <w:sz w:val="24"/>
                <w:szCs w:val="24"/>
              </w:rPr>
            </w:pPr>
            <w:r w:rsidRPr="00D05697">
              <w:rPr>
                <w:rFonts w:ascii="Times New Roman" w:hAnsi="Times New Roman"/>
                <w:b/>
                <w:color w:val="000000"/>
                <w:sz w:val="24"/>
                <w:szCs w:val="24"/>
              </w:rPr>
              <w:t xml:space="preserve">Nr </w:t>
            </w:r>
            <w:r w:rsidR="0057668E" w:rsidRPr="00D05697">
              <w:rPr>
                <w:rFonts w:ascii="Times New Roman" w:hAnsi="Times New Roman"/>
                <w:b/>
                <w:color w:val="000000"/>
                <w:sz w:val="24"/>
                <w:szCs w:val="24"/>
              </w:rPr>
              <w:t>w</w:t>
            </w:r>
            <w:r w:rsidRPr="00D05697">
              <w:rPr>
                <w:rFonts w:ascii="Times New Roman" w:hAnsi="Times New Roman"/>
                <w:b/>
                <w:color w:val="000000"/>
                <w:sz w:val="24"/>
                <w:szCs w:val="24"/>
              </w:rPr>
              <w:t xml:space="preserve"> wykaz</w:t>
            </w:r>
            <w:r w:rsidR="0057668E" w:rsidRPr="00D05697">
              <w:rPr>
                <w:rFonts w:ascii="Times New Roman" w:hAnsi="Times New Roman"/>
                <w:b/>
                <w:color w:val="000000"/>
                <w:sz w:val="24"/>
                <w:szCs w:val="24"/>
              </w:rPr>
              <w:t>ie</w:t>
            </w:r>
            <w:r w:rsidRPr="00D05697">
              <w:rPr>
                <w:rFonts w:ascii="Times New Roman" w:hAnsi="Times New Roman"/>
                <w:b/>
                <w:color w:val="000000"/>
                <w:sz w:val="24"/>
                <w:szCs w:val="24"/>
              </w:rPr>
              <w:t xml:space="preserve"> prac</w:t>
            </w:r>
            <w:r w:rsidR="00630306">
              <w:rPr>
                <w:rFonts w:ascii="Times New Roman" w:hAnsi="Times New Roman"/>
                <w:b/>
                <w:color w:val="000000"/>
                <w:sz w:val="24"/>
                <w:szCs w:val="24"/>
              </w:rPr>
              <w:t>:</w:t>
            </w:r>
          </w:p>
          <w:p w14:paraId="04C2213B" w14:textId="05417AA9" w:rsidR="006A701A" w:rsidRPr="00630306" w:rsidRDefault="00630306" w:rsidP="00630306">
            <w:pPr>
              <w:spacing w:before="120" w:line="240" w:lineRule="auto"/>
              <w:rPr>
                <w:rFonts w:ascii="Times New Roman" w:hAnsi="Times New Roman"/>
                <w:b/>
                <w:color w:val="000000"/>
                <w:sz w:val="24"/>
                <w:szCs w:val="24"/>
              </w:rPr>
            </w:pPr>
            <w:r>
              <w:rPr>
                <w:rFonts w:ascii="Times New Roman" w:hAnsi="Times New Roman"/>
                <w:b/>
                <w:color w:val="000000"/>
                <w:sz w:val="24"/>
                <w:szCs w:val="24"/>
              </w:rPr>
              <w:t>UD356</w:t>
            </w:r>
          </w:p>
        </w:tc>
      </w:tr>
      <w:tr w:rsidR="006A701A" w:rsidRPr="0022687A" w14:paraId="2C6AF402" w14:textId="77777777" w:rsidTr="0053280C">
        <w:trPr>
          <w:trHeight w:val="142"/>
        </w:trPr>
        <w:tc>
          <w:tcPr>
            <w:tcW w:w="10661" w:type="dxa"/>
            <w:gridSpan w:val="29"/>
            <w:shd w:val="clear" w:color="auto" w:fill="99CCFF"/>
          </w:tcPr>
          <w:p w14:paraId="537E3959" w14:textId="4609A9C5" w:rsidR="006A701A" w:rsidRPr="00627221" w:rsidRDefault="006A701A" w:rsidP="001B4CA1">
            <w:pPr>
              <w:spacing w:line="240" w:lineRule="auto"/>
              <w:ind w:left="57"/>
              <w:jc w:val="center"/>
              <w:rPr>
                <w:rFonts w:ascii="Times New Roman" w:hAnsi="Times New Roman"/>
                <w:b/>
                <w:color w:val="FFFFFF"/>
                <w:sz w:val="32"/>
                <w:szCs w:val="32"/>
              </w:rPr>
            </w:pPr>
            <w:r w:rsidRPr="00627221">
              <w:rPr>
                <w:rFonts w:ascii="Times New Roman" w:hAnsi="Times New Roman"/>
                <w:b/>
                <w:color w:val="FFFFFF"/>
                <w:sz w:val="32"/>
                <w:szCs w:val="32"/>
              </w:rPr>
              <w:t>OCENA SKUTKÓW REGULACJI</w:t>
            </w:r>
          </w:p>
        </w:tc>
      </w:tr>
      <w:tr w:rsidR="006A701A" w:rsidRPr="008B4FE6" w14:paraId="433DDEC6" w14:textId="77777777" w:rsidTr="0053280C">
        <w:trPr>
          <w:trHeight w:val="333"/>
        </w:trPr>
        <w:tc>
          <w:tcPr>
            <w:tcW w:w="10661" w:type="dxa"/>
            <w:gridSpan w:val="29"/>
            <w:shd w:val="clear" w:color="auto" w:fill="99CCFF"/>
            <w:vAlign w:val="center"/>
          </w:tcPr>
          <w:p w14:paraId="1E1FC10D" w14:textId="17148EB7" w:rsidR="006A701A" w:rsidRPr="008B4FE6" w:rsidRDefault="003D12F6" w:rsidP="006A701A">
            <w:pPr>
              <w:numPr>
                <w:ilvl w:val="0"/>
                <w:numId w:val="3"/>
              </w:numPr>
              <w:spacing w:before="60" w:after="60" w:line="240" w:lineRule="auto"/>
              <w:ind w:left="318" w:hanging="284"/>
              <w:jc w:val="both"/>
              <w:rPr>
                <w:rFonts w:ascii="Times New Roman" w:hAnsi="Times New Roman"/>
                <w:b/>
                <w:color w:val="000000"/>
              </w:rPr>
            </w:pPr>
            <w:r w:rsidRPr="001812C7">
              <w:rPr>
                <w:rFonts w:ascii="Times New Roman" w:hAnsi="Times New Roman"/>
                <w:b/>
              </w:rPr>
              <w:t xml:space="preserve">Jaki problem jest </w:t>
            </w:r>
            <w:r w:rsidR="00CC6305" w:rsidRPr="001812C7">
              <w:rPr>
                <w:rFonts w:ascii="Times New Roman" w:hAnsi="Times New Roman"/>
                <w:b/>
              </w:rPr>
              <w:t>rozwiązywany</w:t>
            </w:r>
            <w:r w:rsidR="00CC6305">
              <w:rPr>
                <w:rFonts w:ascii="Times New Roman" w:hAnsi="Times New Roman"/>
                <w:b/>
              </w:rPr>
              <w:t>?</w:t>
            </w:r>
            <w:bookmarkStart w:id="4" w:name="Wybór1"/>
            <w:bookmarkEnd w:id="4"/>
          </w:p>
        </w:tc>
      </w:tr>
      <w:tr w:rsidR="00595C88" w:rsidRPr="008B4FE6" w14:paraId="5E47F435" w14:textId="77777777" w:rsidTr="0053280C">
        <w:trPr>
          <w:trHeight w:val="142"/>
        </w:trPr>
        <w:tc>
          <w:tcPr>
            <w:tcW w:w="10661" w:type="dxa"/>
            <w:gridSpan w:val="29"/>
            <w:shd w:val="clear" w:color="auto" w:fill="FFFFFF"/>
          </w:tcPr>
          <w:p w14:paraId="4EC324D0" w14:textId="1197FE37" w:rsidR="003B499E" w:rsidRPr="0073251B" w:rsidRDefault="002F7F93" w:rsidP="009016B4">
            <w:pPr>
              <w:spacing w:before="120" w:after="120" w:line="240" w:lineRule="auto"/>
              <w:jc w:val="both"/>
              <w:rPr>
                <w:rFonts w:ascii="Times New Roman" w:eastAsia="Times New Roman" w:hAnsi="Times New Roman"/>
                <w:sz w:val="24"/>
                <w:szCs w:val="24"/>
                <w:lang w:eastAsia="pl-PL"/>
              </w:rPr>
            </w:pPr>
            <w:r w:rsidRPr="00033B48">
              <w:rPr>
                <w:rFonts w:ascii="Times New Roman" w:eastAsia="Times New Roman" w:hAnsi="Times New Roman"/>
                <w:sz w:val="24"/>
                <w:szCs w:val="24"/>
                <w:lang w:eastAsia="pl-PL"/>
              </w:rPr>
              <w:t xml:space="preserve">Przedstawione rozwiązania wpisują się w szerszy pakiet działań legislacyjnych ukierunkowanych na rozwój krajowego rynku funduszy inwestycyjnych, stanowiącego istotny element wzmocnienia krajowego rynku kapitałowego oraz zwiększenia udziału kapitału prywatnego w finansowaniu gospodarki. Rozwiązania te są komplementarne i ukierunkowane na zwiększenie atrakcyjności polskiego rynku kapitałowego, rozwój instrumentów zbiorowego inwestowania oraz poprawę warunków dla finansowania innowacyjnych przedsięwzięć w Polsce, zgodnie ze standardami stosowanymi w państwach </w:t>
            </w:r>
            <w:r w:rsidR="00542700" w:rsidRPr="00033B48">
              <w:rPr>
                <w:rFonts w:ascii="Times New Roman" w:eastAsia="Times New Roman" w:hAnsi="Times New Roman"/>
                <w:sz w:val="24"/>
                <w:szCs w:val="24"/>
                <w:lang w:eastAsia="pl-PL"/>
              </w:rPr>
              <w:t xml:space="preserve">członkowskich </w:t>
            </w:r>
            <w:r w:rsidRPr="00033B48">
              <w:rPr>
                <w:rFonts w:ascii="Times New Roman" w:eastAsia="Times New Roman" w:hAnsi="Times New Roman"/>
                <w:sz w:val="24"/>
                <w:szCs w:val="24"/>
                <w:lang w:eastAsia="pl-PL"/>
              </w:rPr>
              <w:t>Unii</w:t>
            </w:r>
            <w:r w:rsidR="00BF5FBB" w:rsidRPr="00033B48">
              <w:rPr>
                <w:rFonts w:ascii="Times New Roman" w:eastAsia="Times New Roman" w:hAnsi="Times New Roman"/>
                <w:sz w:val="24"/>
                <w:szCs w:val="24"/>
                <w:lang w:eastAsia="pl-PL"/>
              </w:rPr>
              <w:t xml:space="preserve"> </w:t>
            </w:r>
            <w:r w:rsidRPr="00033B48">
              <w:rPr>
                <w:rFonts w:ascii="Times New Roman" w:eastAsia="Times New Roman" w:hAnsi="Times New Roman"/>
                <w:sz w:val="24"/>
                <w:szCs w:val="24"/>
                <w:lang w:eastAsia="pl-PL"/>
              </w:rPr>
              <w:t>Europejskiej i OECD.</w:t>
            </w:r>
          </w:p>
          <w:p w14:paraId="63D68831" w14:textId="3C0B544D" w:rsidR="00033B48" w:rsidRPr="00033B48" w:rsidRDefault="00892435" w:rsidP="009016B4">
            <w:pPr>
              <w:spacing w:before="120" w:after="120" w:line="240" w:lineRule="auto"/>
              <w:jc w:val="both"/>
              <w:rPr>
                <w:rFonts w:ascii="Times New Roman" w:eastAsia="Times New Roman" w:hAnsi="Times New Roman"/>
                <w:sz w:val="24"/>
                <w:szCs w:val="24"/>
                <w:lang w:eastAsia="pl-PL"/>
              </w:rPr>
            </w:pPr>
            <w:r w:rsidRPr="001B3941">
              <w:rPr>
                <w:rFonts w:ascii="Times New Roman" w:eastAsia="Times New Roman" w:hAnsi="Times New Roman"/>
                <w:sz w:val="24"/>
                <w:szCs w:val="24"/>
                <w:lang w:eastAsia="pl-PL"/>
              </w:rPr>
              <w:t xml:space="preserve">Polski rynek kapitałowy, pomimo rosnącej roli w gospodarce, nie oferuje w pełni rozwiniętych i konkurencyjnych narzędzi inwestycyjnych, które funkcjonują w innych państwach Unii Europejskiej. Szczególnie widoczne jest to w obszarze funduszy </w:t>
            </w:r>
            <w:r w:rsidR="000727D2" w:rsidRPr="00907C51">
              <w:rPr>
                <w:rFonts w:ascii="Times New Roman" w:eastAsia="Times New Roman" w:hAnsi="Times New Roman"/>
                <w:sz w:val="24"/>
                <w:szCs w:val="24"/>
                <w:lang w:eastAsia="pl-PL"/>
              </w:rPr>
              <w:t>inwestycyjnych</w:t>
            </w:r>
            <w:r w:rsidRPr="00033B48">
              <w:rPr>
                <w:rFonts w:ascii="Times New Roman" w:eastAsia="Times New Roman" w:hAnsi="Times New Roman"/>
                <w:sz w:val="24"/>
                <w:szCs w:val="24"/>
                <w:lang w:eastAsia="pl-PL"/>
              </w:rPr>
              <w:t>, w tym ETF</w:t>
            </w:r>
            <w:r w:rsidR="00542700" w:rsidRPr="00033B48">
              <w:rPr>
                <w:rFonts w:ascii="Times New Roman" w:eastAsia="Times New Roman" w:hAnsi="Times New Roman"/>
                <w:sz w:val="24"/>
                <w:szCs w:val="24"/>
                <w:lang w:eastAsia="pl-PL"/>
              </w:rPr>
              <w:t xml:space="preserve"> (</w:t>
            </w:r>
            <w:r w:rsidR="00542700" w:rsidRPr="00D05697">
              <w:rPr>
                <w:rFonts w:ascii="Times New Roman" w:hAnsi="Times New Roman"/>
                <w:color w:val="1F1F1F"/>
                <w:sz w:val="24"/>
                <w:szCs w:val="24"/>
                <w:shd w:val="clear" w:color="auto" w:fill="FFFFFF"/>
              </w:rPr>
              <w:t xml:space="preserve">Exchange </w:t>
            </w:r>
            <w:proofErr w:type="spellStart"/>
            <w:r w:rsidR="00542700" w:rsidRPr="00D05697">
              <w:rPr>
                <w:rFonts w:ascii="Times New Roman" w:hAnsi="Times New Roman"/>
                <w:color w:val="1F1F1F"/>
                <w:sz w:val="24"/>
                <w:szCs w:val="24"/>
                <w:shd w:val="clear" w:color="auto" w:fill="FFFFFF"/>
              </w:rPr>
              <w:t>Traded</w:t>
            </w:r>
            <w:proofErr w:type="spellEnd"/>
            <w:r w:rsidR="00542700" w:rsidRPr="00D05697">
              <w:rPr>
                <w:rFonts w:ascii="Times New Roman" w:hAnsi="Times New Roman"/>
                <w:color w:val="1F1F1F"/>
                <w:sz w:val="24"/>
                <w:szCs w:val="24"/>
                <w:shd w:val="clear" w:color="auto" w:fill="FFFFFF"/>
              </w:rPr>
              <w:t xml:space="preserve"> </w:t>
            </w:r>
            <w:proofErr w:type="spellStart"/>
            <w:r w:rsidR="00542700" w:rsidRPr="00D05697">
              <w:rPr>
                <w:rFonts w:ascii="Times New Roman" w:hAnsi="Times New Roman"/>
                <w:color w:val="1F1F1F"/>
                <w:sz w:val="24"/>
                <w:szCs w:val="24"/>
                <w:shd w:val="clear" w:color="auto" w:fill="FFFFFF"/>
              </w:rPr>
              <w:t>Fund</w:t>
            </w:r>
            <w:r w:rsidR="001301E7" w:rsidRPr="00D05697">
              <w:rPr>
                <w:rFonts w:ascii="Times New Roman" w:hAnsi="Times New Roman"/>
                <w:color w:val="1F1F1F"/>
                <w:sz w:val="24"/>
                <w:szCs w:val="24"/>
                <w:shd w:val="clear" w:color="auto" w:fill="FFFFFF"/>
              </w:rPr>
              <w:t>s</w:t>
            </w:r>
            <w:proofErr w:type="spellEnd"/>
            <w:r w:rsidR="00542700" w:rsidRPr="00D05697">
              <w:rPr>
                <w:rFonts w:ascii="Times New Roman" w:hAnsi="Times New Roman"/>
                <w:color w:val="1F1F1F"/>
                <w:sz w:val="24"/>
                <w:szCs w:val="24"/>
                <w:shd w:val="clear" w:color="auto" w:fill="FFFFFF"/>
              </w:rPr>
              <w:t>)</w:t>
            </w:r>
            <w:r w:rsidRPr="00033B48">
              <w:rPr>
                <w:rFonts w:ascii="Times New Roman" w:eastAsia="Times New Roman" w:hAnsi="Times New Roman"/>
                <w:sz w:val="24"/>
                <w:szCs w:val="24"/>
                <w:lang w:eastAsia="pl-PL"/>
              </w:rPr>
              <w:t>, oraz w obszarze inwestycji kapitałowych typu</w:t>
            </w:r>
            <w:r w:rsidR="009016B4">
              <w:rPr>
                <w:rFonts w:ascii="Times New Roman" w:eastAsia="Times New Roman" w:hAnsi="Times New Roman"/>
                <w:sz w:val="24"/>
                <w:szCs w:val="24"/>
                <w:lang w:eastAsia="pl-PL"/>
              </w:rPr>
              <w:t xml:space="preserve"> </w:t>
            </w:r>
            <w:r w:rsidR="00F179B1" w:rsidRPr="00033B48">
              <w:rPr>
                <w:rFonts w:ascii="Times New Roman" w:eastAsia="Times New Roman" w:hAnsi="Times New Roman"/>
                <w:sz w:val="24"/>
                <w:szCs w:val="24"/>
                <w:lang w:eastAsia="pl-PL"/>
              </w:rPr>
              <w:t xml:space="preserve">venture </w:t>
            </w:r>
            <w:proofErr w:type="spellStart"/>
            <w:r w:rsidR="00F179B1" w:rsidRPr="00033B48">
              <w:rPr>
                <w:rFonts w:ascii="Times New Roman" w:eastAsia="Times New Roman" w:hAnsi="Times New Roman"/>
                <w:sz w:val="24"/>
                <w:szCs w:val="24"/>
                <w:lang w:eastAsia="pl-PL"/>
              </w:rPr>
              <w:t>capital</w:t>
            </w:r>
            <w:proofErr w:type="spellEnd"/>
            <w:r w:rsidR="00F179B1" w:rsidRPr="00033B48">
              <w:rPr>
                <w:rFonts w:ascii="Times New Roman" w:eastAsia="Times New Roman" w:hAnsi="Times New Roman"/>
                <w:sz w:val="24"/>
                <w:szCs w:val="24"/>
                <w:lang w:eastAsia="pl-PL"/>
              </w:rPr>
              <w:t xml:space="preserve"> (VC), </w:t>
            </w:r>
            <w:proofErr w:type="spellStart"/>
            <w:r w:rsidR="00F179B1" w:rsidRPr="00033B48">
              <w:rPr>
                <w:rFonts w:ascii="Times New Roman" w:eastAsia="Times New Roman" w:hAnsi="Times New Roman"/>
                <w:sz w:val="24"/>
                <w:szCs w:val="24"/>
                <w:lang w:eastAsia="pl-PL"/>
              </w:rPr>
              <w:t>private</w:t>
            </w:r>
            <w:proofErr w:type="spellEnd"/>
            <w:r w:rsidR="00F179B1" w:rsidRPr="00033B48">
              <w:rPr>
                <w:rFonts w:ascii="Times New Roman" w:eastAsia="Times New Roman" w:hAnsi="Times New Roman"/>
                <w:sz w:val="24"/>
                <w:szCs w:val="24"/>
                <w:lang w:eastAsia="pl-PL"/>
              </w:rPr>
              <w:t xml:space="preserve"> equity (PE), </w:t>
            </w:r>
            <w:proofErr w:type="spellStart"/>
            <w:r w:rsidR="00F179B1" w:rsidRPr="00033B48">
              <w:rPr>
                <w:rFonts w:ascii="Times New Roman" w:eastAsia="Times New Roman" w:hAnsi="Times New Roman"/>
                <w:sz w:val="24"/>
                <w:szCs w:val="24"/>
                <w:lang w:eastAsia="pl-PL"/>
              </w:rPr>
              <w:t>private</w:t>
            </w:r>
            <w:proofErr w:type="spellEnd"/>
            <w:r w:rsidR="00F179B1" w:rsidRPr="00033B48">
              <w:rPr>
                <w:rFonts w:ascii="Times New Roman" w:eastAsia="Times New Roman" w:hAnsi="Times New Roman"/>
                <w:sz w:val="24"/>
                <w:szCs w:val="24"/>
                <w:lang w:eastAsia="pl-PL"/>
              </w:rPr>
              <w:t xml:space="preserve"> </w:t>
            </w:r>
            <w:proofErr w:type="spellStart"/>
            <w:r w:rsidR="00F179B1" w:rsidRPr="00033B48">
              <w:rPr>
                <w:rFonts w:ascii="Times New Roman" w:eastAsia="Times New Roman" w:hAnsi="Times New Roman"/>
                <w:sz w:val="24"/>
                <w:szCs w:val="24"/>
                <w:lang w:eastAsia="pl-PL"/>
              </w:rPr>
              <w:t>debt</w:t>
            </w:r>
            <w:proofErr w:type="spellEnd"/>
            <w:r w:rsidR="00F179B1" w:rsidRPr="00033B48">
              <w:rPr>
                <w:rFonts w:ascii="Times New Roman" w:eastAsia="Times New Roman" w:hAnsi="Times New Roman"/>
                <w:sz w:val="24"/>
                <w:szCs w:val="24"/>
                <w:lang w:eastAsia="pl-PL"/>
              </w:rPr>
              <w:t xml:space="preserve"> (PD) i projektów infrastrukturalnych (PI</w:t>
            </w:r>
            <w:r w:rsidR="00F21C73" w:rsidRPr="00033B48">
              <w:rPr>
                <w:rFonts w:ascii="Times New Roman" w:eastAsia="Times New Roman" w:hAnsi="Times New Roman"/>
                <w:sz w:val="24"/>
                <w:szCs w:val="24"/>
                <w:lang w:eastAsia="pl-PL"/>
              </w:rPr>
              <w:t>)</w:t>
            </w:r>
            <w:r w:rsidR="006E2364" w:rsidRPr="00033B48">
              <w:rPr>
                <w:rFonts w:ascii="Times New Roman" w:eastAsia="Times New Roman" w:hAnsi="Times New Roman"/>
                <w:sz w:val="24"/>
                <w:szCs w:val="24"/>
                <w:lang w:eastAsia="pl-PL"/>
              </w:rPr>
              <w:t>.</w:t>
            </w:r>
          </w:p>
          <w:p w14:paraId="1EFAB704" w14:textId="2A304816" w:rsidR="00F179B1" w:rsidRPr="005A6573" w:rsidRDefault="00F179B1" w:rsidP="009016B4">
            <w:pPr>
              <w:pStyle w:val="Akapitzlist"/>
              <w:numPr>
                <w:ilvl w:val="0"/>
                <w:numId w:val="22"/>
              </w:numPr>
              <w:spacing w:before="120" w:after="120" w:line="240" w:lineRule="auto"/>
              <w:jc w:val="both"/>
              <w:rPr>
                <w:rFonts w:ascii="Times New Roman" w:eastAsia="Times New Roman" w:hAnsi="Times New Roman"/>
                <w:sz w:val="24"/>
                <w:szCs w:val="24"/>
                <w:lang w:eastAsia="pl-PL"/>
              </w:rPr>
            </w:pPr>
            <w:r w:rsidRPr="0073251B">
              <w:rPr>
                <w:rFonts w:ascii="Times New Roman" w:eastAsia="Times New Roman" w:hAnsi="Times New Roman"/>
                <w:b/>
                <w:bCs/>
                <w:sz w:val="24"/>
                <w:szCs w:val="24"/>
                <w:lang w:eastAsia="pl-PL"/>
              </w:rPr>
              <w:t xml:space="preserve">Reforma ram prawnych dotyczących funduszy ETF </w:t>
            </w:r>
            <w:r w:rsidRPr="0073251B">
              <w:rPr>
                <w:rFonts w:ascii="Times New Roman" w:hAnsi="Times New Roman"/>
                <w:b/>
                <w:bCs/>
                <w:color w:val="1F1F1F"/>
                <w:sz w:val="24"/>
                <w:szCs w:val="24"/>
                <w:shd w:val="clear" w:color="auto" w:fill="FFFFFF"/>
              </w:rPr>
              <w:t xml:space="preserve">(Exchange </w:t>
            </w:r>
            <w:proofErr w:type="spellStart"/>
            <w:r w:rsidRPr="0073251B">
              <w:rPr>
                <w:rFonts w:ascii="Times New Roman" w:hAnsi="Times New Roman"/>
                <w:b/>
                <w:bCs/>
                <w:color w:val="1F1F1F"/>
                <w:sz w:val="24"/>
                <w:szCs w:val="24"/>
                <w:shd w:val="clear" w:color="auto" w:fill="FFFFFF"/>
              </w:rPr>
              <w:t>Traded</w:t>
            </w:r>
            <w:proofErr w:type="spellEnd"/>
            <w:r w:rsidRPr="0073251B">
              <w:rPr>
                <w:rFonts w:ascii="Times New Roman" w:hAnsi="Times New Roman"/>
                <w:b/>
                <w:bCs/>
                <w:color w:val="1F1F1F"/>
                <w:sz w:val="24"/>
                <w:szCs w:val="24"/>
                <w:shd w:val="clear" w:color="auto" w:fill="FFFFFF"/>
              </w:rPr>
              <w:t xml:space="preserve"> Fund</w:t>
            </w:r>
            <w:r w:rsidR="00003244">
              <w:rPr>
                <w:rFonts w:ascii="Times New Roman" w:hAnsi="Times New Roman"/>
                <w:b/>
                <w:bCs/>
                <w:color w:val="1F1F1F"/>
                <w:sz w:val="24"/>
                <w:szCs w:val="24"/>
                <w:shd w:val="clear" w:color="auto" w:fill="FFFFFF"/>
              </w:rPr>
              <w:t>)</w:t>
            </w:r>
          </w:p>
          <w:p w14:paraId="515FD922" w14:textId="15664440" w:rsidR="00892435" w:rsidRPr="00033B48" w:rsidRDefault="00892435" w:rsidP="009016B4">
            <w:pPr>
              <w:spacing w:before="120" w:after="120" w:line="240" w:lineRule="auto"/>
              <w:jc w:val="both"/>
              <w:rPr>
                <w:rFonts w:ascii="Times New Roman" w:eastAsia="Times New Roman" w:hAnsi="Times New Roman"/>
                <w:sz w:val="24"/>
                <w:szCs w:val="24"/>
                <w:lang w:eastAsia="pl-PL"/>
              </w:rPr>
            </w:pPr>
            <w:r w:rsidRPr="001B3941">
              <w:rPr>
                <w:rFonts w:ascii="Times New Roman" w:eastAsia="Times New Roman" w:hAnsi="Times New Roman"/>
                <w:sz w:val="24"/>
                <w:szCs w:val="24"/>
                <w:lang w:eastAsia="pl-PL"/>
              </w:rPr>
              <w:t>W przypadku funduszy ETF zasadniczym problemem jest obowiązująca konstrukcja prawna. Obecnie ETF</w:t>
            </w:r>
            <w:r w:rsidR="006E4185">
              <w:rPr>
                <w:rFonts w:ascii="Times New Roman" w:eastAsia="Times New Roman" w:hAnsi="Times New Roman"/>
                <w:sz w:val="24"/>
                <w:szCs w:val="24"/>
                <w:lang w:eastAsia="pl-PL"/>
              </w:rPr>
              <w:t xml:space="preserve"> </w:t>
            </w:r>
            <w:r w:rsidRPr="001B3941">
              <w:rPr>
                <w:rFonts w:ascii="Times New Roman" w:eastAsia="Times New Roman" w:hAnsi="Times New Roman"/>
                <w:sz w:val="24"/>
                <w:szCs w:val="24"/>
                <w:lang w:eastAsia="pl-PL"/>
              </w:rPr>
              <w:t xml:space="preserve">w Polsce </w:t>
            </w:r>
            <w:r w:rsidR="006D07F9" w:rsidRPr="001B3941">
              <w:rPr>
                <w:rFonts w:ascii="Times New Roman" w:eastAsia="Times New Roman" w:hAnsi="Times New Roman"/>
                <w:sz w:val="24"/>
                <w:szCs w:val="24"/>
                <w:lang w:eastAsia="pl-PL"/>
              </w:rPr>
              <w:t xml:space="preserve">funkcjonują jako </w:t>
            </w:r>
            <w:r w:rsidRPr="00907C51">
              <w:rPr>
                <w:rFonts w:ascii="Times New Roman" w:eastAsia="Times New Roman" w:hAnsi="Times New Roman"/>
                <w:sz w:val="24"/>
                <w:szCs w:val="24"/>
                <w:lang w:eastAsia="pl-PL"/>
              </w:rPr>
              <w:t>portfelowe fundusze inwestycyjne zamknięte. Taki model oznacza, że z punktu widzenia prawa europejskiego są one traktowane jako alt</w:t>
            </w:r>
            <w:r w:rsidRPr="00033B48">
              <w:rPr>
                <w:rFonts w:ascii="Times New Roman" w:eastAsia="Times New Roman" w:hAnsi="Times New Roman"/>
                <w:sz w:val="24"/>
                <w:szCs w:val="24"/>
                <w:lang w:eastAsia="pl-PL"/>
              </w:rPr>
              <w:t>ernatywne fundusze inwestycyjne, a nie jako UCITS</w:t>
            </w:r>
            <w:r w:rsidR="00542700" w:rsidRPr="00D05697">
              <w:rPr>
                <w:rFonts w:ascii="Roboto" w:hAnsi="Roboto"/>
                <w:color w:val="0A0A0A"/>
                <w:sz w:val="24"/>
                <w:szCs w:val="24"/>
                <w:shd w:val="clear" w:color="auto" w:fill="FFFFFF"/>
              </w:rPr>
              <w:t xml:space="preserve"> </w:t>
            </w:r>
            <w:r w:rsidR="00542700" w:rsidRPr="00033B48">
              <w:rPr>
                <w:rFonts w:ascii="Times New Roman" w:hAnsi="Times New Roman"/>
                <w:color w:val="0A0A0A"/>
                <w:sz w:val="24"/>
                <w:szCs w:val="24"/>
                <w:shd w:val="clear" w:color="auto" w:fill="FFFFFF"/>
              </w:rPr>
              <w:t>(</w:t>
            </w:r>
            <w:r w:rsidR="00542700" w:rsidRPr="00033B48">
              <w:rPr>
                <w:rStyle w:val="Pogrubienie"/>
                <w:rFonts w:ascii="Times New Roman" w:hAnsi="Times New Roman"/>
                <w:b w:val="0"/>
                <w:bCs w:val="0"/>
                <w:color w:val="0A0A0A"/>
                <w:sz w:val="24"/>
                <w:szCs w:val="24"/>
                <w:shd w:val="clear" w:color="auto" w:fill="FFFFFF"/>
              </w:rPr>
              <w:t>przedsiębiorstwa zbiorowego inwestowania w zbywalne papiery wartościowe)</w:t>
            </w:r>
            <w:r w:rsidRPr="00033B48">
              <w:rPr>
                <w:rFonts w:ascii="Times New Roman" w:eastAsia="Times New Roman" w:hAnsi="Times New Roman"/>
                <w:sz w:val="24"/>
                <w:szCs w:val="24"/>
                <w:lang w:eastAsia="pl-PL"/>
              </w:rPr>
              <w:t>. W praktyce skutkuje to szeregiem ograniczeń. Polskie ETF nie mogą korzystać z paszportu europejskiego, który umożliwia funduszom UCITS swobodną dystrybucję w całej Unii Europejskiej. Z tego powodu są one niedostępne dla szerokiego grona zagranicznych in</w:t>
            </w:r>
            <w:r w:rsidRPr="0073251B">
              <w:rPr>
                <w:rFonts w:ascii="Times New Roman" w:eastAsia="Times New Roman" w:hAnsi="Times New Roman"/>
                <w:sz w:val="24"/>
                <w:szCs w:val="24"/>
                <w:lang w:eastAsia="pl-PL"/>
              </w:rPr>
              <w:t>westorów</w:t>
            </w:r>
            <w:r w:rsidR="000727D2" w:rsidRPr="005A6573">
              <w:rPr>
                <w:rFonts w:ascii="Times New Roman" w:eastAsia="Times New Roman" w:hAnsi="Times New Roman"/>
                <w:sz w:val="24"/>
                <w:szCs w:val="24"/>
                <w:lang w:eastAsia="pl-PL"/>
              </w:rPr>
              <w:t xml:space="preserve"> (zarówno</w:t>
            </w:r>
            <w:r w:rsidRPr="005A6573">
              <w:rPr>
                <w:rFonts w:ascii="Times New Roman" w:eastAsia="Times New Roman" w:hAnsi="Times New Roman"/>
                <w:sz w:val="24"/>
                <w:szCs w:val="24"/>
                <w:lang w:eastAsia="pl-PL"/>
              </w:rPr>
              <w:t xml:space="preserve"> instytucjonalnych</w:t>
            </w:r>
            <w:r w:rsidR="000727D2" w:rsidRPr="005A6573">
              <w:rPr>
                <w:rFonts w:ascii="Times New Roman" w:eastAsia="Times New Roman" w:hAnsi="Times New Roman"/>
                <w:sz w:val="24"/>
                <w:szCs w:val="24"/>
                <w:lang w:eastAsia="pl-PL"/>
              </w:rPr>
              <w:t>, jak i indywidualnych)</w:t>
            </w:r>
            <w:r w:rsidRPr="001B3941">
              <w:rPr>
                <w:rFonts w:ascii="Times New Roman" w:eastAsia="Times New Roman" w:hAnsi="Times New Roman"/>
                <w:sz w:val="24"/>
                <w:szCs w:val="24"/>
                <w:lang w:eastAsia="pl-PL"/>
              </w:rPr>
              <w:t xml:space="preserve">, którzy z uwagi na własne regulacje wewnętrzne inwestują </w:t>
            </w:r>
            <w:r w:rsidR="000727D2" w:rsidRPr="001B3941">
              <w:rPr>
                <w:rFonts w:ascii="Times New Roman" w:eastAsia="Times New Roman" w:hAnsi="Times New Roman"/>
                <w:sz w:val="24"/>
                <w:szCs w:val="24"/>
                <w:lang w:eastAsia="pl-PL"/>
              </w:rPr>
              <w:t xml:space="preserve">zasadniczo </w:t>
            </w:r>
            <w:r w:rsidRPr="00907C51">
              <w:rPr>
                <w:rFonts w:ascii="Times New Roman" w:eastAsia="Times New Roman" w:hAnsi="Times New Roman"/>
                <w:sz w:val="24"/>
                <w:szCs w:val="24"/>
                <w:lang w:eastAsia="pl-PL"/>
              </w:rPr>
              <w:t>wyłącznie w UCITS. Ponadto polskie ETF nie są w pełni widoczne w międzynarodowych zestawieniach i bazach danych, które dla inst</w:t>
            </w:r>
            <w:r w:rsidRPr="00033B48">
              <w:rPr>
                <w:rFonts w:ascii="Times New Roman" w:eastAsia="Times New Roman" w:hAnsi="Times New Roman"/>
                <w:sz w:val="24"/>
                <w:szCs w:val="24"/>
                <w:lang w:eastAsia="pl-PL"/>
              </w:rPr>
              <w:t xml:space="preserve">ytucji finansowych stanowią podstawowe źródło informacji inwestycyjnej. Zdarza się, że pojawiają się np. w terminalach Bloomberg, ale w kluczowych bazach takich jak </w:t>
            </w:r>
            <w:proofErr w:type="spellStart"/>
            <w:r w:rsidRPr="00033B48">
              <w:rPr>
                <w:rFonts w:ascii="Times New Roman" w:eastAsia="Times New Roman" w:hAnsi="Times New Roman"/>
                <w:sz w:val="24"/>
                <w:szCs w:val="24"/>
                <w:lang w:eastAsia="pl-PL"/>
              </w:rPr>
              <w:t>Morningstar</w:t>
            </w:r>
            <w:proofErr w:type="spellEnd"/>
            <w:r w:rsidRPr="00033B48">
              <w:rPr>
                <w:rFonts w:ascii="Times New Roman" w:eastAsia="Times New Roman" w:hAnsi="Times New Roman"/>
                <w:sz w:val="24"/>
                <w:szCs w:val="24"/>
                <w:lang w:eastAsia="pl-PL"/>
              </w:rPr>
              <w:t xml:space="preserve"> czy </w:t>
            </w:r>
            <w:proofErr w:type="spellStart"/>
            <w:r w:rsidRPr="00033B48">
              <w:rPr>
                <w:rFonts w:ascii="Times New Roman" w:eastAsia="Times New Roman" w:hAnsi="Times New Roman"/>
                <w:sz w:val="24"/>
                <w:szCs w:val="24"/>
                <w:lang w:eastAsia="pl-PL"/>
              </w:rPr>
              <w:t>Refinitiv</w:t>
            </w:r>
            <w:proofErr w:type="spellEnd"/>
            <w:r w:rsidRPr="00033B48">
              <w:rPr>
                <w:rFonts w:ascii="Times New Roman" w:eastAsia="Times New Roman" w:hAnsi="Times New Roman"/>
                <w:sz w:val="24"/>
                <w:szCs w:val="24"/>
                <w:lang w:eastAsia="pl-PL"/>
              </w:rPr>
              <w:t xml:space="preserve"> pozostają niewidoczne. W rezultacie, pomimo że produkty te funkcjonują na </w:t>
            </w:r>
            <w:r w:rsidR="006E4185">
              <w:rPr>
                <w:rFonts w:ascii="Times New Roman" w:eastAsia="Times New Roman" w:hAnsi="Times New Roman"/>
                <w:sz w:val="24"/>
                <w:szCs w:val="24"/>
                <w:lang w:eastAsia="pl-PL"/>
              </w:rPr>
              <w:t>Giełdzie Papierów Wartościowych (</w:t>
            </w:r>
            <w:r w:rsidRPr="00033B48">
              <w:rPr>
                <w:rFonts w:ascii="Times New Roman" w:eastAsia="Times New Roman" w:hAnsi="Times New Roman"/>
                <w:sz w:val="24"/>
                <w:szCs w:val="24"/>
                <w:lang w:eastAsia="pl-PL"/>
              </w:rPr>
              <w:t>GPW</w:t>
            </w:r>
            <w:r w:rsidR="006E4185">
              <w:rPr>
                <w:rFonts w:ascii="Times New Roman" w:eastAsia="Times New Roman" w:hAnsi="Times New Roman"/>
                <w:sz w:val="24"/>
                <w:szCs w:val="24"/>
                <w:lang w:eastAsia="pl-PL"/>
              </w:rPr>
              <w:t>)</w:t>
            </w:r>
            <w:r w:rsidRPr="00033B48">
              <w:rPr>
                <w:rFonts w:ascii="Times New Roman" w:eastAsia="Times New Roman" w:hAnsi="Times New Roman"/>
                <w:sz w:val="24"/>
                <w:szCs w:val="24"/>
                <w:lang w:eastAsia="pl-PL"/>
              </w:rPr>
              <w:t xml:space="preserve"> i oferują dostęp do polskich indeksów giełdowych, ich rozpoznawalność i dostępność na rynkach międzynarodowych jest ograniczona.</w:t>
            </w:r>
          </w:p>
          <w:p w14:paraId="2F49525D" w14:textId="295EC198" w:rsidR="00033B48" w:rsidRPr="00033B48" w:rsidRDefault="00892435" w:rsidP="009016B4">
            <w:pPr>
              <w:spacing w:before="120" w:after="120" w:line="240" w:lineRule="auto"/>
              <w:jc w:val="both"/>
              <w:rPr>
                <w:rFonts w:ascii="Times New Roman" w:eastAsia="Times New Roman" w:hAnsi="Times New Roman"/>
                <w:sz w:val="24"/>
                <w:szCs w:val="24"/>
                <w:lang w:eastAsia="pl-PL"/>
              </w:rPr>
            </w:pPr>
            <w:r w:rsidRPr="00033B48">
              <w:rPr>
                <w:rFonts w:ascii="Times New Roman" w:eastAsia="Times New Roman" w:hAnsi="Times New Roman"/>
                <w:sz w:val="24"/>
                <w:szCs w:val="24"/>
                <w:lang w:eastAsia="pl-PL"/>
              </w:rPr>
              <w:t xml:space="preserve">Dodatkowym problemem jest bardzo mała skala rynku ETF w Polsce. Aktywa zgromadzone w krajowych ET są wielokrotnie mniejsze niż w funduszach notowanych na rynkach Europy Zachodniej. </w:t>
            </w:r>
            <w:r w:rsidR="00E77E30" w:rsidRPr="00033B48">
              <w:rPr>
                <w:rFonts w:ascii="Times New Roman" w:hAnsi="Times New Roman"/>
                <w:sz w:val="24"/>
                <w:szCs w:val="24"/>
              </w:rPr>
              <w:t>Wartość aktywów funduszy ETF na świecie sięgnęła</w:t>
            </w:r>
            <w:r w:rsidR="009016B4">
              <w:rPr>
                <w:rFonts w:ascii="Times New Roman" w:hAnsi="Times New Roman"/>
                <w:sz w:val="24"/>
                <w:szCs w:val="24"/>
              </w:rPr>
              <w:t xml:space="preserve"> </w:t>
            </w:r>
            <w:r w:rsidR="009A656B" w:rsidRPr="00033B48">
              <w:rPr>
                <w:rFonts w:ascii="Times New Roman" w:hAnsi="Times New Roman"/>
                <w:sz w:val="24"/>
                <w:szCs w:val="24"/>
              </w:rPr>
              <w:t xml:space="preserve">na koniec III kwartału </w:t>
            </w:r>
            <w:r w:rsidR="00E77E30" w:rsidRPr="00033B48">
              <w:rPr>
                <w:rFonts w:ascii="Times New Roman" w:hAnsi="Times New Roman"/>
                <w:sz w:val="24"/>
                <w:szCs w:val="24"/>
              </w:rPr>
              <w:t>2025 r</w:t>
            </w:r>
            <w:r w:rsidR="006E4185">
              <w:rPr>
                <w:rFonts w:ascii="Times New Roman" w:hAnsi="Times New Roman"/>
                <w:sz w:val="24"/>
                <w:szCs w:val="24"/>
              </w:rPr>
              <w:t>.</w:t>
            </w:r>
            <w:r w:rsidR="00E77E30" w:rsidRPr="00033B48">
              <w:rPr>
                <w:rFonts w:ascii="Times New Roman" w:hAnsi="Times New Roman"/>
                <w:sz w:val="24"/>
                <w:szCs w:val="24"/>
              </w:rPr>
              <w:t xml:space="preserve"> </w:t>
            </w:r>
            <w:r w:rsidR="009A656B" w:rsidRPr="00033B48">
              <w:rPr>
                <w:rFonts w:ascii="Times New Roman" w:hAnsi="Times New Roman"/>
                <w:sz w:val="24"/>
                <w:szCs w:val="24"/>
              </w:rPr>
              <w:t xml:space="preserve">ponad </w:t>
            </w:r>
            <w:r w:rsidR="00E77E30" w:rsidRPr="00033B48">
              <w:rPr>
                <w:rFonts w:ascii="Times New Roman" w:hAnsi="Times New Roman"/>
                <w:sz w:val="24"/>
                <w:szCs w:val="24"/>
              </w:rPr>
              <w:t>1</w:t>
            </w:r>
            <w:r w:rsidR="009A656B" w:rsidRPr="00033B48">
              <w:rPr>
                <w:rFonts w:ascii="Times New Roman" w:hAnsi="Times New Roman"/>
                <w:sz w:val="24"/>
                <w:szCs w:val="24"/>
              </w:rPr>
              <w:t>8</w:t>
            </w:r>
            <w:r w:rsidR="00E77E30" w:rsidRPr="00033B48">
              <w:rPr>
                <w:rFonts w:ascii="Times New Roman" w:hAnsi="Times New Roman"/>
                <w:sz w:val="24"/>
                <w:szCs w:val="24"/>
              </w:rPr>
              <w:t xml:space="preserve"> bilionów dolarów, a w Europie 2,</w:t>
            </w:r>
            <w:r w:rsidR="009A656B" w:rsidRPr="00033B48">
              <w:rPr>
                <w:rFonts w:ascii="Times New Roman" w:hAnsi="Times New Roman"/>
                <w:sz w:val="24"/>
                <w:szCs w:val="24"/>
              </w:rPr>
              <w:t>8</w:t>
            </w:r>
            <w:r w:rsidR="00E77E30" w:rsidRPr="00033B48">
              <w:rPr>
                <w:rFonts w:ascii="Times New Roman" w:hAnsi="Times New Roman"/>
                <w:sz w:val="24"/>
                <w:szCs w:val="24"/>
              </w:rPr>
              <w:t xml:space="preserve"> bilionów dolarów. Rośnie również liczba funduszy i zróżnicowanie oferty produktowej. W połowie 2025 r</w:t>
            </w:r>
            <w:r w:rsidR="006E4185">
              <w:rPr>
                <w:rFonts w:ascii="Times New Roman" w:hAnsi="Times New Roman"/>
                <w:sz w:val="24"/>
                <w:szCs w:val="24"/>
              </w:rPr>
              <w:t>.</w:t>
            </w:r>
            <w:r w:rsidR="00E77E30" w:rsidRPr="00033B48">
              <w:rPr>
                <w:rFonts w:ascii="Times New Roman" w:hAnsi="Times New Roman"/>
                <w:sz w:val="24"/>
                <w:szCs w:val="24"/>
              </w:rPr>
              <w:t xml:space="preserve"> na świecie notowanych było </w:t>
            </w:r>
            <w:r w:rsidR="009A656B" w:rsidRPr="00033B48">
              <w:rPr>
                <w:rFonts w:ascii="Times New Roman" w:hAnsi="Times New Roman"/>
                <w:sz w:val="24"/>
                <w:szCs w:val="24"/>
              </w:rPr>
              <w:t xml:space="preserve">ponad </w:t>
            </w:r>
            <w:r w:rsidR="00E77E30" w:rsidRPr="00033B48">
              <w:rPr>
                <w:rFonts w:ascii="Times New Roman" w:hAnsi="Times New Roman"/>
                <w:sz w:val="24"/>
                <w:szCs w:val="24"/>
              </w:rPr>
              <w:t>1</w:t>
            </w:r>
            <w:r w:rsidR="009A656B" w:rsidRPr="00033B48">
              <w:rPr>
                <w:rFonts w:ascii="Times New Roman" w:hAnsi="Times New Roman"/>
                <w:sz w:val="24"/>
                <w:szCs w:val="24"/>
              </w:rPr>
              <w:t>5</w:t>
            </w:r>
            <w:r w:rsidR="00E77E30" w:rsidRPr="00033B48">
              <w:rPr>
                <w:rFonts w:ascii="Times New Roman" w:hAnsi="Times New Roman"/>
                <w:sz w:val="24"/>
                <w:szCs w:val="24"/>
              </w:rPr>
              <w:t xml:space="preserve"> tys. funduszy ETF. Dla porównania na warszawskiej giełdzie na koniec 202</w:t>
            </w:r>
            <w:r w:rsidR="009A656B" w:rsidRPr="00033B48">
              <w:rPr>
                <w:rFonts w:ascii="Times New Roman" w:hAnsi="Times New Roman"/>
                <w:sz w:val="24"/>
                <w:szCs w:val="24"/>
              </w:rPr>
              <w:t>5</w:t>
            </w:r>
            <w:r w:rsidR="00E77E30" w:rsidRPr="00033B48">
              <w:rPr>
                <w:rFonts w:ascii="Times New Roman" w:hAnsi="Times New Roman"/>
                <w:sz w:val="24"/>
                <w:szCs w:val="24"/>
              </w:rPr>
              <w:t xml:space="preserve"> r</w:t>
            </w:r>
            <w:r w:rsidR="006E4185">
              <w:rPr>
                <w:rFonts w:ascii="Times New Roman" w:hAnsi="Times New Roman"/>
                <w:sz w:val="24"/>
                <w:szCs w:val="24"/>
              </w:rPr>
              <w:t>.</w:t>
            </w:r>
            <w:r w:rsidR="00E77E30" w:rsidRPr="00033B48">
              <w:rPr>
                <w:rFonts w:ascii="Times New Roman" w:hAnsi="Times New Roman"/>
                <w:sz w:val="24"/>
                <w:szCs w:val="24"/>
              </w:rPr>
              <w:t xml:space="preserve"> było 1</w:t>
            </w:r>
            <w:r w:rsidR="009A656B" w:rsidRPr="00033B48">
              <w:rPr>
                <w:rFonts w:ascii="Times New Roman" w:hAnsi="Times New Roman"/>
                <w:sz w:val="24"/>
                <w:szCs w:val="24"/>
              </w:rPr>
              <w:t>6</w:t>
            </w:r>
            <w:r w:rsidR="00E77E30" w:rsidRPr="00033B48">
              <w:rPr>
                <w:rFonts w:ascii="Times New Roman" w:hAnsi="Times New Roman"/>
                <w:sz w:val="24"/>
                <w:szCs w:val="24"/>
              </w:rPr>
              <w:t xml:space="preserve"> takich funduszy, o dwa rzędy wielkości mniej niż na przykład na Deutsche </w:t>
            </w:r>
            <w:proofErr w:type="spellStart"/>
            <w:r w:rsidR="00E77E30" w:rsidRPr="00033B48">
              <w:rPr>
                <w:rFonts w:ascii="Times New Roman" w:hAnsi="Times New Roman"/>
                <w:sz w:val="24"/>
                <w:szCs w:val="24"/>
              </w:rPr>
              <w:t>Börse</w:t>
            </w:r>
            <w:proofErr w:type="spellEnd"/>
            <w:r w:rsidRPr="00033B48">
              <w:rPr>
                <w:rFonts w:ascii="Times New Roman" w:eastAsia="Times New Roman" w:hAnsi="Times New Roman"/>
                <w:sz w:val="24"/>
                <w:szCs w:val="24"/>
                <w:lang w:eastAsia="pl-PL"/>
              </w:rPr>
              <w:t xml:space="preserve">. W efekcie rynek ETF w Polsce rozwija się wolniej, a krajowi inwestorzy wybierają zagraniczne produkty, co oznacza odpływ kapitału i brak korzyści dla GPW, </w:t>
            </w:r>
            <w:r w:rsidR="006E4185">
              <w:rPr>
                <w:rFonts w:ascii="Times New Roman" w:eastAsia="Times New Roman" w:hAnsi="Times New Roman"/>
                <w:sz w:val="24"/>
                <w:szCs w:val="24"/>
                <w:lang w:eastAsia="pl-PL"/>
              </w:rPr>
              <w:t xml:space="preserve">Krajowego Depozytu Papierów Wartościowych </w:t>
            </w:r>
            <w:r w:rsidR="00CD62B1">
              <w:rPr>
                <w:rFonts w:ascii="Times New Roman" w:eastAsia="Times New Roman" w:hAnsi="Times New Roman"/>
                <w:sz w:val="24"/>
                <w:szCs w:val="24"/>
                <w:lang w:eastAsia="pl-PL"/>
              </w:rPr>
              <w:t xml:space="preserve">S.A. </w:t>
            </w:r>
            <w:r w:rsidR="006E4185">
              <w:rPr>
                <w:rFonts w:ascii="Times New Roman" w:eastAsia="Times New Roman" w:hAnsi="Times New Roman"/>
                <w:sz w:val="24"/>
                <w:szCs w:val="24"/>
                <w:lang w:eastAsia="pl-PL"/>
              </w:rPr>
              <w:t>(</w:t>
            </w:r>
            <w:r w:rsidRPr="00033B48">
              <w:rPr>
                <w:rFonts w:ascii="Times New Roman" w:eastAsia="Times New Roman" w:hAnsi="Times New Roman"/>
                <w:sz w:val="24"/>
                <w:szCs w:val="24"/>
                <w:lang w:eastAsia="pl-PL"/>
              </w:rPr>
              <w:t>KDPW</w:t>
            </w:r>
            <w:r w:rsidR="006E4185">
              <w:rPr>
                <w:rFonts w:ascii="Times New Roman" w:eastAsia="Times New Roman" w:hAnsi="Times New Roman"/>
                <w:sz w:val="24"/>
                <w:szCs w:val="24"/>
                <w:lang w:eastAsia="pl-PL"/>
              </w:rPr>
              <w:t xml:space="preserve">) </w:t>
            </w:r>
            <w:r w:rsidRPr="00033B48">
              <w:rPr>
                <w:rFonts w:ascii="Times New Roman" w:eastAsia="Times New Roman" w:hAnsi="Times New Roman"/>
                <w:sz w:val="24"/>
                <w:szCs w:val="24"/>
                <w:lang w:eastAsia="pl-PL"/>
              </w:rPr>
              <w:t>oraz lokalnych instytucji finansowych.</w:t>
            </w:r>
          </w:p>
          <w:p w14:paraId="78DD4435" w14:textId="2B8D8DA2" w:rsidR="00F179B1" w:rsidRPr="001B3941" w:rsidRDefault="00F179B1" w:rsidP="009016B4">
            <w:pPr>
              <w:pStyle w:val="Akapitzlist"/>
              <w:numPr>
                <w:ilvl w:val="0"/>
                <w:numId w:val="22"/>
              </w:numPr>
              <w:spacing w:before="120" w:after="120" w:line="240" w:lineRule="auto"/>
              <w:jc w:val="both"/>
              <w:rPr>
                <w:rFonts w:ascii="Times New Roman" w:eastAsia="Times New Roman" w:hAnsi="Times New Roman"/>
                <w:sz w:val="24"/>
                <w:szCs w:val="24"/>
                <w:lang w:eastAsia="pl-PL"/>
              </w:rPr>
            </w:pPr>
            <w:r w:rsidRPr="0073251B">
              <w:rPr>
                <w:rFonts w:ascii="Times New Roman" w:eastAsia="Times New Roman" w:hAnsi="Times New Roman"/>
                <w:b/>
                <w:bCs/>
                <w:sz w:val="24"/>
                <w:szCs w:val="24"/>
                <w:lang w:eastAsia="pl-PL"/>
              </w:rPr>
              <w:lastRenderedPageBreak/>
              <w:t xml:space="preserve">Nowa kategoria alternatywnego funduszu inwestycyjnego – </w:t>
            </w:r>
            <w:r w:rsidR="002E27DF" w:rsidRPr="0073251B">
              <w:rPr>
                <w:rFonts w:ascii="Times New Roman" w:eastAsia="Times New Roman" w:hAnsi="Times New Roman"/>
                <w:b/>
                <w:bCs/>
                <w:sz w:val="24"/>
                <w:szCs w:val="24"/>
                <w:lang w:eastAsia="pl-PL"/>
              </w:rPr>
              <w:t xml:space="preserve">Kwalifikowany </w:t>
            </w:r>
            <w:r w:rsidRPr="005A6573">
              <w:rPr>
                <w:rFonts w:ascii="Times New Roman" w:eastAsia="Times New Roman" w:hAnsi="Times New Roman"/>
                <w:b/>
                <w:bCs/>
                <w:sz w:val="24"/>
                <w:szCs w:val="24"/>
                <w:lang w:eastAsia="pl-PL"/>
              </w:rPr>
              <w:t>Funduszu</w:t>
            </w:r>
            <w:r w:rsidR="009016B4">
              <w:rPr>
                <w:rFonts w:ascii="Times New Roman" w:eastAsia="Times New Roman" w:hAnsi="Times New Roman"/>
                <w:b/>
                <w:bCs/>
                <w:sz w:val="24"/>
                <w:szCs w:val="24"/>
                <w:lang w:eastAsia="pl-PL"/>
              </w:rPr>
              <w:t xml:space="preserve"> </w:t>
            </w:r>
            <w:r w:rsidR="002E27DF" w:rsidRPr="005A6573">
              <w:rPr>
                <w:rFonts w:ascii="Times New Roman" w:eastAsia="Times New Roman" w:hAnsi="Times New Roman"/>
                <w:b/>
                <w:bCs/>
                <w:sz w:val="24"/>
                <w:szCs w:val="24"/>
                <w:lang w:eastAsia="pl-PL"/>
              </w:rPr>
              <w:t>Inwestycyjny</w:t>
            </w:r>
          </w:p>
          <w:p w14:paraId="40B1D18A" w14:textId="6C1D4404" w:rsidR="00F179B1" w:rsidRPr="00033B48" w:rsidRDefault="00F179B1" w:rsidP="009016B4">
            <w:pPr>
              <w:spacing w:before="120" w:after="120" w:line="240" w:lineRule="auto"/>
              <w:jc w:val="both"/>
              <w:rPr>
                <w:rFonts w:ascii="Times New Roman" w:eastAsia="Times New Roman" w:hAnsi="Times New Roman"/>
                <w:sz w:val="24"/>
                <w:szCs w:val="24"/>
                <w:lang w:eastAsia="pl-PL"/>
              </w:rPr>
            </w:pPr>
            <w:r w:rsidRPr="001B3941">
              <w:rPr>
                <w:rFonts w:ascii="Times New Roman" w:eastAsia="Times New Roman" w:hAnsi="Times New Roman"/>
                <w:sz w:val="24"/>
                <w:szCs w:val="24"/>
                <w:lang w:eastAsia="pl-PL"/>
              </w:rPr>
              <w:t xml:space="preserve">Drugim istotnym problemem jest brak w polskim prawie konstrukcji prawnej przeznaczonej do inwestycji kapitałowych w </w:t>
            </w:r>
            <w:r w:rsidRPr="00033B48">
              <w:rPr>
                <w:rFonts w:ascii="Times New Roman" w:eastAsia="Times New Roman" w:hAnsi="Times New Roman"/>
                <w:sz w:val="24"/>
                <w:szCs w:val="24"/>
                <w:lang w:eastAsia="pl-PL"/>
              </w:rPr>
              <w:t xml:space="preserve">fundusze dostosowane do wiodących międzynarodowych standardów rynku VC/PE/PD/PI. Ani fundusz inwestycyjny zamknięty, ani alternatywna spółka inwestycyjna nie posiadają kluczowych cech wymaganych przez inwestorów na prywatnym rynku kapitałowym. Struktury takie jak </w:t>
            </w:r>
            <w:r w:rsidR="00FB30D0" w:rsidRPr="00FB30D0">
              <w:rPr>
                <w:rFonts w:ascii="Times New Roman" w:eastAsia="Times New Roman" w:hAnsi="Times New Roman"/>
                <w:sz w:val="24"/>
                <w:szCs w:val="24"/>
                <w:lang w:eastAsia="pl-PL"/>
              </w:rPr>
              <w:t>niepubliczny fundusz inwestycyjny zamknięty</w:t>
            </w:r>
            <w:r w:rsidR="00FB30D0">
              <w:rPr>
                <w:rFonts w:ascii="Times New Roman" w:eastAsia="Times New Roman" w:hAnsi="Times New Roman"/>
                <w:sz w:val="24"/>
                <w:szCs w:val="24"/>
                <w:lang w:eastAsia="pl-PL"/>
              </w:rPr>
              <w:t xml:space="preserve"> (niepubliczny FIZ)</w:t>
            </w:r>
            <w:r w:rsidRPr="00033B48">
              <w:rPr>
                <w:rFonts w:ascii="Times New Roman" w:eastAsia="Times New Roman" w:hAnsi="Times New Roman"/>
                <w:sz w:val="24"/>
                <w:szCs w:val="24"/>
                <w:lang w:eastAsia="pl-PL"/>
              </w:rPr>
              <w:t xml:space="preserve"> czy </w:t>
            </w:r>
            <w:r w:rsidR="00FB30D0">
              <w:rPr>
                <w:rFonts w:ascii="Times New Roman" w:eastAsia="Times New Roman" w:hAnsi="Times New Roman"/>
                <w:sz w:val="24"/>
                <w:szCs w:val="24"/>
                <w:lang w:eastAsia="pl-PL"/>
              </w:rPr>
              <w:t>alternatywna spółka inwestycyjna (</w:t>
            </w:r>
            <w:r w:rsidRPr="00033B48">
              <w:rPr>
                <w:rFonts w:ascii="Times New Roman" w:eastAsia="Times New Roman" w:hAnsi="Times New Roman"/>
                <w:sz w:val="24"/>
                <w:szCs w:val="24"/>
                <w:lang w:eastAsia="pl-PL"/>
              </w:rPr>
              <w:t>ASI</w:t>
            </w:r>
            <w:r w:rsidR="00FB30D0">
              <w:rPr>
                <w:rFonts w:ascii="Times New Roman" w:eastAsia="Times New Roman" w:hAnsi="Times New Roman"/>
                <w:sz w:val="24"/>
                <w:szCs w:val="24"/>
                <w:lang w:eastAsia="pl-PL"/>
              </w:rPr>
              <w:t>)</w:t>
            </w:r>
            <w:r w:rsidRPr="00033B48">
              <w:rPr>
                <w:rFonts w:ascii="Times New Roman" w:eastAsia="Times New Roman" w:hAnsi="Times New Roman"/>
                <w:sz w:val="24"/>
                <w:szCs w:val="24"/>
                <w:lang w:eastAsia="pl-PL"/>
              </w:rPr>
              <w:t xml:space="preserve"> są nieelastyczne, kosztowne operacyjnie i nie pozwalają na implementacje kluczowych mechanizmów zapewniających wspólnotę interesów inwestorów i podmiotu zarządzającego.</w:t>
            </w:r>
          </w:p>
          <w:p w14:paraId="1BCB9321" w14:textId="5143884B" w:rsidR="00033B48" w:rsidRPr="00033B48" w:rsidRDefault="00F179B1" w:rsidP="009016B4">
            <w:pPr>
              <w:spacing w:before="120" w:after="120" w:line="240" w:lineRule="auto"/>
              <w:jc w:val="both"/>
              <w:rPr>
                <w:rFonts w:ascii="Times New Roman" w:eastAsia="Times New Roman" w:hAnsi="Times New Roman"/>
                <w:sz w:val="24"/>
                <w:szCs w:val="24"/>
                <w:lang w:eastAsia="pl-PL"/>
              </w:rPr>
            </w:pPr>
            <w:r w:rsidRPr="00033B48">
              <w:rPr>
                <w:rFonts w:ascii="Times New Roman" w:eastAsia="Times New Roman" w:hAnsi="Times New Roman"/>
                <w:sz w:val="24"/>
                <w:szCs w:val="24"/>
                <w:lang w:eastAsia="pl-PL"/>
              </w:rPr>
              <w:t xml:space="preserve">W konsekwencji inwestycje wspierające rozwój innowacyjnych gałęzi gospodarki realizowane są przede wszystkim za pomocą zagranicznych wehikułów, w szczególności w Luksemburgu czy Irlandii, które oferują elastyczne rozwiązania prawne i podatkowe, powstają nieuzasadnione bariery dla aktywowania kapitału prywatnego, a polski rynek VC i PE pozostaje w dużym stopniu zależny od finansowania publicznego. Środki z Polskiego Funduszu Rozwoju </w:t>
            </w:r>
            <w:r w:rsidR="006E4185">
              <w:rPr>
                <w:rFonts w:ascii="Times New Roman" w:eastAsia="Times New Roman" w:hAnsi="Times New Roman"/>
                <w:sz w:val="24"/>
                <w:szCs w:val="24"/>
                <w:lang w:eastAsia="pl-PL"/>
              </w:rPr>
              <w:t xml:space="preserve">(PFR) </w:t>
            </w:r>
            <w:r w:rsidRPr="00033B48">
              <w:rPr>
                <w:rFonts w:ascii="Times New Roman" w:eastAsia="Times New Roman" w:hAnsi="Times New Roman"/>
                <w:sz w:val="24"/>
                <w:szCs w:val="24"/>
                <w:lang w:eastAsia="pl-PL"/>
              </w:rPr>
              <w:t>czy Narodowego Centrum Badań i Rozwoju odgrywają istotną rolę w tym obszarze, ale prywatny kapitał często pozostaje nieaktywny w tym obszarze, bądź kieruje się do struktur zagranicznych, inwestujących w duże mierze poza terytorium RP. Oznacza to, że Polska traci potencjał przyciągania inwestorów prywatnych, a innowacyjne przedsiębiorstwa w kraju mają ograniczony dostęp do finansowania kapitałowego.</w:t>
            </w:r>
          </w:p>
          <w:p w14:paraId="34A94EFC" w14:textId="44C7A444" w:rsidR="00033B48" w:rsidRPr="00D05697" w:rsidRDefault="00A756DB" w:rsidP="009016B4">
            <w:pPr>
              <w:spacing w:before="120" w:after="120" w:line="240" w:lineRule="auto"/>
              <w:jc w:val="both"/>
              <w:rPr>
                <w:rFonts w:ascii="Times New Roman" w:eastAsia="Times New Roman" w:hAnsi="Times New Roman"/>
                <w:sz w:val="24"/>
                <w:szCs w:val="24"/>
                <w:lang w:eastAsia="pl-PL"/>
              </w:rPr>
            </w:pPr>
            <w:r w:rsidRPr="0073251B">
              <w:rPr>
                <w:rFonts w:ascii="Times New Roman" w:eastAsia="Times New Roman" w:hAnsi="Times New Roman"/>
                <w:sz w:val="24"/>
                <w:szCs w:val="24"/>
                <w:lang w:eastAsia="pl-PL"/>
              </w:rPr>
              <w:t xml:space="preserve">Zasadne jest </w:t>
            </w:r>
            <w:r w:rsidR="00122A56" w:rsidRPr="0073251B">
              <w:rPr>
                <w:rFonts w:ascii="Times New Roman" w:eastAsia="Times New Roman" w:hAnsi="Times New Roman"/>
                <w:sz w:val="24"/>
                <w:szCs w:val="24"/>
                <w:lang w:eastAsia="pl-PL"/>
              </w:rPr>
              <w:t xml:space="preserve">też </w:t>
            </w:r>
            <w:r w:rsidRPr="005A6573">
              <w:rPr>
                <w:rFonts w:ascii="Times New Roman" w:eastAsia="Times New Roman" w:hAnsi="Times New Roman"/>
                <w:sz w:val="24"/>
                <w:szCs w:val="24"/>
                <w:lang w:eastAsia="pl-PL"/>
              </w:rPr>
              <w:t xml:space="preserve">doprecyzowanie możliwości inwestowania przez pracownicze plany kapitałowe i fundusze emerytalne w fundusze </w:t>
            </w:r>
            <w:r w:rsidRPr="001B3941">
              <w:rPr>
                <w:rFonts w:ascii="Times New Roman" w:eastAsia="Times New Roman" w:hAnsi="Times New Roman"/>
                <w:sz w:val="24"/>
                <w:szCs w:val="24"/>
                <w:lang w:eastAsia="pl-PL"/>
              </w:rPr>
              <w:t xml:space="preserve">rynku prywatnego, aby umożliwić długoterminowe lokowanie kapitału w innowacyjne sektory gospodarki przy jednoczesnym zwiększeniu dywersyfikacji portfeli i potencjału wyższych długoterminowych stóp zwrotu dla uczestników systemu emerytalnego. Obowiązujące obecnie limity zaangażowania, wymogi płynności oraz konstrukcja wynagrodzenia za zarządzanie w praktyce wyłączają polskie fundusze emerytalne z tego segmentu rynku, podczas gdy ich dostosowanie do standardów UE i OECD pozwoliłoby zwiększyć udział krajowego </w:t>
            </w:r>
            <w:r w:rsidRPr="00033B48">
              <w:rPr>
                <w:rFonts w:ascii="Times New Roman" w:eastAsia="Times New Roman" w:hAnsi="Times New Roman"/>
                <w:sz w:val="24"/>
                <w:szCs w:val="24"/>
                <w:lang w:eastAsia="pl-PL"/>
              </w:rPr>
              <w:t>kapitału instytucjonalnego w finansowaniu innowacyjnych przedsiębiorstw i rozwoju gospodarki.</w:t>
            </w:r>
          </w:p>
        </w:tc>
      </w:tr>
      <w:tr w:rsidR="006A701A" w:rsidRPr="008B4FE6" w14:paraId="3DE64967" w14:textId="77777777" w:rsidTr="0053280C">
        <w:trPr>
          <w:trHeight w:val="142"/>
        </w:trPr>
        <w:tc>
          <w:tcPr>
            <w:tcW w:w="10661" w:type="dxa"/>
            <w:gridSpan w:val="29"/>
            <w:shd w:val="clear" w:color="auto" w:fill="99CCFF"/>
            <w:vAlign w:val="center"/>
          </w:tcPr>
          <w:p w14:paraId="09708D38" w14:textId="10AF5C1D" w:rsidR="006A701A" w:rsidRPr="00765840" w:rsidRDefault="0013216E" w:rsidP="00C53F26">
            <w:pPr>
              <w:numPr>
                <w:ilvl w:val="0"/>
                <w:numId w:val="3"/>
              </w:numPr>
              <w:spacing w:before="60" w:after="60" w:line="240" w:lineRule="auto"/>
              <w:ind w:left="318" w:hanging="284"/>
              <w:jc w:val="both"/>
              <w:rPr>
                <w:rFonts w:ascii="Times New Roman" w:hAnsi="Times New Roman"/>
                <w:b/>
                <w:color w:val="000000"/>
              </w:rPr>
            </w:pPr>
            <w:r w:rsidRPr="00765840">
              <w:rPr>
                <w:rFonts w:ascii="Times New Roman" w:hAnsi="Times New Roman"/>
                <w:b/>
                <w:color w:val="000000"/>
                <w:spacing w:val="-2"/>
              </w:rPr>
              <w:lastRenderedPageBreak/>
              <w:t>Rekomendowane rozwiązanie, w tym planowane narzędzia interwencji, i oczekiwany efekt</w:t>
            </w:r>
          </w:p>
        </w:tc>
      </w:tr>
      <w:tr w:rsidR="006A701A" w:rsidRPr="008B4FE6" w14:paraId="39705467" w14:textId="77777777" w:rsidTr="0053280C">
        <w:trPr>
          <w:trHeight w:val="142"/>
        </w:trPr>
        <w:tc>
          <w:tcPr>
            <w:tcW w:w="10661" w:type="dxa"/>
            <w:gridSpan w:val="29"/>
          </w:tcPr>
          <w:p w14:paraId="0C84371E" w14:textId="6D7E81C0" w:rsidR="00DE2465" w:rsidRPr="00DA42E6" w:rsidRDefault="00E77E30" w:rsidP="009016B4">
            <w:pPr>
              <w:spacing w:before="120" w:after="120" w:line="240" w:lineRule="auto"/>
              <w:jc w:val="both"/>
              <w:rPr>
                <w:rFonts w:ascii="Times New Roman" w:eastAsia="Times New Roman" w:hAnsi="Times New Roman"/>
                <w:sz w:val="24"/>
                <w:szCs w:val="24"/>
                <w:lang w:eastAsia="pl-PL"/>
              </w:rPr>
            </w:pPr>
            <w:r w:rsidRPr="00DA42E6">
              <w:rPr>
                <w:rFonts w:ascii="Times New Roman" w:eastAsia="Times New Roman" w:hAnsi="Times New Roman"/>
                <w:sz w:val="24"/>
                <w:szCs w:val="24"/>
                <w:lang w:eastAsia="pl-PL"/>
              </w:rPr>
              <w:t>Celem projektu ustawy jest likwidacja barier regulacyjnych i wprowadzenie rozwiązań zapewniających dynamiczny rozwój rynku kapitałowego oraz stworzeni</w:t>
            </w:r>
            <w:r w:rsidR="00BF5FBB" w:rsidRPr="00DA42E6">
              <w:rPr>
                <w:rFonts w:ascii="Times New Roman" w:eastAsia="Times New Roman" w:hAnsi="Times New Roman"/>
                <w:sz w:val="24"/>
                <w:szCs w:val="24"/>
                <w:lang w:eastAsia="pl-PL"/>
              </w:rPr>
              <w:t>e</w:t>
            </w:r>
            <w:r w:rsidRPr="00DA42E6">
              <w:rPr>
                <w:rFonts w:ascii="Times New Roman" w:eastAsia="Times New Roman" w:hAnsi="Times New Roman"/>
                <w:sz w:val="24"/>
                <w:szCs w:val="24"/>
                <w:lang w:eastAsia="pl-PL"/>
              </w:rPr>
              <w:t xml:space="preserve"> towarzystwom funduszy inwestycyjnych warunków równej konkurencji z funduszami zagranicznymi</w:t>
            </w:r>
            <w:r w:rsidR="001301E7" w:rsidRPr="00DA42E6">
              <w:rPr>
                <w:rFonts w:ascii="Times New Roman" w:eastAsia="Times New Roman" w:hAnsi="Times New Roman"/>
                <w:sz w:val="24"/>
                <w:szCs w:val="24"/>
                <w:lang w:eastAsia="pl-PL"/>
              </w:rPr>
              <w:t>.</w:t>
            </w:r>
          </w:p>
          <w:p w14:paraId="09DCE49D" w14:textId="039DA7B8" w:rsidR="00033B48" w:rsidRPr="00DA42E6" w:rsidRDefault="00DE2465" w:rsidP="009016B4">
            <w:pPr>
              <w:spacing w:before="120" w:after="120" w:line="240" w:lineRule="auto"/>
              <w:jc w:val="both"/>
              <w:rPr>
                <w:rFonts w:ascii="Times New Roman" w:eastAsia="Times New Roman" w:hAnsi="Times New Roman"/>
                <w:sz w:val="24"/>
                <w:szCs w:val="24"/>
                <w:lang w:eastAsia="pl-PL"/>
              </w:rPr>
            </w:pPr>
            <w:r w:rsidRPr="00DA42E6">
              <w:rPr>
                <w:rFonts w:ascii="Times New Roman" w:eastAsia="Times New Roman" w:hAnsi="Times New Roman"/>
                <w:sz w:val="24"/>
                <w:szCs w:val="24"/>
                <w:lang w:eastAsia="pl-PL"/>
              </w:rPr>
              <w:t>Projekt ustawy przewiduje działania w komplementarnych obszarach, które mają na celu usunięcie obecnych barier</w:t>
            </w:r>
            <w:r w:rsidR="00943602" w:rsidRPr="00DA42E6">
              <w:rPr>
                <w:rFonts w:ascii="Times New Roman" w:eastAsia="Times New Roman" w:hAnsi="Times New Roman"/>
                <w:sz w:val="24"/>
                <w:szCs w:val="24"/>
                <w:lang w:eastAsia="pl-PL"/>
              </w:rPr>
              <w:t xml:space="preserve"> </w:t>
            </w:r>
            <w:r w:rsidRPr="00DA42E6">
              <w:rPr>
                <w:rFonts w:ascii="Times New Roman" w:eastAsia="Times New Roman" w:hAnsi="Times New Roman"/>
                <w:sz w:val="24"/>
                <w:szCs w:val="24"/>
                <w:lang w:eastAsia="pl-PL"/>
              </w:rPr>
              <w:t>prawnych, zwiększenie atrakcyjności polskiego rynku kapitałowego i przyciągnięcie większego udziału kapitału prywatnego – zarówno krajowego, jak i zagranicznego.</w:t>
            </w:r>
          </w:p>
          <w:p w14:paraId="1E5EA3F5" w14:textId="2B89A868" w:rsidR="008E7323" w:rsidRPr="00DA42E6" w:rsidRDefault="008E7323" w:rsidP="009016B4">
            <w:pPr>
              <w:numPr>
                <w:ilvl w:val="0"/>
                <w:numId w:val="27"/>
              </w:numPr>
              <w:spacing w:before="120" w:after="120" w:line="240" w:lineRule="auto"/>
              <w:jc w:val="both"/>
              <w:rPr>
                <w:rFonts w:ascii="Times New Roman" w:eastAsia="Times New Roman" w:hAnsi="Times New Roman"/>
                <w:b/>
                <w:bCs/>
                <w:sz w:val="24"/>
                <w:szCs w:val="24"/>
                <w:lang w:eastAsia="pl-PL"/>
              </w:rPr>
            </w:pPr>
            <w:r w:rsidRPr="00DA42E6">
              <w:rPr>
                <w:rFonts w:ascii="Times New Roman" w:eastAsia="Times New Roman" w:hAnsi="Times New Roman"/>
                <w:b/>
                <w:bCs/>
                <w:sz w:val="24"/>
                <w:szCs w:val="24"/>
                <w:lang w:eastAsia="pl-PL"/>
              </w:rPr>
              <w:t xml:space="preserve">Reforma ram prawnych dotyczących funduszy ETF (Exchange </w:t>
            </w:r>
            <w:proofErr w:type="spellStart"/>
            <w:r w:rsidRPr="00DA42E6">
              <w:rPr>
                <w:rFonts w:ascii="Times New Roman" w:eastAsia="Times New Roman" w:hAnsi="Times New Roman"/>
                <w:b/>
                <w:bCs/>
                <w:sz w:val="24"/>
                <w:szCs w:val="24"/>
                <w:lang w:eastAsia="pl-PL"/>
              </w:rPr>
              <w:t>Traded</w:t>
            </w:r>
            <w:proofErr w:type="spellEnd"/>
            <w:r w:rsidRPr="00DA42E6">
              <w:rPr>
                <w:rFonts w:ascii="Times New Roman" w:eastAsia="Times New Roman" w:hAnsi="Times New Roman"/>
                <w:b/>
                <w:bCs/>
                <w:sz w:val="24"/>
                <w:szCs w:val="24"/>
                <w:lang w:eastAsia="pl-PL"/>
              </w:rPr>
              <w:t xml:space="preserve"> Fund)</w:t>
            </w:r>
          </w:p>
          <w:p w14:paraId="7169FEB4" w14:textId="2414A048" w:rsidR="00DE2465" w:rsidRPr="00DA42E6" w:rsidRDefault="00DE2465" w:rsidP="003973C4">
            <w:pPr>
              <w:spacing w:before="120" w:after="120" w:line="240" w:lineRule="auto"/>
              <w:jc w:val="both"/>
              <w:rPr>
                <w:rFonts w:ascii="Times New Roman" w:eastAsia="Times New Roman" w:hAnsi="Times New Roman"/>
                <w:sz w:val="24"/>
                <w:szCs w:val="24"/>
                <w:lang w:eastAsia="pl-PL"/>
              </w:rPr>
            </w:pPr>
            <w:r w:rsidRPr="00DA42E6">
              <w:rPr>
                <w:rFonts w:ascii="Times New Roman" w:eastAsia="Times New Roman" w:hAnsi="Times New Roman"/>
                <w:sz w:val="24"/>
                <w:szCs w:val="24"/>
                <w:lang w:eastAsia="pl-PL"/>
              </w:rPr>
              <w:t xml:space="preserve">Pierwszy obszar obejmuje reformę ram prawnych dotyczących funduszy ETF. Celem jest stworzenie w Polsce możliwości funkcjonowania ETF-ów w formule UCITS, czyli jako funduszy inwestycyjnych otwartych, których jednostki uczestnictwa są papierami wartościowymi dopuszczonymi do obrotu giełdowego. Rozwiązanie to pozwoli na pełną integrację polskich funduszy z rynkiem europejskim. Dzięki temu fundusze UCITS ETF zarejestrowane w Polsce będą mogły korzystać z paszportu unijnego i być dystrybuowane poza granicami kraju, co znacząco zwiększy ich atrakcyjność dla inwestorów instytucjonalnych. Jednocześnie umożliwi im to pojawienie się w globalnych bazach danych, takich jak </w:t>
            </w:r>
            <w:r w:rsidR="00CD62B1" w:rsidRPr="00CD62B1">
              <w:rPr>
                <w:rFonts w:ascii="Times New Roman" w:eastAsia="Times New Roman" w:hAnsi="Times New Roman"/>
                <w:sz w:val="24"/>
                <w:szCs w:val="24"/>
                <w:lang w:eastAsia="pl-PL"/>
              </w:rPr>
              <w:t xml:space="preserve">Bloomberg, </w:t>
            </w:r>
            <w:proofErr w:type="spellStart"/>
            <w:r w:rsidR="00CD62B1" w:rsidRPr="00CD62B1">
              <w:rPr>
                <w:rFonts w:ascii="Times New Roman" w:eastAsia="Times New Roman" w:hAnsi="Times New Roman"/>
                <w:sz w:val="24"/>
                <w:szCs w:val="24"/>
                <w:lang w:eastAsia="pl-PL"/>
              </w:rPr>
              <w:t>Morningstar</w:t>
            </w:r>
            <w:proofErr w:type="spellEnd"/>
            <w:r w:rsidR="00CD62B1" w:rsidRPr="00CD62B1">
              <w:rPr>
                <w:rFonts w:ascii="Times New Roman" w:eastAsia="Times New Roman" w:hAnsi="Times New Roman"/>
                <w:sz w:val="24"/>
                <w:szCs w:val="24"/>
                <w:lang w:eastAsia="pl-PL"/>
              </w:rPr>
              <w:t xml:space="preserve"> czy </w:t>
            </w:r>
            <w:proofErr w:type="spellStart"/>
            <w:r w:rsidR="00CD62B1" w:rsidRPr="00CD62B1">
              <w:rPr>
                <w:rFonts w:ascii="Times New Roman" w:eastAsia="Times New Roman" w:hAnsi="Times New Roman"/>
                <w:sz w:val="24"/>
                <w:szCs w:val="24"/>
                <w:lang w:eastAsia="pl-PL"/>
              </w:rPr>
              <w:t>Refinitiv</w:t>
            </w:r>
            <w:proofErr w:type="spellEnd"/>
            <w:r w:rsidRPr="00DA42E6">
              <w:rPr>
                <w:rFonts w:ascii="Times New Roman" w:eastAsia="Times New Roman" w:hAnsi="Times New Roman"/>
                <w:sz w:val="24"/>
                <w:szCs w:val="24"/>
                <w:lang w:eastAsia="pl-PL"/>
              </w:rPr>
              <w:t>, a także w rankingach porównawczych, które stanowią podstawowe narzędzie selekcji dla dużych instytucji finansowych.</w:t>
            </w:r>
          </w:p>
          <w:p w14:paraId="35E1F888" w14:textId="0A669F65" w:rsidR="00DE2465" w:rsidRPr="00DA42E6" w:rsidRDefault="00DE2465" w:rsidP="003973C4">
            <w:pPr>
              <w:spacing w:before="120" w:after="120" w:line="240" w:lineRule="auto"/>
              <w:jc w:val="both"/>
              <w:rPr>
                <w:rFonts w:ascii="Times New Roman" w:eastAsia="Times New Roman" w:hAnsi="Times New Roman"/>
                <w:sz w:val="24"/>
                <w:szCs w:val="24"/>
                <w:lang w:eastAsia="pl-PL"/>
              </w:rPr>
            </w:pPr>
            <w:r w:rsidRPr="00DA42E6">
              <w:rPr>
                <w:rFonts w:ascii="Times New Roman" w:eastAsia="Times New Roman" w:hAnsi="Times New Roman"/>
                <w:sz w:val="24"/>
                <w:szCs w:val="24"/>
                <w:lang w:eastAsia="pl-PL"/>
              </w:rPr>
              <w:t xml:space="preserve">Projekt przewiduje również wprowadzenie możliwości emisji nowych </w:t>
            </w:r>
            <w:r w:rsidR="00EA0747" w:rsidRPr="00DA42E6">
              <w:rPr>
                <w:rFonts w:ascii="Times New Roman" w:eastAsia="Times New Roman" w:hAnsi="Times New Roman"/>
                <w:sz w:val="24"/>
                <w:szCs w:val="24"/>
                <w:lang w:eastAsia="pl-PL"/>
              </w:rPr>
              <w:t xml:space="preserve">kategorii tytułów </w:t>
            </w:r>
            <w:r w:rsidRPr="00DA42E6">
              <w:rPr>
                <w:rFonts w:ascii="Times New Roman" w:eastAsia="Times New Roman" w:hAnsi="Times New Roman"/>
                <w:sz w:val="24"/>
                <w:szCs w:val="24"/>
                <w:lang w:eastAsia="pl-PL"/>
              </w:rPr>
              <w:t>uczestnictwa w ramach istniejących funduszy inwestycyjnych otwartych i specjalistycznych, które będą mogły być notowane na giełdzie. To rozwiązanie wzorowane jest na praktykach z rynków takich jak Luksemburg czy Irlandia i pozwala na elastyczne łączenie klasycznej dystrybucji funduszy z możliwością ich obrotu na rynku wtórnym.</w:t>
            </w:r>
          </w:p>
          <w:p w14:paraId="09C30B4C" w14:textId="74FB2816" w:rsidR="00943602" w:rsidRPr="00DA42E6" w:rsidRDefault="00DE2465" w:rsidP="003973C4">
            <w:pPr>
              <w:spacing w:before="120" w:after="120" w:line="240" w:lineRule="auto"/>
              <w:jc w:val="both"/>
            </w:pPr>
            <w:r w:rsidRPr="00DA42E6">
              <w:rPr>
                <w:rFonts w:ascii="Times New Roman" w:hAnsi="Times New Roman"/>
                <w:sz w:val="24"/>
                <w:szCs w:val="24"/>
              </w:rPr>
              <w:t xml:space="preserve">Należy podkreślić, że na gruncie obowiązujących przepisów ustawy z dnia 27 maja 2004 r. o funduszach inwestycyjnych i zarządzaniu alternatywnymi funduszami inwestycyjnymi </w:t>
            </w:r>
            <w:r w:rsidR="00DA42E6">
              <w:rPr>
                <w:rFonts w:ascii="Times New Roman" w:hAnsi="Times New Roman"/>
                <w:sz w:val="24"/>
                <w:szCs w:val="24"/>
              </w:rPr>
              <w:t>(Dz. U. z 202</w:t>
            </w:r>
            <w:r w:rsidR="006E4185">
              <w:rPr>
                <w:rFonts w:ascii="Times New Roman" w:hAnsi="Times New Roman"/>
                <w:sz w:val="24"/>
                <w:szCs w:val="24"/>
              </w:rPr>
              <w:t>6</w:t>
            </w:r>
            <w:r w:rsidR="00DA42E6">
              <w:rPr>
                <w:rFonts w:ascii="Times New Roman" w:hAnsi="Times New Roman"/>
                <w:sz w:val="24"/>
                <w:szCs w:val="24"/>
              </w:rPr>
              <w:t xml:space="preserve"> r. poz. </w:t>
            </w:r>
            <w:r w:rsidR="006E4185">
              <w:rPr>
                <w:rFonts w:ascii="Times New Roman" w:hAnsi="Times New Roman"/>
                <w:sz w:val="24"/>
                <w:szCs w:val="24"/>
              </w:rPr>
              <w:t>60</w:t>
            </w:r>
            <w:r w:rsidR="00DA42E6">
              <w:rPr>
                <w:rFonts w:ascii="Times New Roman" w:hAnsi="Times New Roman"/>
                <w:sz w:val="24"/>
                <w:szCs w:val="24"/>
              </w:rPr>
              <w:t xml:space="preserve">, z </w:t>
            </w:r>
            <w:proofErr w:type="spellStart"/>
            <w:r w:rsidR="00DA42E6">
              <w:rPr>
                <w:rFonts w:ascii="Times New Roman" w:hAnsi="Times New Roman"/>
                <w:sz w:val="24"/>
                <w:szCs w:val="24"/>
              </w:rPr>
              <w:t>późn</w:t>
            </w:r>
            <w:proofErr w:type="spellEnd"/>
            <w:r w:rsidR="00DA42E6">
              <w:rPr>
                <w:rFonts w:ascii="Times New Roman" w:hAnsi="Times New Roman"/>
                <w:sz w:val="24"/>
                <w:szCs w:val="24"/>
              </w:rPr>
              <w:t>. zm.)</w:t>
            </w:r>
            <w:r w:rsidR="006E4185">
              <w:rPr>
                <w:rFonts w:ascii="Times New Roman" w:hAnsi="Times New Roman"/>
                <w:sz w:val="24"/>
                <w:szCs w:val="24"/>
              </w:rPr>
              <w:t>, dalej „ustawa o funduszach inwestycyjnych”</w:t>
            </w:r>
            <w:r w:rsidR="00DA42E6">
              <w:rPr>
                <w:rFonts w:ascii="Times New Roman" w:hAnsi="Times New Roman"/>
                <w:sz w:val="24"/>
                <w:szCs w:val="24"/>
              </w:rPr>
              <w:t xml:space="preserve">. </w:t>
            </w:r>
            <w:r w:rsidRPr="00DA42E6">
              <w:rPr>
                <w:rFonts w:ascii="Times New Roman" w:hAnsi="Times New Roman"/>
                <w:sz w:val="24"/>
                <w:szCs w:val="24"/>
              </w:rPr>
              <w:t xml:space="preserve">ETF mogą działać wyłącznie w formie funduszy portfelowych, o których mowa w art. 179–182 tej ustawy. Obecna konstrukcja funduszu portfelowego (działającego w formie </w:t>
            </w:r>
            <w:r w:rsidR="00AC1710">
              <w:rPr>
                <w:rFonts w:ascii="Times New Roman" w:hAnsi="Times New Roman"/>
                <w:sz w:val="24"/>
                <w:szCs w:val="24"/>
              </w:rPr>
              <w:t xml:space="preserve">funduszy inwestycyjnych zamkniętych – </w:t>
            </w:r>
            <w:r w:rsidRPr="00DA42E6">
              <w:rPr>
                <w:rFonts w:ascii="Times New Roman" w:hAnsi="Times New Roman"/>
                <w:sz w:val="24"/>
                <w:szCs w:val="24"/>
              </w:rPr>
              <w:t xml:space="preserve">FIZ jako szczególny typ takiego funduszu) </w:t>
            </w:r>
            <w:r w:rsidRPr="00DA42E6">
              <w:rPr>
                <w:rFonts w:ascii="Times New Roman" w:hAnsi="Times New Roman"/>
                <w:sz w:val="24"/>
                <w:szCs w:val="24"/>
              </w:rPr>
              <w:lastRenderedPageBreak/>
              <w:t>stanowi jedyną możliwą formę działalności ETF w polskim systemie prawnym, co stanowi barierę rozwoju funduszy EFT w Polsce</w:t>
            </w:r>
            <w:r w:rsidR="00F23E47" w:rsidRPr="00DA42E6">
              <w:rPr>
                <w:rFonts w:ascii="Times New Roman" w:hAnsi="Times New Roman"/>
                <w:sz w:val="24"/>
                <w:szCs w:val="24"/>
              </w:rPr>
              <w:t xml:space="preserve"> konieczne jest zatem wprowadzenie odpowiednich zmian</w:t>
            </w:r>
            <w:r w:rsidR="00524BBE" w:rsidRPr="00DA42E6">
              <w:rPr>
                <w:rFonts w:ascii="Times New Roman" w:hAnsi="Times New Roman"/>
                <w:sz w:val="24"/>
                <w:szCs w:val="24"/>
              </w:rPr>
              <w:t xml:space="preserve"> tych regulacji</w:t>
            </w:r>
            <w:r w:rsidRPr="00DA42E6">
              <w:rPr>
                <w:rFonts w:ascii="Times New Roman" w:hAnsi="Times New Roman"/>
                <w:sz w:val="24"/>
                <w:szCs w:val="24"/>
              </w:rPr>
              <w:t>.</w:t>
            </w:r>
          </w:p>
          <w:p w14:paraId="4E4A8E67" w14:textId="305AEC90" w:rsidR="008E7323" w:rsidRPr="00DA42E6" w:rsidRDefault="008E7323" w:rsidP="009016B4">
            <w:pPr>
              <w:pStyle w:val="Akapitzlist"/>
              <w:numPr>
                <w:ilvl w:val="0"/>
                <w:numId w:val="27"/>
              </w:numPr>
              <w:spacing w:before="120" w:after="120" w:line="240" w:lineRule="auto"/>
              <w:jc w:val="both"/>
              <w:rPr>
                <w:rFonts w:ascii="Times New Roman" w:eastAsia="Times New Roman" w:hAnsi="Times New Roman"/>
                <w:b/>
                <w:bCs/>
                <w:sz w:val="24"/>
                <w:szCs w:val="24"/>
                <w:lang w:eastAsia="pl-PL"/>
              </w:rPr>
            </w:pPr>
            <w:r w:rsidRPr="00DA42E6">
              <w:rPr>
                <w:rFonts w:ascii="Times New Roman" w:eastAsia="Times New Roman" w:hAnsi="Times New Roman"/>
                <w:b/>
                <w:bCs/>
                <w:sz w:val="24"/>
                <w:szCs w:val="24"/>
                <w:lang w:eastAsia="pl-PL"/>
              </w:rPr>
              <w:t xml:space="preserve">Nowa kategoria alternatywnego funduszu inwestycyjnego – </w:t>
            </w:r>
            <w:r w:rsidR="00C86E56" w:rsidRPr="00DA42E6">
              <w:rPr>
                <w:rFonts w:ascii="Times New Roman" w:eastAsia="Times New Roman" w:hAnsi="Times New Roman"/>
                <w:b/>
                <w:bCs/>
                <w:sz w:val="24"/>
                <w:szCs w:val="24"/>
                <w:lang w:eastAsia="pl-PL"/>
              </w:rPr>
              <w:t>Kwalifikow</w:t>
            </w:r>
            <w:r w:rsidR="002E27DF" w:rsidRPr="00DA42E6">
              <w:rPr>
                <w:rFonts w:ascii="Times New Roman" w:eastAsia="Times New Roman" w:hAnsi="Times New Roman"/>
                <w:b/>
                <w:bCs/>
                <w:sz w:val="24"/>
                <w:szCs w:val="24"/>
                <w:lang w:eastAsia="pl-PL"/>
              </w:rPr>
              <w:t>a</w:t>
            </w:r>
            <w:r w:rsidR="00C86E56" w:rsidRPr="00DA42E6">
              <w:rPr>
                <w:rFonts w:ascii="Times New Roman" w:eastAsia="Times New Roman" w:hAnsi="Times New Roman"/>
                <w:b/>
                <w:bCs/>
                <w:sz w:val="24"/>
                <w:szCs w:val="24"/>
                <w:lang w:eastAsia="pl-PL"/>
              </w:rPr>
              <w:t>nego Funduszu Inwestycyjnego</w:t>
            </w:r>
            <w:r w:rsidRPr="00DA42E6">
              <w:rPr>
                <w:rFonts w:ascii="Times New Roman" w:eastAsia="Times New Roman" w:hAnsi="Times New Roman"/>
                <w:b/>
                <w:bCs/>
                <w:sz w:val="24"/>
                <w:szCs w:val="24"/>
                <w:lang w:eastAsia="pl-PL"/>
              </w:rPr>
              <w:t xml:space="preserve"> (</w:t>
            </w:r>
            <w:r w:rsidR="00C86E56" w:rsidRPr="00DA42E6">
              <w:rPr>
                <w:rFonts w:ascii="Times New Roman" w:eastAsia="Times New Roman" w:hAnsi="Times New Roman"/>
                <w:b/>
                <w:bCs/>
                <w:sz w:val="24"/>
                <w:szCs w:val="24"/>
                <w:lang w:eastAsia="pl-PL"/>
              </w:rPr>
              <w:t>KFI</w:t>
            </w:r>
            <w:r w:rsidRPr="00DA42E6">
              <w:rPr>
                <w:rFonts w:ascii="Times New Roman" w:eastAsia="Times New Roman" w:hAnsi="Times New Roman"/>
                <w:b/>
                <w:bCs/>
                <w:sz w:val="24"/>
                <w:szCs w:val="24"/>
                <w:lang w:eastAsia="pl-PL"/>
              </w:rPr>
              <w:t>)</w:t>
            </w:r>
          </w:p>
          <w:p w14:paraId="6F7CCAC3" w14:textId="299B1577" w:rsidR="008C1D7C" w:rsidRPr="00DA42E6" w:rsidRDefault="00A51BBF" w:rsidP="009016B4">
            <w:pPr>
              <w:spacing w:before="120" w:after="120" w:line="240" w:lineRule="auto"/>
              <w:jc w:val="both"/>
              <w:rPr>
                <w:rFonts w:ascii="Times New Roman" w:eastAsia="Times New Roman" w:hAnsi="Times New Roman"/>
                <w:sz w:val="24"/>
                <w:szCs w:val="24"/>
                <w:lang w:eastAsia="pl-PL"/>
              </w:rPr>
            </w:pPr>
            <w:r w:rsidRPr="00DA42E6">
              <w:rPr>
                <w:rFonts w:ascii="Times New Roman" w:eastAsia="Times New Roman" w:hAnsi="Times New Roman"/>
                <w:sz w:val="24"/>
                <w:szCs w:val="24"/>
                <w:lang w:eastAsia="pl-PL"/>
              </w:rPr>
              <w:t xml:space="preserve">Projekt wprowadza nową kategorię alternatywnego funduszu inwestycyjnego – </w:t>
            </w:r>
            <w:r w:rsidR="00C86E56" w:rsidRPr="00DA42E6">
              <w:rPr>
                <w:rFonts w:ascii="Times New Roman" w:eastAsia="Times New Roman" w:hAnsi="Times New Roman"/>
                <w:sz w:val="24"/>
                <w:szCs w:val="24"/>
                <w:lang w:eastAsia="pl-PL"/>
              </w:rPr>
              <w:t>Kwalifikowanego Funduszu Inwestycyjnego</w:t>
            </w:r>
            <w:r w:rsidRPr="00DA42E6">
              <w:rPr>
                <w:rFonts w:ascii="Times New Roman" w:eastAsia="Times New Roman" w:hAnsi="Times New Roman"/>
                <w:sz w:val="24"/>
                <w:szCs w:val="24"/>
                <w:lang w:eastAsia="pl-PL"/>
              </w:rPr>
              <w:t xml:space="preserve"> (</w:t>
            </w:r>
            <w:r w:rsidR="00C86E56" w:rsidRPr="00DA42E6">
              <w:rPr>
                <w:rFonts w:ascii="Times New Roman" w:eastAsia="Times New Roman" w:hAnsi="Times New Roman"/>
                <w:sz w:val="24"/>
                <w:szCs w:val="24"/>
                <w:lang w:eastAsia="pl-PL"/>
              </w:rPr>
              <w:t>KFI</w:t>
            </w:r>
            <w:r w:rsidRPr="00DA42E6">
              <w:rPr>
                <w:rFonts w:ascii="Times New Roman" w:eastAsia="Times New Roman" w:hAnsi="Times New Roman"/>
                <w:sz w:val="24"/>
                <w:szCs w:val="24"/>
                <w:lang w:eastAsia="pl-PL"/>
              </w:rPr>
              <w:t xml:space="preserve">), którego konstrukcja odpowiada standardom rynku </w:t>
            </w:r>
            <w:proofErr w:type="spellStart"/>
            <w:r w:rsidRPr="00DA42E6">
              <w:rPr>
                <w:rFonts w:ascii="Times New Roman" w:eastAsia="Times New Roman" w:hAnsi="Times New Roman"/>
                <w:sz w:val="24"/>
                <w:szCs w:val="24"/>
                <w:lang w:eastAsia="pl-PL"/>
              </w:rPr>
              <w:t>private</w:t>
            </w:r>
            <w:proofErr w:type="spellEnd"/>
            <w:r w:rsidRPr="00DA42E6">
              <w:rPr>
                <w:rFonts w:ascii="Times New Roman" w:eastAsia="Times New Roman" w:hAnsi="Times New Roman"/>
                <w:sz w:val="24"/>
                <w:szCs w:val="24"/>
                <w:lang w:eastAsia="pl-PL"/>
              </w:rPr>
              <w:t xml:space="preserve"> equity. </w:t>
            </w:r>
            <w:r w:rsidR="00C86E56" w:rsidRPr="00DA42E6">
              <w:rPr>
                <w:rFonts w:ascii="Times New Roman" w:eastAsia="Times New Roman" w:hAnsi="Times New Roman"/>
                <w:sz w:val="24"/>
                <w:szCs w:val="24"/>
                <w:lang w:eastAsia="pl-PL"/>
              </w:rPr>
              <w:t xml:space="preserve">KFI </w:t>
            </w:r>
            <w:r w:rsidRPr="00DA42E6">
              <w:rPr>
                <w:rFonts w:ascii="Times New Roman" w:eastAsia="Times New Roman" w:hAnsi="Times New Roman"/>
                <w:sz w:val="24"/>
                <w:szCs w:val="24"/>
                <w:lang w:eastAsia="pl-PL"/>
              </w:rPr>
              <w:t xml:space="preserve">ma umożliwić prowadzenie działalności inwestycyjnej na rynku niepublicznym, a zasady jego funkcjonowania będą zbliżone do rozwiązań stosowanych w funduszach kapitałowych w innych państwach UE. Kluczowe mechanizmy obejmują zapewnienie spójności interesów zarządzającego i inwestorów poprzez obowiązek zaangażowania kapitałowego kadry, zastosowanie wynagrodzenia zależnego od wyników oraz wyposażenie inwestorów w odpowiednie uprawnienia nadzorcze. Wymogi dotyczące wynagrodzeń, konfliktów interesów, nadzoru nad ryzykiem i delegowania czynności będą podlegały zasadom wynikającym z ustawy o funduszach inwestycyjnych oraz </w:t>
            </w:r>
            <w:r w:rsidR="00943602" w:rsidRPr="00DA42E6">
              <w:rPr>
                <w:rFonts w:ascii="Times New Roman" w:eastAsia="Times New Roman" w:hAnsi="Times New Roman"/>
                <w:sz w:val="24"/>
                <w:szCs w:val="24"/>
                <w:lang w:eastAsia="pl-PL"/>
              </w:rPr>
              <w:t xml:space="preserve">dyrektywy </w:t>
            </w:r>
            <w:r w:rsidRPr="00DA42E6">
              <w:rPr>
                <w:rFonts w:ascii="Times New Roman" w:eastAsia="Times New Roman" w:hAnsi="Times New Roman"/>
                <w:sz w:val="24"/>
                <w:szCs w:val="24"/>
                <w:lang w:eastAsia="pl-PL"/>
              </w:rPr>
              <w:t xml:space="preserve">Parlamentu Europejskiego i Rady 2011/61/UE </w:t>
            </w:r>
            <w:r w:rsidR="00D05697" w:rsidRPr="00D05697">
              <w:rPr>
                <w:rFonts w:ascii="Times New Roman" w:eastAsia="Times New Roman" w:hAnsi="Times New Roman"/>
                <w:sz w:val="24"/>
                <w:szCs w:val="24"/>
                <w:lang w:eastAsia="pl-PL"/>
              </w:rPr>
              <w:t xml:space="preserve">z dnia 8 czerwca 2011 r. w sprawie zarządzających alternatywnymi funduszami inwestycyjnymi i zmiany dyrektyw 2003/41/WE i 2009/65/WE oraz rozporządzeń (WE) nr 1060/2009 i (UE) nr 1095/2010 (Dz. Urz. UE L 174 z 01.07.2011, str. 1, z </w:t>
            </w:r>
            <w:proofErr w:type="spellStart"/>
            <w:r w:rsidR="00D05697" w:rsidRPr="00D05697">
              <w:rPr>
                <w:rFonts w:ascii="Times New Roman" w:eastAsia="Times New Roman" w:hAnsi="Times New Roman"/>
                <w:sz w:val="24"/>
                <w:szCs w:val="24"/>
                <w:lang w:eastAsia="pl-PL"/>
              </w:rPr>
              <w:t>późn</w:t>
            </w:r>
            <w:proofErr w:type="spellEnd"/>
            <w:r w:rsidR="00D05697" w:rsidRPr="00D05697">
              <w:rPr>
                <w:rFonts w:ascii="Times New Roman" w:eastAsia="Times New Roman" w:hAnsi="Times New Roman"/>
                <w:sz w:val="24"/>
                <w:szCs w:val="24"/>
                <w:lang w:eastAsia="pl-PL"/>
              </w:rPr>
              <w:t xml:space="preserve">. zm.), zwanej dalej </w:t>
            </w:r>
            <w:r w:rsidR="00D05697">
              <w:rPr>
                <w:rFonts w:ascii="Times New Roman" w:eastAsia="Times New Roman" w:hAnsi="Times New Roman"/>
                <w:sz w:val="24"/>
                <w:szCs w:val="24"/>
                <w:lang w:eastAsia="pl-PL"/>
              </w:rPr>
              <w:t>„</w:t>
            </w:r>
            <w:r w:rsidR="00B752E9">
              <w:rPr>
                <w:rFonts w:ascii="Times New Roman" w:eastAsia="Times New Roman" w:hAnsi="Times New Roman"/>
                <w:sz w:val="24"/>
                <w:szCs w:val="24"/>
                <w:lang w:eastAsia="pl-PL"/>
              </w:rPr>
              <w:t xml:space="preserve">dyrektywą </w:t>
            </w:r>
            <w:r w:rsidRPr="00DA42E6">
              <w:rPr>
                <w:rFonts w:ascii="Times New Roman" w:eastAsia="Times New Roman" w:hAnsi="Times New Roman"/>
                <w:sz w:val="24"/>
                <w:szCs w:val="24"/>
                <w:lang w:eastAsia="pl-PL"/>
              </w:rPr>
              <w:t>AIFMD</w:t>
            </w:r>
            <w:r w:rsidR="00D05697">
              <w:rPr>
                <w:rFonts w:ascii="Times New Roman" w:eastAsia="Times New Roman" w:hAnsi="Times New Roman"/>
                <w:sz w:val="24"/>
                <w:szCs w:val="24"/>
                <w:lang w:eastAsia="pl-PL"/>
              </w:rPr>
              <w:t>”</w:t>
            </w:r>
            <w:r w:rsidRPr="00DA42E6">
              <w:rPr>
                <w:rFonts w:ascii="Times New Roman" w:eastAsia="Times New Roman" w:hAnsi="Times New Roman"/>
                <w:sz w:val="24"/>
                <w:szCs w:val="24"/>
                <w:lang w:eastAsia="pl-PL"/>
              </w:rPr>
              <w:t>, które będą obowiązywać we wszystkich obszarach działalności zarządzającego AFI, zgodnie z zakresem przewidzianym w tych regulacjach.</w:t>
            </w:r>
          </w:p>
          <w:p w14:paraId="78DD91BF" w14:textId="623DDD42" w:rsidR="00A51BBF" w:rsidRPr="00DA42E6" w:rsidRDefault="008C1D7C" w:rsidP="009016B4">
            <w:pPr>
              <w:spacing w:before="120" w:after="120" w:line="240" w:lineRule="auto"/>
              <w:jc w:val="both"/>
              <w:rPr>
                <w:rFonts w:ascii="Times New Roman" w:eastAsia="Times New Roman" w:hAnsi="Times New Roman"/>
                <w:sz w:val="24"/>
                <w:szCs w:val="24"/>
                <w:lang w:eastAsia="pl-PL"/>
              </w:rPr>
            </w:pPr>
            <w:r w:rsidRPr="00DA42E6">
              <w:rPr>
                <w:rFonts w:ascii="Times New Roman" w:hAnsi="Times New Roman"/>
                <w:sz w:val="24"/>
                <w:szCs w:val="24"/>
              </w:rPr>
              <w:t xml:space="preserve">Wprowadzone ograniczenia, w tym wymogi dotyczące kręgu inwestorów, dywersyfikacji portfela oraz braku możliwości transferu aktywów, zapewnią, że </w:t>
            </w:r>
            <w:r w:rsidR="009775F3" w:rsidRPr="00DA42E6">
              <w:rPr>
                <w:rFonts w:ascii="Times New Roman" w:hAnsi="Times New Roman"/>
                <w:sz w:val="24"/>
                <w:szCs w:val="24"/>
              </w:rPr>
              <w:t>KFI</w:t>
            </w:r>
            <w:r w:rsidRPr="00DA42E6">
              <w:rPr>
                <w:rFonts w:ascii="Times New Roman" w:hAnsi="Times New Roman"/>
                <w:sz w:val="24"/>
                <w:szCs w:val="24"/>
              </w:rPr>
              <w:t xml:space="preserve"> nie będzie wykorzystywany do celów gospodarczych niezwiązanych z działalnością inwestycyjną ani do agresywnej optymalizacji podatkowej.</w:t>
            </w:r>
            <w:r w:rsidR="002E27DF" w:rsidRPr="00DA42E6">
              <w:rPr>
                <w:rFonts w:ascii="Times New Roman" w:hAnsi="Times New Roman"/>
                <w:sz w:val="24"/>
                <w:szCs w:val="24"/>
              </w:rPr>
              <w:t xml:space="preserve"> </w:t>
            </w:r>
            <w:r w:rsidR="00A51BBF" w:rsidRPr="00DA42E6">
              <w:rPr>
                <w:rFonts w:ascii="Times New Roman" w:eastAsia="Times New Roman" w:hAnsi="Times New Roman"/>
                <w:sz w:val="24"/>
                <w:szCs w:val="24"/>
                <w:lang w:eastAsia="pl-PL"/>
              </w:rPr>
              <w:t xml:space="preserve">Projekt zakłada konieczność pełnego zaangażowania zarządzającego i kluczowego personelu w działalność </w:t>
            </w:r>
            <w:r w:rsidR="00C86E56" w:rsidRPr="00DA42E6">
              <w:rPr>
                <w:rFonts w:ascii="Times New Roman" w:eastAsia="Times New Roman" w:hAnsi="Times New Roman"/>
                <w:sz w:val="24"/>
                <w:szCs w:val="24"/>
                <w:lang w:eastAsia="pl-PL"/>
              </w:rPr>
              <w:t xml:space="preserve">KFI </w:t>
            </w:r>
            <w:r w:rsidR="00A51BBF" w:rsidRPr="00DA42E6">
              <w:rPr>
                <w:rFonts w:ascii="Times New Roman" w:eastAsia="Times New Roman" w:hAnsi="Times New Roman"/>
                <w:sz w:val="24"/>
                <w:szCs w:val="24"/>
                <w:lang w:eastAsia="pl-PL"/>
              </w:rPr>
              <w:t xml:space="preserve">oraz ograniczenia w zakresie jednoczesnego zarządzania wieloma funduszami, przy dopuszczeniu delegowania zgodnego z </w:t>
            </w:r>
            <w:r w:rsidR="00B752E9">
              <w:rPr>
                <w:rFonts w:ascii="Times New Roman" w:eastAsia="Times New Roman" w:hAnsi="Times New Roman"/>
                <w:sz w:val="24"/>
                <w:szCs w:val="24"/>
                <w:lang w:eastAsia="pl-PL"/>
              </w:rPr>
              <w:t xml:space="preserve">dyrektywą </w:t>
            </w:r>
            <w:r w:rsidR="00A51BBF" w:rsidRPr="00DA42E6">
              <w:rPr>
                <w:rFonts w:ascii="Times New Roman" w:eastAsia="Times New Roman" w:hAnsi="Times New Roman"/>
                <w:sz w:val="24"/>
                <w:szCs w:val="24"/>
                <w:lang w:eastAsia="pl-PL"/>
              </w:rPr>
              <w:t xml:space="preserve">AIFMD. Ustawa określa ramowy charakter polityki inwestycyjnej, natomiast szczegóły będą ustalane w statucie; działalność </w:t>
            </w:r>
            <w:r w:rsidR="00C86E56" w:rsidRPr="00DA42E6">
              <w:rPr>
                <w:rFonts w:ascii="Times New Roman" w:eastAsia="Times New Roman" w:hAnsi="Times New Roman"/>
                <w:sz w:val="24"/>
                <w:szCs w:val="24"/>
                <w:lang w:eastAsia="pl-PL"/>
              </w:rPr>
              <w:t xml:space="preserve">KFI </w:t>
            </w:r>
            <w:r w:rsidR="00A51BBF" w:rsidRPr="00DA42E6">
              <w:rPr>
                <w:rFonts w:ascii="Times New Roman" w:eastAsia="Times New Roman" w:hAnsi="Times New Roman"/>
                <w:sz w:val="24"/>
                <w:szCs w:val="24"/>
                <w:lang w:eastAsia="pl-PL"/>
              </w:rPr>
              <w:t>będzie nakierowana na inwestycje kapitałowe w podmioty niepubliczne, przy ograniczeniu stosowania instrumentów pochodnych i działalności właściwej funduszom dłużnym.</w:t>
            </w:r>
          </w:p>
          <w:p w14:paraId="28EE26AF" w14:textId="5237E136" w:rsidR="00943602" w:rsidRPr="00DA42E6" w:rsidRDefault="00A51BBF" w:rsidP="009016B4">
            <w:pPr>
              <w:spacing w:before="120" w:after="120" w:line="240" w:lineRule="auto"/>
              <w:jc w:val="both"/>
              <w:rPr>
                <w:rFonts w:ascii="Times New Roman" w:eastAsia="Times New Roman" w:hAnsi="Times New Roman"/>
                <w:sz w:val="24"/>
                <w:szCs w:val="24"/>
                <w:lang w:eastAsia="pl-PL"/>
              </w:rPr>
            </w:pPr>
            <w:r w:rsidRPr="00DA42E6">
              <w:rPr>
                <w:rFonts w:ascii="Times New Roman" w:eastAsia="Times New Roman" w:hAnsi="Times New Roman"/>
                <w:sz w:val="24"/>
                <w:szCs w:val="24"/>
                <w:lang w:eastAsia="pl-PL"/>
              </w:rPr>
              <w:t>Fundusz będzie działał w modelu kapitału deklarowanego, a inwestorzy będą dokonywać wpłat na wezwanie zarządzającego. Projekt wprowadza podwyższony standard transparentności wobec inwestorów, obejmujący m.in. informowanie o realizacji polityki inwestycyjnej i zmianach statutu. Zasady uczestnictwa będą jednolite dla wszystkich inwestorów, a wcześniejsze zakończenie inwestycji będzie możliwe jedynie w przypadkach wskazanych w statucie, co zapewni stabilność struktury inwestorskiej.</w:t>
            </w:r>
          </w:p>
          <w:p w14:paraId="7EFEAC01" w14:textId="4EB82DAF" w:rsidR="00B84A59" w:rsidRPr="00DA42E6" w:rsidRDefault="00B84A59" w:rsidP="009016B4">
            <w:pPr>
              <w:spacing w:before="120" w:after="120" w:line="240" w:lineRule="auto"/>
              <w:jc w:val="both"/>
              <w:rPr>
                <w:rFonts w:ascii="Times New Roman" w:eastAsia="Times New Roman" w:hAnsi="Times New Roman"/>
                <w:sz w:val="24"/>
                <w:szCs w:val="24"/>
                <w:lang w:eastAsia="pl-PL"/>
              </w:rPr>
            </w:pPr>
            <w:r w:rsidRPr="00DA42E6">
              <w:rPr>
                <w:rFonts w:ascii="Times New Roman" w:eastAsia="Times New Roman" w:hAnsi="Times New Roman"/>
                <w:sz w:val="24"/>
                <w:szCs w:val="24"/>
                <w:lang w:eastAsia="pl-PL"/>
              </w:rPr>
              <w:t>Przewiduje się również zniesienie barier na rynku prywatnym związanych z podwójnym opodatkowaniem.</w:t>
            </w:r>
          </w:p>
          <w:p w14:paraId="55C2A269" w14:textId="77777777" w:rsidR="00612ECA" w:rsidRDefault="008E7323" w:rsidP="009016B4">
            <w:pPr>
              <w:spacing w:before="120" w:after="120" w:line="240" w:lineRule="auto"/>
              <w:jc w:val="both"/>
              <w:rPr>
                <w:rFonts w:ascii="Times New Roman" w:eastAsia="Times New Roman" w:hAnsi="Times New Roman"/>
                <w:sz w:val="24"/>
                <w:szCs w:val="24"/>
                <w:lang w:eastAsia="pl-PL"/>
              </w:rPr>
            </w:pPr>
            <w:r w:rsidRPr="00DA42E6">
              <w:rPr>
                <w:rFonts w:ascii="Times New Roman" w:eastAsia="Times New Roman" w:hAnsi="Times New Roman"/>
                <w:sz w:val="24"/>
                <w:szCs w:val="24"/>
                <w:lang w:eastAsia="pl-PL"/>
              </w:rPr>
              <w:t xml:space="preserve">Proponowane zmiany przewidują </w:t>
            </w:r>
            <w:r w:rsidR="00B84A59" w:rsidRPr="00DA42E6">
              <w:rPr>
                <w:rFonts w:ascii="Times New Roman" w:eastAsia="Times New Roman" w:hAnsi="Times New Roman"/>
                <w:sz w:val="24"/>
                <w:szCs w:val="24"/>
                <w:lang w:eastAsia="pl-PL"/>
              </w:rPr>
              <w:t xml:space="preserve">też </w:t>
            </w:r>
            <w:r w:rsidR="002E27DF" w:rsidRPr="00DA42E6">
              <w:rPr>
                <w:rFonts w:ascii="Times New Roman" w:eastAsia="Times New Roman" w:hAnsi="Times New Roman"/>
                <w:sz w:val="24"/>
                <w:szCs w:val="24"/>
                <w:lang w:eastAsia="pl-PL"/>
              </w:rPr>
              <w:t xml:space="preserve">doprecyzowanie </w:t>
            </w:r>
            <w:r w:rsidR="00AA08BD" w:rsidRPr="00DA42E6">
              <w:rPr>
                <w:rFonts w:ascii="Times New Roman" w:eastAsia="Times New Roman" w:hAnsi="Times New Roman"/>
                <w:sz w:val="24"/>
                <w:szCs w:val="24"/>
                <w:lang w:eastAsia="pl-PL"/>
              </w:rPr>
              <w:t>możliwości inwestowania przez pracownicze plany kapitałowe i fundusze emerytalne w</w:t>
            </w:r>
            <w:r w:rsidR="009016B4">
              <w:rPr>
                <w:rFonts w:ascii="Times New Roman" w:eastAsia="Times New Roman" w:hAnsi="Times New Roman"/>
                <w:sz w:val="24"/>
                <w:szCs w:val="24"/>
                <w:lang w:eastAsia="pl-PL"/>
              </w:rPr>
              <w:t xml:space="preserve"> </w:t>
            </w:r>
            <w:r w:rsidRPr="00DA42E6">
              <w:rPr>
                <w:rFonts w:ascii="Times New Roman" w:eastAsia="Times New Roman" w:hAnsi="Times New Roman"/>
                <w:sz w:val="24"/>
                <w:szCs w:val="24"/>
                <w:lang w:eastAsia="pl-PL"/>
              </w:rPr>
              <w:t>fundusz</w:t>
            </w:r>
            <w:r w:rsidR="00AA08BD" w:rsidRPr="00DA42E6">
              <w:rPr>
                <w:rFonts w:ascii="Times New Roman" w:eastAsia="Times New Roman" w:hAnsi="Times New Roman"/>
                <w:sz w:val="24"/>
                <w:szCs w:val="24"/>
                <w:lang w:eastAsia="pl-PL"/>
              </w:rPr>
              <w:t>e</w:t>
            </w:r>
            <w:r w:rsidRPr="00DA42E6">
              <w:rPr>
                <w:rFonts w:ascii="Times New Roman" w:eastAsia="Times New Roman" w:hAnsi="Times New Roman"/>
                <w:sz w:val="24"/>
                <w:szCs w:val="24"/>
                <w:lang w:eastAsia="pl-PL"/>
              </w:rPr>
              <w:t xml:space="preserve"> rynku prywatnego – obejmując</w:t>
            </w:r>
            <w:r w:rsidR="00AA08BD" w:rsidRPr="00DA42E6">
              <w:rPr>
                <w:rFonts w:ascii="Times New Roman" w:eastAsia="Times New Roman" w:hAnsi="Times New Roman"/>
                <w:sz w:val="24"/>
                <w:szCs w:val="24"/>
                <w:lang w:eastAsia="pl-PL"/>
              </w:rPr>
              <w:t>e</w:t>
            </w:r>
            <w:r w:rsidRPr="00DA42E6">
              <w:rPr>
                <w:rFonts w:ascii="Times New Roman" w:eastAsia="Times New Roman" w:hAnsi="Times New Roman"/>
                <w:sz w:val="24"/>
                <w:szCs w:val="24"/>
                <w:lang w:eastAsia="pl-PL"/>
              </w:rPr>
              <w:t xml:space="preserve"> </w:t>
            </w:r>
            <w:r w:rsidR="00C86E56" w:rsidRPr="00DA42E6">
              <w:rPr>
                <w:rFonts w:ascii="Times New Roman" w:eastAsia="Times New Roman" w:hAnsi="Times New Roman"/>
                <w:sz w:val="24"/>
                <w:szCs w:val="24"/>
                <w:lang w:eastAsia="pl-PL"/>
              </w:rPr>
              <w:t>KFI</w:t>
            </w:r>
            <w:r w:rsidRPr="00DA42E6">
              <w:rPr>
                <w:rFonts w:ascii="Times New Roman" w:eastAsia="Times New Roman" w:hAnsi="Times New Roman"/>
                <w:sz w:val="24"/>
                <w:szCs w:val="24"/>
                <w:lang w:eastAsia="pl-PL"/>
              </w:rPr>
              <w:t>, fundusze inwestycyjne zamknięte oraz alternatywne fundusze inwestycyjne z siedzibą w innych państwach członkowskich UE</w:t>
            </w:r>
            <w:r w:rsidR="00A756DB" w:rsidRPr="00DA42E6">
              <w:rPr>
                <w:rFonts w:ascii="Times New Roman" w:eastAsia="Times New Roman" w:hAnsi="Times New Roman"/>
                <w:sz w:val="24"/>
                <w:szCs w:val="24"/>
                <w:lang w:eastAsia="pl-PL"/>
              </w:rPr>
              <w:t>.</w:t>
            </w:r>
          </w:p>
          <w:p w14:paraId="40027B23" w14:textId="089F1EE8" w:rsidR="00453FEE" w:rsidRPr="004B1A87" w:rsidRDefault="00453FEE" w:rsidP="00453FEE">
            <w:pPr>
              <w:spacing w:before="120" w:after="120" w:line="240" w:lineRule="auto"/>
              <w:jc w:val="both"/>
              <w:rPr>
                <w:rFonts w:ascii="Times New Roman" w:eastAsia="Times New Roman" w:hAnsi="Times New Roman"/>
                <w:sz w:val="24"/>
                <w:szCs w:val="24"/>
                <w:lang w:eastAsia="pl-PL"/>
              </w:rPr>
            </w:pPr>
            <w:r w:rsidRPr="004B1A87">
              <w:rPr>
                <w:rFonts w:ascii="Times New Roman" w:eastAsia="Times New Roman" w:hAnsi="Times New Roman"/>
                <w:sz w:val="24"/>
                <w:szCs w:val="24"/>
                <w:lang w:eastAsia="pl-PL"/>
              </w:rPr>
              <w:t>Pos</w:t>
            </w:r>
            <w:r w:rsidR="00E4438D" w:rsidRPr="004B1A87">
              <w:rPr>
                <w:rFonts w:ascii="Times New Roman" w:eastAsia="Times New Roman" w:hAnsi="Times New Roman"/>
                <w:sz w:val="24"/>
                <w:szCs w:val="24"/>
                <w:lang w:eastAsia="pl-PL"/>
              </w:rPr>
              <w:t xml:space="preserve">tulowane rozwiązania poprzedzone były analizą możliwości zastosowania </w:t>
            </w:r>
            <w:r w:rsidRPr="004B1A87">
              <w:rPr>
                <w:rFonts w:ascii="Times New Roman" w:eastAsia="Times New Roman" w:hAnsi="Times New Roman"/>
                <w:sz w:val="24"/>
                <w:szCs w:val="24"/>
                <w:lang w:eastAsia="pl-PL"/>
              </w:rPr>
              <w:t xml:space="preserve">wariantów alternatywnych wobec utworzenia KFI, w szczególności modyfikacji istniejących reżimów FIZ oraz ASI. Analiza tych wariantów wskazuje jednak, że FIZ – ze względu na konstrukcję zbliżoną do funduszy UCITS – nie pozwala na wdrożenie kluczowych standardów rynku </w:t>
            </w:r>
            <w:proofErr w:type="spellStart"/>
            <w:r w:rsidRPr="004B1A87">
              <w:rPr>
                <w:rFonts w:ascii="Times New Roman" w:eastAsia="Times New Roman" w:hAnsi="Times New Roman"/>
                <w:sz w:val="24"/>
                <w:szCs w:val="24"/>
                <w:lang w:eastAsia="pl-PL"/>
              </w:rPr>
              <w:t>private</w:t>
            </w:r>
            <w:proofErr w:type="spellEnd"/>
            <w:r w:rsidRPr="004B1A87">
              <w:rPr>
                <w:rFonts w:ascii="Times New Roman" w:eastAsia="Times New Roman" w:hAnsi="Times New Roman"/>
                <w:sz w:val="24"/>
                <w:szCs w:val="24"/>
                <w:lang w:eastAsia="pl-PL"/>
              </w:rPr>
              <w:t xml:space="preserve"> equity, takich jak model kapitału deklarowanego (</w:t>
            </w:r>
            <w:proofErr w:type="spellStart"/>
            <w:r w:rsidRPr="004B1A87">
              <w:rPr>
                <w:rFonts w:ascii="Times New Roman" w:eastAsia="Times New Roman" w:hAnsi="Times New Roman"/>
                <w:sz w:val="24"/>
                <w:szCs w:val="24"/>
                <w:lang w:eastAsia="pl-PL"/>
              </w:rPr>
              <w:t>commitment</w:t>
            </w:r>
            <w:proofErr w:type="spellEnd"/>
            <w:r w:rsidRPr="004B1A87">
              <w:rPr>
                <w:rFonts w:ascii="Times New Roman" w:eastAsia="Times New Roman" w:hAnsi="Times New Roman"/>
                <w:sz w:val="24"/>
                <w:szCs w:val="24"/>
                <w:lang w:eastAsia="pl-PL"/>
              </w:rPr>
              <w:t>), elastyczne limity inwestycyjne wynikające z umów z inwestorami, brak ingerencji nadzorczej w treść umów inwestycyjnych czy neutralność podatkowa w formule funduszu funduszy (</w:t>
            </w:r>
            <w:proofErr w:type="spellStart"/>
            <w:r w:rsidRPr="004B1A87">
              <w:rPr>
                <w:rFonts w:ascii="Times New Roman" w:eastAsia="Times New Roman" w:hAnsi="Times New Roman"/>
                <w:sz w:val="24"/>
                <w:szCs w:val="24"/>
                <w:lang w:eastAsia="pl-PL"/>
              </w:rPr>
              <w:t>FoF</w:t>
            </w:r>
            <w:proofErr w:type="spellEnd"/>
            <w:r w:rsidRPr="004B1A87">
              <w:rPr>
                <w:rFonts w:ascii="Times New Roman" w:eastAsia="Times New Roman" w:hAnsi="Times New Roman"/>
                <w:sz w:val="24"/>
                <w:szCs w:val="24"/>
                <w:lang w:eastAsia="pl-PL"/>
              </w:rPr>
              <w:t>). Ich implementacja wymagałaby w istocie zasadniczej przebudowy charakteru FIZ prowadzącej do powstania nowej konstrukcji regulacyjnej</w:t>
            </w:r>
            <w:r w:rsidR="00201463" w:rsidRPr="004B1A87">
              <w:rPr>
                <w:rFonts w:ascii="Times New Roman" w:eastAsia="Times New Roman" w:hAnsi="Times New Roman"/>
                <w:sz w:val="24"/>
                <w:szCs w:val="24"/>
                <w:lang w:eastAsia="pl-PL"/>
              </w:rPr>
              <w:t xml:space="preserve"> </w:t>
            </w:r>
            <w:r w:rsidR="005F3ED6" w:rsidRPr="004B1A87">
              <w:rPr>
                <w:rFonts w:ascii="Times New Roman" w:eastAsia="Times New Roman" w:hAnsi="Times New Roman"/>
                <w:sz w:val="24"/>
                <w:szCs w:val="24"/>
                <w:lang w:eastAsia="pl-PL"/>
              </w:rPr>
              <w:t xml:space="preserve">nieadekwatnej do </w:t>
            </w:r>
            <w:r w:rsidR="000C7788" w:rsidRPr="004B1A87">
              <w:rPr>
                <w:rFonts w:ascii="Times New Roman" w:eastAsia="Times New Roman" w:hAnsi="Times New Roman"/>
                <w:sz w:val="24"/>
                <w:szCs w:val="24"/>
                <w:lang w:eastAsia="pl-PL"/>
              </w:rPr>
              <w:t>funkcji</w:t>
            </w:r>
            <w:r w:rsidR="00271AED">
              <w:rPr>
                <w:rFonts w:ascii="Times New Roman" w:eastAsia="Times New Roman" w:hAnsi="Times New Roman"/>
                <w:sz w:val="24"/>
                <w:szCs w:val="24"/>
                <w:lang w:eastAsia="pl-PL"/>
              </w:rPr>
              <w:t>,</w:t>
            </w:r>
            <w:r w:rsidR="000C7788" w:rsidRPr="004B1A87">
              <w:rPr>
                <w:rFonts w:ascii="Times New Roman" w:eastAsia="Times New Roman" w:hAnsi="Times New Roman"/>
                <w:sz w:val="24"/>
                <w:szCs w:val="24"/>
                <w:lang w:eastAsia="pl-PL"/>
              </w:rPr>
              <w:t xml:space="preserve"> </w:t>
            </w:r>
            <w:r w:rsidR="005F3ED6" w:rsidRPr="004B1A87">
              <w:rPr>
                <w:rFonts w:ascii="Times New Roman" w:eastAsia="Times New Roman" w:hAnsi="Times New Roman"/>
                <w:sz w:val="24"/>
                <w:szCs w:val="24"/>
                <w:lang w:eastAsia="pl-PL"/>
              </w:rPr>
              <w:t>jaką FIZ pełni w obecnym</w:t>
            </w:r>
            <w:r w:rsidR="000C7788" w:rsidRPr="004B1A87">
              <w:rPr>
                <w:rFonts w:ascii="Times New Roman" w:eastAsia="Times New Roman" w:hAnsi="Times New Roman"/>
                <w:sz w:val="24"/>
                <w:szCs w:val="24"/>
                <w:lang w:eastAsia="pl-PL"/>
              </w:rPr>
              <w:t xml:space="preserve"> stanie prawnym</w:t>
            </w:r>
            <w:r w:rsidRPr="004B1A87">
              <w:rPr>
                <w:rFonts w:ascii="Times New Roman" w:eastAsia="Times New Roman" w:hAnsi="Times New Roman"/>
                <w:sz w:val="24"/>
                <w:szCs w:val="24"/>
                <w:lang w:eastAsia="pl-PL"/>
              </w:rPr>
              <w:t>.</w:t>
            </w:r>
          </w:p>
          <w:p w14:paraId="4D24A9AA" w14:textId="18AE5F25" w:rsidR="00E074CE" w:rsidRPr="004B1A87" w:rsidRDefault="00453FEE" w:rsidP="00453FEE">
            <w:pPr>
              <w:spacing w:before="120" w:after="120" w:line="240" w:lineRule="auto"/>
              <w:jc w:val="both"/>
              <w:rPr>
                <w:rFonts w:ascii="Times New Roman" w:eastAsia="Times New Roman" w:hAnsi="Times New Roman"/>
                <w:sz w:val="24"/>
                <w:szCs w:val="24"/>
                <w:lang w:eastAsia="pl-PL"/>
              </w:rPr>
            </w:pPr>
            <w:r w:rsidRPr="004B1A87">
              <w:rPr>
                <w:rFonts w:ascii="Times New Roman" w:eastAsia="Times New Roman" w:hAnsi="Times New Roman"/>
                <w:sz w:val="24"/>
                <w:szCs w:val="24"/>
                <w:lang w:eastAsia="pl-PL"/>
              </w:rPr>
              <w:t xml:space="preserve">Z kolei ASI, mimo większej elastyczności regulacyjnej, funkcjonują w oparciu o </w:t>
            </w:r>
            <w:r w:rsidR="00271AED">
              <w:rPr>
                <w:rFonts w:ascii="Times New Roman" w:eastAsia="Times New Roman" w:hAnsi="Times New Roman"/>
                <w:sz w:val="24"/>
                <w:szCs w:val="24"/>
                <w:lang w:eastAsia="pl-PL"/>
              </w:rPr>
              <w:t xml:space="preserve">ustawę z dnia </w:t>
            </w:r>
            <w:r w:rsidR="00CD62B1" w:rsidRPr="00CD62B1">
              <w:rPr>
                <w:rFonts w:ascii="Times New Roman" w:eastAsia="Times New Roman" w:hAnsi="Times New Roman"/>
                <w:sz w:val="24"/>
                <w:szCs w:val="24"/>
                <w:lang w:eastAsia="pl-PL"/>
              </w:rPr>
              <w:t xml:space="preserve">15 września 2000 r. </w:t>
            </w:r>
            <w:r w:rsidR="00271AED">
              <w:rPr>
                <w:rFonts w:ascii="Times New Roman" w:eastAsia="Times New Roman" w:hAnsi="Times New Roman"/>
                <w:sz w:val="24"/>
                <w:szCs w:val="24"/>
                <w:lang w:eastAsia="pl-PL"/>
              </w:rPr>
              <w:t xml:space="preserve">– </w:t>
            </w:r>
            <w:r w:rsidRPr="004B1A87">
              <w:rPr>
                <w:rFonts w:ascii="Times New Roman" w:eastAsia="Times New Roman" w:hAnsi="Times New Roman"/>
                <w:sz w:val="24"/>
                <w:szCs w:val="24"/>
                <w:lang w:eastAsia="pl-PL"/>
              </w:rPr>
              <w:t>Kodeks spółek handlowych</w:t>
            </w:r>
            <w:r w:rsidR="00271AED">
              <w:rPr>
                <w:rFonts w:ascii="Times New Roman" w:eastAsia="Times New Roman" w:hAnsi="Times New Roman"/>
                <w:sz w:val="24"/>
                <w:szCs w:val="24"/>
                <w:lang w:eastAsia="pl-PL"/>
              </w:rPr>
              <w:t xml:space="preserve"> (</w:t>
            </w:r>
            <w:r w:rsidR="00CD62B1" w:rsidRPr="00CD62B1">
              <w:rPr>
                <w:rFonts w:ascii="Times New Roman" w:eastAsia="Times New Roman" w:hAnsi="Times New Roman"/>
                <w:sz w:val="24"/>
                <w:szCs w:val="24"/>
                <w:lang w:eastAsia="pl-PL"/>
              </w:rPr>
              <w:t>Dz. U. z 2024 r. poz. 18</w:t>
            </w:r>
            <w:r w:rsidR="002E1298">
              <w:rPr>
                <w:rFonts w:ascii="Times New Roman" w:eastAsia="Times New Roman" w:hAnsi="Times New Roman"/>
                <w:sz w:val="24"/>
                <w:szCs w:val="24"/>
                <w:lang w:eastAsia="pl-PL"/>
              </w:rPr>
              <w:t xml:space="preserve">, z </w:t>
            </w:r>
            <w:proofErr w:type="spellStart"/>
            <w:r w:rsidR="002E1298">
              <w:rPr>
                <w:rFonts w:ascii="Times New Roman" w:eastAsia="Times New Roman" w:hAnsi="Times New Roman"/>
                <w:sz w:val="24"/>
                <w:szCs w:val="24"/>
                <w:lang w:eastAsia="pl-PL"/>
              </w:rPr>
              <w:t>późn</w:t>
            </w:r>
            <w:proofErr w:type="spellEnd"/>
            <w:r w:rsidR="002E1298">
              <w:rPr>
                <w:rFonts w:ascii="Times New Roman" w:eastAsia="Times New Roman" w:hAnsi="Times New Roman"/>
                <w:sz w:val="24"/>
                <w:szCs w:val="24"/>
                <w:lang w:eastAsia="pl-PL"/>
              </w:rPr>
              <w:t>. zm.</w:t>
            </w:r>
            <w:r w:rsidR="00271AED">
              <w:rPr>
                <w:rFonts w:ascii="Times New Roman" w:eastAsia="Times New Roman" w:hAnsi="Times New Roman"/>
                <w:sz w:val="24"/>
                <w:szCs w:val="24"/>
                <w:lang w:eastAsia="pl-PL"/>
              </w:rPr>
              <w:t>)</w:t>
            </w:r>
            <w:r w:rsidRPr="004B1A87">
              <w:rPr>
                <w:rFonts w:ascii="Times New Roman" w:eastAsia="Times New Roman" w:hAnsi="Times New Roman"/>
                <w:sz w:val="24"/>
                <w:szCs w:val="24"/>
                <w:lang w:eastAsia="pl-PL"/>
              </w:rPr>
              <w:t xml:space="preserve">, który jest </w:t>
            </w:r>
            <w:r w:rsidR="00271AED">
              <w:rPr>
                <w:rFonts w:ascii="Times New Roman" w:eastAsia="Times New Roman" w:hAnsi="Times New Roman"/>
                <w:sz w:val="24"/>
                <w:szCs w:val="24"/>
                <w:lang w:eastAsia="pl-PL"/>
              </w:rPr>
              <w:t xml:space="preserve">aktem prawnym </w:t>
            </w:r>
            <w:r w:rsidRPr="004B1A87">
              <w:rPr>
                <w:rFonts w:ascii="Times New Roman" w:eastAsia="Times New Roman" w:hAnsi="Times New Roman"/>
                <w:sz w:val="24"/>
                <w:szCs w:val="24"/>
                <w:lang w:eastAsia="pl-PL"/>
              </w:rPr>
              <w:t xml:space="preserve">przeznaczonym dla spółek prowadzących działalność gospodarczą, a nie inwestycyjną. Skutkuje to barierami w sprawnej dystrybucji zwrotów (np. konieczność konwokacji przy wypłatach), brakiem neutralności podatkowej wpłat inwestorów oraz trudnościami w realizacji działalności w formule </w:t>
            </w:r>
            <w:proofErr w:type="spellStart"/>
            <w:r w:rsidRPr="004B1A87">
              <w:rPr>
                <w:rFonts w:ascii="Times New Roman" w:eastAsia="Times New Roman" w:hAnsi="Times New Roman"/>
                <w:sz w:val="24"/>
                <w:szCs w:val="24"/>
                <w:lang w:eastAsia="pl-PL"/>
              </w:rPr>
              <w:t>FoF</w:t>
            </w:r>
            <w:proofErr w:type="spellEnd"/>
            <w:r w:rsidRPr="004B1A87">
              <w:rPr>
                <w:rFonts w:ascii="Times New Roman" w:eastAsia="Times New Roman" w:hAnsi="Times New Roman"/>
                <w:sz w:val="24"/>
                <w:szCs w:val="24"/>
                <w:lang w:eastAsia="pl-PL"/>
              </w:rPr>
              <w:t>.</w:t>
            </w:r>
          </w:p>
          <w:p w14:paraId="04B89D1F" w14:textId="2B403B93" w:rsidR="00453FEE" w:rsidRPr="00DA42E6" w:rsidRDefault="00453FEE" w:rsidP="009016B4">
            <w:pPr>
              <w:spacing w:before="120" w:after="120" w:line="240" w:lineRule="auto"/>
              <w:jc w:val="both"/>
              <w:rPr>
                <w:rFonts w:ascii="Times New Roman" w:eastAsia="Times New Roman" w:hAnsi="Times New Roman"/>
                <w:sz w:val="24"/>
                <w:szCs w:val="24"/>
                <w:lang w:eastAsia="pl-PL"/>
              </w:rPr>
            </w:pPr>
            <w:r w:rsidRPr="004B1A87">
              <w:rPr>
                <w:rFonts w:ascii="Times New Roman" w:eastAsia="Times New Roman" w:hAnsi="Times New Roman"/>
                <w:sz w:val="24"/>
                <w:szCs w:val="24"/>
                <w:lang w:eastAsia="pl-PL"/>
              </w:rPr>
              <w:t xml:space="preserve">W efekcie </w:t>
            </w:r>
            <w:r w:rsidR="00E074CE" w:rsidRPr="004B1A87">
              <w:rPr>
                <w:rFonts w:ascii="Times New Roman" w:eastAsia="Times New Roman" w:hAnsi="Times New Roman"/>
                <w:sz w:val="24"/>
                <w:szCs w:val="24"/>
                <w:lang w:eastAsia="pl-PL"/>
              </w:rPr>
              <w:t xml:space="preserve">zmiany </w:t>
            </w:r>
            <w:r w:rsidRPr="004B1A87">
              <w:rPr>
                <w:rFonts w:ascii="Times New Roman" w:eastAsia="Times New Roman" w:hAnsi="Times New Roman"/>
                <w:sz w:val="24"/>
                <w:szCs w:val="24"/>
                <w:lang w:eastAsia="pl-PL"/>
              </w:rPr>
              <w:t>regul</w:t>
            </w:r>
            <w:r w:rsidR="00E074CE" w:rsidRPr="004B1A87">
              <w:rPr>
                <w:rFonts w:ascii="Times New Roman" w:eastAsia="Times New Roman" w:hAnsi="Times New Roman"/>
                <w:sz w:val="24"/>
                <w:szCs w:val="24"/>
                <w:lang w:eastAsia="pl-PL"/>
              </w:rPr>
              <w:t xml:space="preserve">acji dotyczących </w:t>
            </w:r>
            <w:r w:rsidRPr="004B1A87">
              <w:rPr>
                <w:rFonts w:ascii="Times New Roman" w:eastAsia="Times New Roman" w:hAnsi="Times New Roman"/>
                <w:sz w:val="24"/>
                <w:szCs w:val="24"/>
                <w:lang w:eastAsia="pl-PL"/>
              </w:rPr>
              <w:t xml:space="preserve">FIZ lub ASI prowadziłoby do fragmentarycznych i niespójnych zmian, podczas gdy utworzenie KFI – choć bardziej złożone – stanowi rozwiązanie systemowe, umożliwiające pełne wdrożenie standardów PE/VC w </w:t>
            </w:r>
            <w:r w:rsidR="006E4185">
              <w:rPr>
                <w:rFonts w:ascii="Times New Roman" w:eastAsia="Times New Roman" w:hAnsi="Times New Roman"/>
                <w:sz w:val="24"/>
                <w:szCs w:val="24"/>
                <w:lang w:eastAsia="pl-PL"/>
              </w:rPr>
              <w:t>ustaw</w:t>
            </w:r>
            <w:r w:rsidR="00271AED">
              <w:rPr>
                <w:rFonts w:ascii="Times New Roman" w:eastAsia="Times New Roman" w:hAnsi="Times New Roman"/>
                <w:sz w:val="24"/>
                <w:szCs w:val="24"/>
                <w:lang w:eastAsia="pl-PL"/>
              </w:rPr>
              <w:t>ie</w:t>
            </w:r>
            <w:r w:rsidR="006E4185">
              <w:rPr>
                <w:rFonts w:ascii="Times New Roman" w:eastAsia="Times New Roman" w:hAnsi="Times New Roman"/>
                <w:sz w:val="24"/>
                <w:szCs w:val="24"/>
                <w:lang w:eastAsia="pl-PL"/>
              </w:rPr>
              <w:t xml:space="preserve"> </w:t>
            </w:r>
            <w:r w:rsidR="00271AED">
              <w:rPr>
                <w:rFonts w:ascii="Times New Roman" w:eastAsia="Times New Roman" w:hAnsi="Times New Roman"/>
                <w:sz w:val="24"/>
                <w:szCs w:val="24"/>
                <w:lang w:eastAsia="pl-PL"/>
              </w:rPr>
              <w:t>o funduszach inwestycyjnych</w:t>
            </w:r>
            <w:r w:rsidRPr="004B1A87">
              <w:rPr>
                <w:rFonts w:ascii="Times New Roman" w:eastAsia="Times New Roman" w:hAnsi="Times New Roman"/>
                <w:sz w:val="24"/>
                <w:szCs w:val="24"/>
                <w:lang w:eastAsia="pl-PL"/>
              </w:rPr>
              <w:t xml:space="preserve"> i </w:t>
            </w:r>
            <w:r w:rsidR="00B752E9">
              <w:rPr>
                <w:rFonts w:ascii="Times New Roman" w:eastAsia="Times New Roman" w:hAnsi="Times New Roman"/>
                <w:sz w:val="24"/>
                <w:szCs w:val="24"/>
                <w:lang w:eastAsia="pl-PL"/>
              </w:rPr>
              <w:t xml:space="preserve">dyrektywie </w:t>
            </w:r>
            <w:r w:rsidRPr="004B1A87">
              <w:rPr>
                <w:rFonts w:ascii="Times New Roman" w:eastAsia="Times New Roman" w:hAnsi="Times New Roman"/>
                <w:sz w:val="24"/>
                <w:szCs w:val="24"/>
                <w:lang w:eastAsia="pl-PL"/>
              </w:rPr>
              <w:t>AIFMD, z istotnymi korzyściami dla rynku i gospodarki.</w:t>
            </w:r>
          </w:p>
        </w:tc>
      </w:tr>
      <w:tr w:rsidR="006A701A" w:rsidRPr="008B4FE6" w14:paraId="574732BB" w14:textId="77777777" w:rsidTr="0053280C">
        <w:trPr>
          <w:trHeight w:val="307"/>
        </w:trPr>
        <w:tc>
          <w:tcPr>
            <w:tcW w:w="10661" w:type="dxa"/>
            <w:gridSpan w:val="29"/>
            <w:shd w:val="clear" w:color="auto" w:fill="99CCFF"/>
            <w:vAlign w:val="center"/>
          </w:tcPr>
          <w:p w14:paraId="2562B85B" w14:textId="6ACD5EBF" w:rsidR="006A701A" w:rsidRPr="00765840" w:rsidRDefault="009E3C4B" w:rsidP="007D2192">
            <w:pPr>
              <w:numPr>
                <w:ilvl w:val="0"/>
                <w:numId w:val="3"/>
              </w:numPr>
              <w:spacing w:before="60" w:after="60" w:line="240" w:lineRule="auto"/>
              <w:ind w:left="318" w:hanging="284"/>
              <w:jc w:val="both"/>
              <w:rPr>
                <w:rFonts w:ascii="Times New Roman" w:hAnsi="Times New Roman"/>
                <w:b/>
                <w:color w:val="000000"/>
              </w:rPr>
            </w:pPr>
            <w:r w:rsidRPr="00765840">
              <w:rPr>
                <w:rFonts w:ascii="Times New Roman" w:hAnsi="Times New Roman"/>
                <w:b/>
                <w:spacing w:val="-2"/>
              </w:rPr>
              <w:lastRenderedPageBreak/>
              <w:t>Jak problem został rozwiązany w innych krajach, w szczególności krajach członkowskich OECD/UE</w:t>
            </w:r>
            <w:r w:rsidR="006A701A" w:rsidRPr="00765840">
              <w:rPr>
                <w:rFonts w:ascii="Times New Roman" w:hAnsi="Times New Roman"/>
                <w:b/>
                <w:color w:val="000000"/>
              </w:rPr>
              <w:t>?</w:t>
            </w:r>
            <w:r w:rsidR="006A701A" w:rsidRPr="00765840">
              <w:rPr>
                <w:rFonts w:ascii="Times New Roman" w:hAnsi="Times New Roman"/>
                <w:i/>
                <w:color w:val="000000"/>
              </w:rPr>
              <w:t xml:space="preserve"> </w:t>
            </w:r>
          </w:p>
        </w:tc>
      </w:tr>
      <w:tr w:rsidR="00595C88" w:rsidRPr="008B4FE6" w14:paraId="6D45347B" w14:textId="77777777" w:rsidTr="0053280C">
        <w:trPr>
          <w:trHeight w:val="142"/>
        </w:trPr>
        <w:tc>
          <w:tcPr>
            <w:tcW w:w="10661" w:type="dxa"/>
            <w:gridSpan w:val="29"/>
          </w:tcPr>
          <w:p w14:paraId="5E40FD1E" w14:textId="0D58F864" w:rsidR="008E7323" w:rsidRPr="008E7323" w:rsidRDefault="008E7323" w:rsidP="009016B4">
            <w:pPr>
              <w:pStyle w:val="Akapitzlist"/>
              <w:numPr>
                <w:ilvl w:val="0"/>
                <w:numId w:val="31"/>
              </w:numPr>
              <w:spacing w:before="120" w:after="120" w:line="240" w:lineRule="auto"/>
              <w:jc w:val="both"/>
              <w:rPr>
                <w:rFonts w:ascii="Times New Roman" w:eastAsia="Times New Roman" w:hAnsi="Times New Roman"/>
                <w:b/>
                <w:bCs/>
                <w:sz w:val="24"/>
                <w:szCs w:val="24"/>
                <w:lang w:eastAsia="pl-PL"/>
              </w:rPr>
            </w:pPr>
            <w:r w:rsidRPr="00BF0C63">
              <w:rPr>
                <w:rFonts w:ascii="Times New Roman" w:eastAsia="Times New Roman" w:hAnsi="Times New Roman"/>
                <w:b/>
                <w:bCs/>
                <w:sz w:val="24"/>
                <w:szCs w:val="24"/>
                <w:lang w:eastAsia="pl-PL"/>
              </w:rPr>
              <w:t>Reforma ram prawnych dotyczących funduszy ETF</w:t>
            </w:r>
          </w:p>
          <w:p w14:paraId="1BE2FDF8" w14:textId="3F083047" w:rsidR="0020041C" w:rsidRPr="0020041C" w:rsidRDefault="0020041C" w:rsidP="009016B4">
            <w:pPr>
              <w:spacing w:before="120" w:after="120" w:line="240" w:lineRule="auto"/>
              <w:jc w:val="both"/>
              <w:rPr>
                <w:rFonts w:ascii="Times New Roman" w:eastAsia="Times New Roman" w:hAnsi="Times New Roman"/>
                <w:sz w:val="24"/>
                <w:szCs w:val="24"/>
                <w:lang w:eastAsia="pl-PL"/>
              </w:rPr>
            </w:pPr>
            <w:r w:rsidRPr="0020041C">
              <w:rPr>
                <w:rFonts w:ascii="Times New Roman" w:eastAsia="Times New Roman" w:hAnsi="Times New Roman"/>
                <w:sz w:val="24"/>
                <w:szCs w:val="24"/>
                <w:lang w:eastAsia="pl-PL"/>
              </w:rPr>
              <w:t>Doświadczenia państw członkowskich Unii Europejskiej i OECD pokazują, że rozwój rynku kapitałowego wymaga dostosowania regulacji do potrzeb inwestorów i emitentów. Najlepszym przykładem jest rynek funduszy ETF, który w Irlandii i Luksemburgu został oparty o konstrukcję UCITS</w:t>
            </w:r>
            <w:r w:rsidR="001401F8">
              <w:rPr>
                <w:rFonts w:ascii="Times New Roman" w:eastAsia="Times New Roman" w:hAnsi="Times New Roman"/>
                <w:sz w:val="24"/>
                <w:szCs w:val="24"/>
                <w:lang w:eastAsia="pl-PL"/>
              </w:rPr>
              <w:t xml:space="preserve">, podobnie jak w pozostałych krajach </w:t>
            </w:r>
            <w:r w:rsidR="00943602">
              <w:rPr>
                <w:rFonts w:ascii="Times New Roman" w:eastAsia="Times New Roman" w:hAnsi="Times New Roman"/>
                <w:sz w:val="24"/>
                <w:szCs w:val="24"/>
                <w:lang w:eastAsia="pl-PL"/>
              </w:rPr>
              <w:t>członkowskich</w:t>
            </w:r>
            <w:r w:rsidRPr="0020041C">
              <w:rPr>
                <w:rFonts w:ascii="Times New Roman" w:eastAsia="Times New Roman" w:hAnsi="Times New Roman"/>
                <w:sz w:val="24"/>
                <w:szCs w:val="24"/>
                <w:lang w:eastAsia="pl-PL"/>
              </w:rPr>
              <w:t xml:space="preserve">. Dzięki temu fundusze notowane w tych jurysdykcjach mogą korzystać z paszportu unijnego, co pozwala im na swobodną dystrybucję w całej Unii Europejskiej. </w:t>
            </w:r>
            <w:r w:rsidR="008C1D7C">
              <w:rPr>
                <w:rFonts w:ascii="Times New Roman" w:eastAsia="Times New Roman" w:hAnsi="Times New Roman"/>
                <w:sz w:val="24"/>
                <w:szCs w:val="24"/>
                <w:lang w:eastAsia="pl-PL"/>
              </w:rPr>
              <w:t xml:space="preserve">Obecnie </w:t>
            </w:r>
            <w:r w:rsidRPr="0020041C">
              <w:rPr>
                <w:rFonts w:ascii="Times New Roman" w:eastAsia="Times New Roman" w:hAnsi="Times New Roman"/>
                <w:sz w:val="24"/>
                <w:szCs w:val="24"/>
                <w:lang w:eastAsia="pl-PL"/>
              </w:rPr>
              <w:t xml:space="preserve">Irlandia i Luksemburg stały się największymi centrami funduszy pasywnych w Europie. Obecność funduszy UCITS ETF w międzynarodowych bazach danych, takich </w:t>
            </w:r>
            <w:r w:rsidR="00CF00B7">
              <w:rPr>
                <w:rFonts w:ascii="Times New Roman" w:eastAsia="Times New Roman" w:hAnsi="Times New Roman"/>
                <w:sz w:val="24"/>
                <w:szCs w:val="24"/>
                <w:lang w:eastAsia="pl-PL"/>
              </w:rPr>
              <w:t>jak Bloomberg</w:t>
            </w:r>
            <w:r w:rsidR="00CD62B1">
              <w:rPr>
                <w:rFonts w:ascii="Times New Roman" w:eastAsia="Times New Roman" w:hAnsi="Times New Roman"/>
                <w:sz w:val="24"/>
                <w:szCs w:val="24"/>
                <w:lang w:eastAsia="pl-PL"/>
              </w:rPr>
              <w:t>,</w:t>
            </w:r>
            <w:r w:rsidRPr="0020041C">
              <w:rPr>
                <w:rFonts w:ascii="Times New Roman" w:eastAsia="Times New Roman" w:hAnsi="Times New Roman"/>
                <w:sz w:val="24"/>
                <w:szCs w:val="24"/>
                <w:lang w:eastAsia="pl-PL"/>
              </w:rPr>
              <w:t xml:space="preserve"> </w:t>
            </w:r>
            <w:proofErr w:type="spellStart"/>
            <w:r w:rsidRPr="0020041C">
              <w:rPr>
                <w:rFonts w:ascii="Times New Roman" w:eastAsia="Times New Roman" w:hAnsi="Times New Roman"/>
                <w:sz w:val="24"/>
                <w:szCs w:val="24"/>
                <w:lang w:eastAsia="pl-PL"/>
              </w:rPr>
              <w:t>Morningstar</w:t>
            </w:r>
            <w:proofErr w:type="spellEnd"/>
            <w:r w:rsidRPr="0020041C">
              <w:rPr>
                <w:rFonts w:ascii="Times New Roman" w:eastAsia="Times New Roman" w:hAnsi="Times New Roman"/>
                <w:sz w:val="24"/>
                <w:szCs w:val="24"/>
                <w:lang w:eastAsia="pl-PL"/>
              </w:rPr>
              <w:t xml:space="preserve"> czy </w:t>
            </w:r>
            <w:proofErr w:type="spellStart"/>
            <w:r w:rsidRPr="0020041C">
              <w:rPr>
                <w:rFonts w:ascii="Times New Roman" w:eastAsia="Times New Roman" w:hAnsi="Times New Roman"/>
                <w:sz w:val="24"/>
                <w:szCs w:val="24"/>
                <w:lang w:eastAsia="pl-PL"/>
              </w:rPr>
              <w:t>Refinitiv</w:t>
            </w:r>
            <w:proofErr w:type="spellEnd"/>
            <w:r w:rsidRPr="0020041C">
              <w:rPr>
                <w:rFonts w:ascii="Times New Roman" w:eastAsia="Times New Roman" w:hAnsi="Times New Roman"/>
                <w:sz w:val="24"/>
                <w:szCs w:val="24"/>
                <w:lang w:eastAsia="pl-PL"/>
              </w:rPr>
              <w:t>, zwiększa ich widoczność i atrakcyjność dla globalnych inwestorów.</w:t>
            </w:r>
            <w:r w:rsidR="00943602">
              <w:rPr>
                <w:rFonts w:ascii="Times New Roman" w:eastAsia="Times New Roman" w:hAnsi="Times New Roman"/>
                <w:sz w:val="24"/>
                <w:szCs w:val="24"/>
                <w:lang w:eastAsia="pl-PL"/>
              </w:rPr>
              <w:t xml:space="preserve"> </w:t>
            </w:r>
            <w:r w:rsidR="008C1D7C">
              <w:rPr>
                <w:rFonts w:ascii="Times New Roman" w:eastAsia="Times New Roman" w:hAnsi="Times New Roman"/>
                <w:sz w:val="24"/>
                <w:szCs w:val="24"/>
                <w:lang w:eastAsia="pl-PL"/>
              </w:rPr>
              <w:t>Między innymi d</w:t>
            </w:r>
            <w:r w:rsidRPr="0020041C">
              <w:rPr>
                <w:rFonts w:ascii="Times New Roman" w:eastAsia="Times New Roman" w:hAnsi="Times New Roman"/>
                <w:sz w:val="24"/>
                <w:szCs w:val="24"/>
                <w:lang w:eastAsia="pl-PL"/>
              </w:rPr>
              <w:t>zięki tym rozwiązaniom państwa te przyciągnęły największych światowych dostawców ETF, a ich rynek osiągnął masową skalę. W efekcie to właśnie w Luksemburgu i Irlandii rejestrowane są fundusze największych globalnych firm zarządzających aktywami, co pozwoliło im zdobyć dominującą pozycję na rynku europejskim. Skutki gospodarcze tych regulacji są widoczne również w postaci zwiększonej płynności giełd lokalnych, a także dodatkowych przychodów dla instytucji rynku finansowego związanych z obsługą funduszy.</w:t>
            </w:r>
          </w:p>
          <w:p w14:paraId="7249EF5B" w14:textId="4655B888" w:rsidR="00033B48" w:rsidRDefault="0020041C" w:rsidP="009016B4">
            <w:pPr>
              <w:spacing w:before="120" w:after="120" w:line="240" w:lineRule="auto"/>
              <w:jc w:val="both"/>
              <w:rPr>
                <w:rFonts w:ascii="Times New Roman" w:eastAsia="Times New Roman" w:hAnsi="Times New Roman"/>
                <w:sz w:val="24"/>
                <w:szCs w:val="24"/>
                <w:lang w:eastAsia="pl-PL"/>
              </w:rPr>
            </w:pPr>
            <w:r w:rsidRPr="0020041C">
              <w:rPr>
                <w:rFonts w:ascii="Times New Roman" w:eastAsia="Times New Roman" w:hAnsi="Times New Roman"/>
                <w:sz w:val="24"/>
                <w:szCs w:val="24"/>
                <w:lang w:eastAsia="pl-PL"/>
              </w:rPr>
              <w:t xml:space="preserve">Podobne procesy miały miejsce w Niemczech, Francji i Hiszpanii, gdzie implementacja UCITS doprowadziła do szybkiego rozwoju segmentu ETF. W krajach tych fundusze </w:t>
            </w:r>
            <w:r w:rsidR="00EA0747">
              <w:rPr>
                <w:rFonts w:ascii="Times New Roman" w:eastAsia="Times New Roman" w:hAnsi="Times New Roman"/>
                <w:sz w:val="24"/>
                <w:szCs w:val="24"/>
                <w:lang w:eastAsia="pl-PL"/>
              </w:rPr>
              <w:t>ETF</w:t>
            </w:r>
            <w:r w:rsidR="00EA0747" w:rsidRPr="0020041C">
              <w:rPr>
                <w:rFonts w:ascii="Times New Roman" w:eastAsia="Times New Roman" w:hAnsi="Times New Roman"/>
                <w:sz w:val="24"/>
                <w:szCs w:val="24"/>
                <w:lang w:eastAsia="pl-PL"/>
              </w:rPr>
              <w:t xml:space="preserve"> </w:t>
            </w:r>
            <w:r w:rsidRPr="0020041C">
              <w:rPr>
                <w:rFonts w:ascii="Times New Roman" w:eastAsia="Times New Roman" w:hAnsi="Times New Roman"/>
                <w:sz w:val="24"/>
                <w:szCs w:val="24"/>
                <w:lang w:eastAsia="pl-PL"/>
              </w:rPr>
              <w:t>stały się istotnym narzędziem inwestycyjnym zarówno dla inwestorów indywidualnych, jak i instytucjonalnych, w tym funduszy emerytalnych i ubezpieczeniowych. Wzrost popularności ETF przełożył się tam na większą płynność rynków kapitałowych i popularyzację strategii inwestycyjnych opartych na całych indeksach, a nie na pojedynczych spółkach.</w:t>
            </w:r>
          </w:p>
          <w:p w14:paraId="777C2C42" w14:textId="7F629A47" w:rsidR="008E7323" w:rsidRPr="00A04906" w:rsidRDefault="008E7323" w:rsidP="009016B4">
            <w:pPr>
              <w:pStyle w:val="Akapitzlist"/>
              <w:numPr>
                <w:ilvl w:val="0"/>
                <w:numId w:val="31"/>
              </w:numPr>
              <w:spacing w:before="120" w:after="120" w:line="240" w:lineRule="auto"/>
              <w:jc w:val="both"/>
              <w:rPr>
                <w:rFonts w:ascii="Times New Roman" w:eastAsia="Times New Roman" w:hAnsi="Times New Roman"/>
                <w:b/>
                <w:bCs/>
                <w:sz w:val="24"/>
                <w:szCs w:val="24"/>
                <w:lang w:eastAsia="pl-PL"/>
              </w:rPr>
            </w:pPr>
            <w:r w:rsidRPr="00A04906">
              <w:rPr>
                <w:rFonts w:ascii="Times New Roman" w:eastAsia="Times New Roman" w:hAnsi="Times New Roman"/>
                <w:b/>
                <w:bCs/>
                <w:sz w:val="24"/>
                <w:szCs w:val="24"/>
                <w:lang w:eastAsia="pl-PL"/>
              </w:rPr>
              <w:t xml:space="preserve">Utworzenie nowej kategorii alternatywnego funduszu inwestycyjnego – </w:t>
            </w:r>
            <w:r w:rsidR="00C86E56">
              <w:rPr>
                <w:rFonts w:ascii="Times New Roman" w:eastAsia="Times New Roman" w:hAnsi="Times New Roman"/>
                <w:b/>
                <w:bCs/>
                <w:sz w:val="24"/>
                <w:szCs w:val="24"/>
                <w:lang w:eastAsia="pl-PL"/>
              </w:rPr>
              <w:t>Kwalifikowanego Funduszu Inwestycyjnego</w:t>
            </w:r>
          </w:p>
          <w:p w14:paraId="094AC78A" w14:textId="27E5AF65" w:rsidR="00033B48" w:rsidRPr="00A916A9" w:rsidRDefault="008E7323" w:rsidP="009016B4">
            <w:pPr>
              <w:spacing w:before="120" w:after="12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odniesieniu do wprowadzenia do polskiego systemu </w:t>
            </w:r>
            <w:r w:rsidR="00C86E56">
              <w:rPr>
                <w:rFonts w:ascii="Times New Roman" w:eastAsia="Times New Roman" w:hAnsi="Times New Roman"/>
                <w:sz w:val="24"/>
                <w:szCs w:val="24"/>
                <w:lang w:eastAsia="pl-PL"/>
              </w:rPr>
              <w:t xml:space="preserve">KFI </w:t>
            </w:r>
            <w:r>
              <w:rPr>
                <w:rFonts w:ascii="Times New Roman" w:eastAsia="Times New Roman" w:hAnsi="Times New Roman"/>
                <w:sz w:val="24"/>
                <w:szCs w:val="24"/>
                <w:lang w:eastAsia="pl-PL"/>
              </w:rPr>
              <w:t>należy zauważyć, że w</w:t>
            </w:r>
            <w:r w:rsidRPr="00A916A9">
              <w:rPr>
                <w:rFonts w:ascii="Times New Roman" w:eastAsia="Times New Roman" w:hAnsi="Times New Roman"/>
                <w:sz w:val="24"/>
                <w:szCs w:val="24"/>
                <w:lang w:eastAsia="pl-PL"/>
              </w:rPr>
              <w:t xml:space="preserve"> krajach członkowskich UE oraz OECD powszechnie funkcjonują regulacyjne ramy dla funduszy inwestujących na rynku niepublicznym uwzględniające specyfikę tego segmentu rynku. Na powyższe wpływa przede wszystkim fakt, że zakres regulacji AFI jest przedmiotem harmonizacji UE. Zgodnie z </w:t>
            </w:r>
            <w:r w:rsidR="00B752E9">
              <w:rPr>
                <w:rFonts w:ascii="Times New Roman" w:eastAsia="Times New Roman" w:hAnsi="Times New Roman"/>
                <w:sz w:val="24"/>
                <w:szCs w:val="24"/>
                <w:lang w:eastAsia="pl-PL"/>
              </w:rPr>
              <w:t xml:space="preserve">dyrektywą </w:t>
            </w:r>
            <w:r w:rsidRPr="00A916A9">
              <w:rPr>
                <w:rFonts w:ascii="Times New Roman" w:eastAsia="Times New Roman" w:hAnsi="Times New Roman"/>
                <w:sz w:val="24"/>
                <w:szCs w:val="24"/>
                <w:lang w:eastAsia="pl-PL"/>
              </w:rPr>
              <w:t xml:space="preserve">AIFMD wehikuły inwestycyjne tego typu co do zasady nie podlegają rygorystycznej regulacji, a przepisy koncentrują się na zarządzającym, pozostawiając duży poziom dowolności poszczególnym państwom UE w zakresie kształtowania rozwiązań odnoszących się do samych funduszy. Dlatego też w poszczególnych jurysdykcjach europejskich funkcjonują struktury funduszowe o zmiennym kapitale, które nie są obciążone nadmiernymi wymogami regulacyjnymi (np. wehikuły inwestycyjne wykorzystywane w pozostałych krajach członkowskich mogą funkcjonować bez procedury konwokacji, podatku PCC przy dokapitalizowaniu, jak też bez ustawowych ograniczeń inwestycyjnych albo tajemnicy zawodowej ograniczającej przekazywanie informacji inwestorom). Tytułem przykładu, we Francji do inwestycji na prywatnym rynku kapitałowym najczęściej wykorzystywany jest </w:t>
            </w:r>
            <w:proofErr w:type="spellStart"/>
            <w:r w:rsidRPr="00A916A9">
              <w:rPr>
                <w:rFonts w:ascii="Times New Roman" w:eastAsia="Times New Roman" w:hAnsi="Times New Roman"/>
                <w:i/>
                <w:iCs/>
                <w:sz w:val="24"/>
                <w:szCs w:val="24"/>
                <w:lang w:eastAsia="pl-PL"/>
              </w:rPr>
              <w:t>fonds</w:t>
            </w:r>
            <w:proofErr w:type="spellEnd"/>
            <w:r w:rsidRPr="00A916A9">
              <w:rPr>
                <w:rFonts w:ascii="Times New Roman" w:eastAsia="Times New Roman" w:hAnsi="Times New Roman"/>
                <w:i/>
                <w:iCs/>
                <w:sz w:val="24"/>
                <w:szCs w:val="24"/>
                <w:lang w:eastAsia="pl-PL"/>
              </w:rPr>
              <w:t xml:space="preserve"> </w:t>
            </w:r>
            <w:proofErr w:type="spellStart"/>
            <w:r w:rsidRPr="00A916A9">
              <w:rPr>
                <w:rFonts w:ascii="Times New Roman" w:eastAsia="Times New Roman" w:hAnsi="Times New Roman"/>
                <w:i/>
                <w:iCs/>
                <w:sz w:val="24"/>
                <w:szCs w:val="24"/>
                <w:lang w:eastAsia="pl-PL"/>
              </w:rPr>
              <w:t>professionnels</w:t>
            </w:r>
            <w:proofErr w:type="spellEnd"/>
            <w:r w:rsidRPr="00A916A9">
              <w:rPr>
                <w:rFonts w:ascii="Times New Roman" w:eastAsia="Times New Roman" w:hAnsi="Times New Roman"/>
                <w:i/>
                <w:iCs/>
                <w:sz w:val="24"/>
                <w:szCs w:val="24"/>
                <w:lang w:eastAsia="pl-PL"/>
              </w:rPr>
              <w:t xml:space="preserve"> de </w:t>
            </w:r>
            <w:proofErr w:type="spellStart"/>
            <w:r w:rsidRPr="00A916A9">
              <w:rPr>
                <w:rFonts w:ascii="Times New Roman" w:eastAsia="Times New Roman" w:hAnsi="Times New Roman"/>
                <w:i/>
                <w:iCs/>
                <w:sz w:val="24"/>
                <w:szCs w:val="24"/>
                <w:lang w:eastAsia="pl-PL"/>
              </w:rPr>
              <w:t>capital</w:t>
            </w:r>
            <w:proofErr w:type="spellEnd"/>
            <w:r w:rsidRPr="00A916A9">
              <w:rPr>
                <w:rFonts w:ascii="Times New Roman" w:eastAsia="Times New Roman" w:hAnsi="Times New Roman"/>
                <w:i/>
                <w:iCs/>
                <w:sz w:val="24"/>
                <w:szCs w:val="24"/>
                <w:lang w:eastAsia="pl-PL"/>
              </w:rPr>
              <w:t xml:space="preserve"> </w:t>
            </w:r>
            <w:proofErr w:type="spellStart"/>
            <w:r w:rsidRPr="00A916A9">
              <w:rPr>
                <w:rFonts w:ascii="Times New Roman" w:eastAsia="Times New Roman" w:hAnsi="Times New Roman"/>
                <w:i/>
                <w:iCs/>
                <w:sz w:val="24"/>
                <w:szCs w:val="24"/>
                <w:lang w:eastAsia="pl-PL"/>
              </w:rPr>
              <w:t>investissement</w:t>
            </w:r>
            <w:proofErr w:type="spellEnd"/>
            <w:r w:rsidRPr="00A916A9">
              <w:rPr>
                <w:rFonts w:ascii="Times New Roman" w:eastAsia="Times New Roman" w:hAnsi="Times New Roman"/>
                <w:sz w:val="24"/>
                <w:szCs w:val="24"/>
                <w:lang w:eastAsia="pl-PL"/>
              </w:rPr>
              <w:t xml:space="preserve"> – FPCI, w Luksemburgu </w:t>
            </w:r>
            <w:r w:rsidR="00271AED" w:rsidRPr="00A916A9">
              <w:rPr>
                <w:rFonts w:ascii="Times New Roman" w:eastAsia="Times New Roman" w:hAnsi="Times New Roman"/>
                <w:sz w:val="24"/>
                <w:szCs w:val="24"/>
                <w:lang w:eastAsia="pl-PL"/>
              </w:rPr>
              <w:t>–</w:t>
            </w:r>
            <w:r w:rsidRPr="00A916A9">
              <w:rPr>
                <w:rFonts w:ascii="Times New Roman" w:eastAsia="Times New Roman" w:hAnsi="Times New Roman"/>
                <w:sz w:val="24"/>
                <w:szCs w:val="24"/>
                <w:lang w:eastAsia="pl-PL"/>
              </w:rPr>
              <w:t xml:space="preserve"> </w:t>
            </w:r>
            <w:proofErr w:type="spellStart"/>
            <w:r w:rsidRPr="00A916A9">
              <w:rPr>
                <w:rFonts w:ascii="Times New Roman" w:eastAsia="Times New Roman" w:hAnsi="Times New Roman"/>
                <w:i/>
                <w:iCs/>
                <w:sz w:val="24"/>
                <w:szCs w:val="24"/>
                <w:lang w:eastAsia="pl-PL"/>
              </w:rPr>
              <w:t>Société</w:t>
            </w:r>
            <w:proofErr w:type="spellEnd"/>
            <w:r w:rsidRPr="00A916A9">
              <w:rPr>
                <w:rFonts w:ascii="Times New Roman" w:eastAsia="Times New Roman" w:hAnsi="Times New Roman"/>
                <w:i/>
                <w:iCs/>
                <w:sz w:val="24"/>
                <w:szCs w:val="24"/>
                <w:lang w:eastAsia="pl-PL"/>
              </w:rPr>
              <w:t xml:space="preserve"> en </w:t>
            </w:r>
            <w:proofErr w:type="spellStart"/>
            <w:r w:rsidRPr="00A916A9">
              <w:rPr>
                <w:rFonts w:ascii="Times New Roman" w:eastAsia="Times New Roman" w:hAnsi="Times New Roman"/>
                <w:i/>
                <w:iCs/>
                <w:sz w:val="24"/>
                <w:szCs w:val="24"/>
                <w:lang w:eastAsia="pl-PL"/>
              </w:rPr>
              <w:t>Commandite</w:t>
            </w:r>
            <w:proofErr w:type="spellEnd"/>
            <w:r w:rsidRPr="00A916A9">
              <w:rPr>
                <w:rFonts w:ascii="Times New Roman" w:eastAsia="Times New Roman" w:hAnsi="Times New Roman"/>
                <w:i/>
                <w:iCs/>
                <w:sz w:val="24"/>
                <w:szCs w:val="24"/>
                <w:lang w:eastAsia="pl-PL"/>
              </w:rPr>
              <w:t xml:space="preserve"> </w:t>
            </w:r>
            <w:proofErr w:type="spellStart"/>
            <w:r w:rsidRPr="00A916A9">
              <w:rPr>
                <w:rFonts w:ascii="Times New Roman" w:eastAsia="Times New Roman" w:hAnsi="Times New Roman"/>
                <w:i/>
                <w:iCs/>
                <w:sz w:val="24"/>
                <w:szCs w:val="24"/>
                <w:lang w:eastAsia="pl-PL"/>
              </w:rPr>
              <w:t>Spéciale</w:t>
            </w:r>
            <w:proofErr w:type="spellEnd"/>
            <w:r w:rsidRPr="00A916A9">
              <w:rPr>
                <w:rFonts w:ascii="Times New Roman" w:eastAsia="Times New Roman" w:hAnsi="Times New Roman"/>
                <w:i/>
                <w:iCs/>
                <w:sz w:val="24"/>
                <w:szCs w:val="24"/>
                <w:lang w:eastAsia="pl-PL"/>
              </w:rPr>
              <w:t xml:space="preserve"> </w:t>
            </w:r>
            <w:r w:rsidR="00271AED" w:rsidRPr="00A916A9">
              <w:rPr>
                <w:rFonts w:ascii="Times New Roman" w:eastAsia="Times New Roman" w:hAnsi="Times New Roman"/>
                <w:sz w:val="24"/>
                <w:szCs w:val="24"/>
                <w:lang w:eastAsia="pl-PL"/>
              </w:rPr>
              <w:t>–</w:t>
            </w:r>
            <w:r w:rsidRPr="00A916A9">
              <w:rPr>
                <w:rFonts w:ascii="Times New Roman" w:eastAsia="Times New Roman" w:hAnsi="Times New Roman"/>
                <w:i/>
                <w:iCs/>
                <w:sz w:val="24"/>
                <w:szCs w:val="24"/>
                <w:lang w:eastAsia="pl-PL"/>
              </w:rPr>
              <w:t xml:space="preserve"> </w:t>
            </w:r>
            <w:proofErr w:type="spellStart"/>
            <w:r w:rsidRPr="00A916A9">
              <w:rPr>
                <w:rFonts w:ascii="Times New Roman" w:eastAsia="Times New Roman" w:hAnsi="Times New Roman"/>
                <w:i/>
                <w:iCs/>
                <w:sz w:val="24"/>
                <w:szCs w:val="24"/>
                <w:lang w:eastAsia="pl-PL"/>
              </w:rPr>
              <w:t>SCSp</w:t>
            </w:r>
            <w:proofErr w:type="spellEnd"/>
            <w:r w:rsidRPr="00A916A9">
              <w:rPr>
                <w:rFonts w:ascii="Times New Roman" w:eastAsia="Times New Roman" w:hAnsi="Times New Roman"/>
                <w:sz w:val="24"/>
                <w:szCs w:val="24"/>
                <w:lang w:eastAsia="pl-PL"/>
              </w:rPr>
              <w:t xml:space="preserve">, w Estonii </w:t>
            </w:r>
            <w:r w:rsidR="00271AED" w:rsidRPr="00A916A9">
              <w:rPr>
                <w:rFonts w:ascii="Times New Roman" w:eastAsia="Times New Roman" w:hAnsi="Times New Roman"/>
                <w:sz w:val="24"/>
                <w:szCs w:val="24"/>
                <w:lang w:eastAsia="pl-PL"/>
              </w:rPr>
              <w:t>–</w:t>
            </w:r>
            <w:r w:rsidRPr="00A916A9">
              <w:rPr>
                <w:rFonts w:ascii="Times New Roman" w:eastAsia="Times New Roman" w:hAnsi="Times New Roman"/>
                <w:sz w:val="24"/>
                <w:szCs w:val="24"/>
                <w:lang w:eastAsia="pl-PL"/>
              </w:rPr>
              <w:t xml:space="preserve"> </w:t>
            </w:r>
            <w:r w:rsidRPr="00A916A9">
              <w:rPr>
                <w:rFonts w:ascii="Times New Roman" w:eastAsia="Times New Roman" w:hAnsi="Times New Roman"/>
                <w:i/>
                <w:iCs/>
                <w:sz w:val="24"/>
                <w:szCs w:val="24"/>
                <w:lang w:eastAsia="pl-PL"/>
              </w:rPr>
              <w:t xml:space="preserve">Limited </w:t>
            </w:r>
            <w:proofErr w:type="spellStart"/>
            <w:r w:rsidRPr="00A916A9">
              <w:rPr>
                <w:rFonts w:ascii="Times New Roman" w:eastAsia="Times New Roman" w:hAnsi="Times New Roman"/>
                <w:i/>
                <w:iCs/>
                <w:sz w:val="24"/>
                <w:szCs w:val="24"/>
                <w:lang w:eastAsia="pl-PL"/>
              </w:rPr>
              <w:t>Partnership</w:t>
            </w:r>
            <w:proofErr w:type="spellEnd"/>
            <w:r w:rsidRPr="00A916A9">
              <w:rPr>
                <w:rFonts w:ascii="Times New Roman" w:eastAsia="Times New Roman" w:hAnsi="Times New Roman"/>
                <w:i/>
                <w:iCs/>
                <w:sz w:val="24"/>
                <w:szCs w:val="24"/>
                <w:lang w:eastAsia="pl-PL"/>
              </w:rPr>
              <w:t xml:space="preserve"> Fund</w:t>
            </w:r>
            <w:r w:rsidRPr="00A916A9">
              <w:rPr>
                <w:rFonts w:ascii="Times New Roman" w:eastAsia="Times New Roman" w:hAnsi="Times New Roman"/>
                <w:sz w:val="24"/>
                <w:szCs w:val="24"/>
                <w:lang w:eastAsia="pl-PL"/>
              </w:rPr>
              <w:t xml:space="preserve"> (</w:t>
            </w:r>
            <w:r w:rsidRPr="00A916A9">
              <w:rPr>
                <w:rFonts w:ascii="Times New Roman" w:eastAsia="Times New Roman" w:hAnsi="Times New Roman"/>
                <w:i/>
                <w:iCs/>
                <w:sz w:val="24"/>
                <w:szCs w:val="24"/>
                <w:lang w:eastAsia="pl-PL"/>
              </w:rPr>
              <w:t>LPF</w:t>
            </w:r>
            <w:r w:rsidRPr="00A916A9">
              <w:rPr>
                <w:rFonts w:ascii="Times New Roman" w:eastAsia="Times New Roman" w:hAnsi="Times New Roman"/>
                <w:sz w:val="24"/>
                <w:szCs w:val="24"/>
                <w:lang w:eastAsia="pl-PL"/>
              </w:rPr>
              <w:t xml:space="preserve">), a na Litwie </w:t>
            </w:r>
            <w:r w:rsidR="00271AED" w:rsidRPr="00A916A9">
              <w:rPr>
                <w:rFonts w:ascii="Times New Roman" w:eastAsia="Times New Roman" w:hAnsi="Times New Roman"/>
                <w:sz w:val="24"/>
                <w:szCs w:val="24"/>
                <w:lang w:eastAsia="pl-PL"/>
              </w:rPr>
              <w:t>–</w:t>
            </w:r>
            <w:r w:rsidRPr="00A916A9">
              <w:rPr>
                <w:rFonts w:ascii="Times New Roman" w:eastAsia="Times New Roman" w:hAnsi="Times New Roman"/>
                <w:sz w:val="24"/>
                <w:szCs w:val="24"/>
                <w:lang w:eastAsia="pl-PL"/>
              </w:rPr>
              <w:t xml:space="preserve"> </w:t>
            </w:r>
            <w:proofErr w:type="spellStart"/>
            <w:r w:rsidRPr="00A916A9">
              <w:rPr>
                <w:rFonts w:ascii="Times New Roman" w:eastAsia="Times New Roman" w:hAnsi="Times New Roman"/>
                <w:i/>
                <w:iCs/>
                <w:sz w:val="24"/>
                <w:szCs w:val="24"/>
                <w:lang w:eastAsia="pl-PL"/>
              </w:rPr>
              <w:t>Komanditinė</w:t>
            </w:r>
            <w:proofErr w:type="spellEnd"/>
            <w:r w:rsidRPr="00A916A9">
              <w:rPr>
                <w:rFonts w:ascii="Times New Roman" w:eastAsia="Times New Roman" w:hAnsi="Times New Roman"/>
                <w:i/>
                <w:iCs/>
                <w:sz w:val="24"/>
                <w:szCs w:val="24"/>
                <w:lang w:eastAsia="pl-PL"/>
              </w:rPr>
              <w:t xml:space="preserve"> </w:t>
            </w:r>
            <w:proofErr w:type="spellStart"/>
            <w:r w:rsidRPr="00A916A9">
              <w:rPr>
                <w:rFonts w:ascii="Times New Roman" w:eastAsia="Times New Roman" w:hAnsi="Times New Roman"/>
                <w:i/>
                <w:iCs/>
                <w:sz w:val="24"/>
                <w:szCs w:val="24"/>
                <w:lang w:eastAsia="pl-PL"/>
              </w:rPr>
              <w:t>ūkinė</w:t>
            </w:r>
            <w:proofErr w:type="spellEnd"/>
            <w:r w:rsidRPr="00A916A9">
              <w:rPr>
                <w:rFonts w:ascii="Times New Roman" w:eastAsia="Times New Roman" w:hAnsi="Times New Roman"/>
                <w:i/>
                <w:iCs/>
                <w:sz w:val="24"/>
                <w:szCs w:val="24"/>
                <w:lang w:eastAsia="pl-PL"/>
              </w:rPr>
              <w:t xml:space="preserve"> </w:t>
            </w:r>
            <w:proofErr w:type="spellStart"/>
            <w:r w:rsidRPr="00A916A9">
              <w:rPr>
                <w:rFonts w:ascii="Times New Roman" w:eastAsia="Times New Roman" w:hAnsi="Times New Roman"/>
                <w:i/>
                <w:iCs/>
                <w:sz w:val="24"/>
                <w:szCs w:val="24"/>
                <w:lang w:eastAsia="pl-PL"/>
              </w:rPr>
              <w:t>bendrija</w:t>
            </w:r>
            <w:proofErr w:type="spellEnd"/>
            <w:r w:rsidRPr="00A916A9">
              <w:rPr>
                <w:rFonts w:ascii="Times New Roman" w:eastAsia="Times New Roman" w:hAnsi="Times New Roman"/>
                <w:i/>
                <w:iCs/>
                <w:sz w:val="24"/>
                <w:szCs w:val="24"/>
                <w:lang w:eastAsia="pl-PL"/>
              </w:rPr>
              <w:t xml:space="preserve"> </w:t>
            </w:r>
            <w:r w:rsidR="00271AED" w:rsidRPr="00A916A9">
              <w:rPr>
                <w:rFonts w:ascii="Times New Roman" w:eastAsia="Times New Roman" w:hAnsi="Times New Roman"/>
                <w:sz w:val="24"/>
                <w:szCs w:val="24"/>
                <w:lang w:eastAsia="pl-PL"/>
              </w:rPr>
              <w:t>–</w:t>
            </w:r>
            <w:r w:rsidRPr="00A916A9">
              <w:rPr>
                <w:rFonts w:ascii="Times New Roman" w:eastAsia="Times New Roman" w:hAnsi="Times New Roman"/>
                <w:i/>
                <w:iCs/>
                <w:sz w:val="24"/>
                <w:szCs w:val="24"/>
                <w:lang w:eastAsia="pl-PL"/>
              </w:rPr>
              <w:t xml:space="preserve"> KŪB </w:t>
            </w:r>
            <w:r w:rsidRPr="00A916A9">
              <w:rPr>
                <w:rFonts w:ascii="Times New Roman" w:eastAsia="Times New Roman" w:hAnsi="Times New Roman"/>
                <w:sz w:val="24"/>
                <w:szCs w:val="24"/>
                <w:lang w:eastAsia="pl-PL"/>
              </w:rPr>
              <w:t>(Komandytowa Spółka Gospodarcza).</w:t>
            </w:r>
          </w:p>
          <w:p w14:paraId="268255B4" w14:textId="77777777" w:rsidR="008E7323" w:rsidRPr="00A916A9" w:rsidRDefault="008E7323" w:rsidP="009016B4">
            <w:pPr>
              <w:spacing w:before="120" w:after="120" w:line="240" w:lineRule="auto"/>
              <w:jc w:val="both"/>
              <w:rPr>
                <w:rFonts w:ascii="Times New Roman" w:eastAsia="Times New Roman" w:hAnsi="Times New Roman"/>
                <w:sz w:val="24"/>
                <w:szCs w:val="24"/>
                <w:lang w:eastAsia="pl-PL"/>
              </w:rPr>
            </w:pPr>
            <w:r w:rsidRPr="00A916A9">
              <w:rPr>
                <w:rFonts w:ascii="Times New Roman" w:eastAsia="Times New Roman" w:hAnsi="Times New Roman"/>
                <w:sz w:val="24"/>
                <w:szCs w:val="24"/>
                <w:lang w:eastAsia="pl-PL"/>
              </w:rPr>
              <w:t>Rozwiązania wdrożone w innych krajach charakteryzują się brakiem ograniczeń lub wymogów regulacyjnych istniejących w Polsce, w tym:</w:t>
            </w:r>
          </w:p>
          <w:p w14:paraId="711E9728" w14:textId="025967DC" w:rsidR="008E7323" w:rsidRPr="00AC1710" w:rsidRDefault="008E7323" w:rsidP="00CD62B1">
            <w:pPr>
              <w:numPr>
                <w:ilvl w:val="0"/>
                <w:numId w:val="34"/>
              </w:numPr>
              <w:spacing w:before="120" w:after="120" w:line="240" w:lineRule="auto"/>
              <w:jc w:val="both"/>
              <w:rPr>
                <w:rFonts w:ascii="Times New Roman" w:eastAsia="Times New Roman" w:hAnsi="Times New Roman"/>
                <w:sz w:val="24"/>
                <w:szCs w:val="24"/>
                <w:lang w:eastAsia="pl-PL"/>
              </w:rPr>
            </w:pPr>
            <w:r w:rsidRPr="00A916A9">
              <w:rPr>
                <w:rFonts w:ascii="Times New Roman" w:eastAsia="Times New Roman" w:hAnsi="Times New Roman"/>
                <w:sz w:val="24"/>
                <w:szCs w:val="24"/>
                <w:lang w:eastAsia="pl-PL"/>
              </w:rPr>
              <w:t>związanych z wykorzystaniem modelu kapitału deklarowanego – w Polsce ograniczeniem jest obowiązek podatkowy</w:t>
            </w:r>
            <w:r w:rsidR="00271AED">
              <w:rPr>
                <w:rFonts w:ascii="Times New Roman" w:eastAsia="Times New Roman" w:hAnsi="Times New Roman"/>
                <w:sz w:val="24"/>
                <w:szCs w:val="24"/>
                <w:lang w:eastAsia="pl-PL"/>
              </w:rPr>
              <w:t xml:space="preserve">, tj. </w:t>
            </w:r>
            <w:r w:rsidR="003D4E62">
              <w:rPr>
                <w:rFonts w:ascii="Times New Roman" w:eastAsia="Times New Roman" w:hAnsi="Times New Roman"/>
                <w:sz w:val="24"/>
                <w:szCs w:val="24"/>
                <w:lang w:eastAsia="pl-PL"/>
              </w:rPr>
              <w:t xml:space="preserve">podatek od czynności cywilnoprawnych – </w:t>
            </w:r>
            <w:r w:rsidRPr="003D4E62">
              <w:rPr>
                <w:rFonts w:ascii="Times New Roman" w:eastAsia="Times New Roman" w:hAnsi="Times New Roman"/>
                <w:sz w:val="24"/>
                <w:szCs w:val="24"/>
                <w:lang w:eastAsia="pl-PL"/>
              </w:rPr>
              <w:t>PCC</w:t>
            </w:r>
            <w:r w:rsidR="00271AED">
              <w:rPr>
                <w:rFonts w:ascii="Times New Roman" w:eastAsia="Times New Roman" w:hAnsi="Times New Roman"/>
                <w:sz w:val="24"/>
                <w:szCs w:val="24"/>
                <w:lang w:eastAsia="pl-PL"/>
              </w:rPr>
              <w:t xml:space="preserve">, pobierany na podstawie ustawy z dnia </w:t>
            </w:r>
            <w:r w:rsidR="00CD62B1" w:rsidRPr="00CD62B1">
              <w:rPr>
                <w:rFonts w:ascii="Times New Roman" w:eastAsia="Times New Roman" w:hAnsi="Times New Roman"/>
                <w:sz w:val="24"/>
                <w:szCs w:val="24"/>
                <w:lang w:eastAsia="pl-PL"/>
              </w:rPr>
              <w:t xml:space="preserve">9 września 2000 r. o podatku od czynności cywilnoprawnych </w:t>
            </w:r>
            <w:r w:rsidR="00271AED">
              <w:rPr>
                <w:rFonts w:ascii="Times New Roman" w:eastAsia="Times New Roman" w:hAnsi="Times New Roman"/>
                <w:sz w:val="24"/>
                <w:szCs w:val="24"/>
                <w:lang w:eastAsia="pl-PL"/>
              </w:rPr>
              <w:t xml:space="preserve">(Dz. U. </w:t>
            </w:r>
            <w:r w:rsidR="00CD62B1">
              <w:rPr>
                <w:rFonts w:ascii="Times New Roman" w:eastAsia="Times New Roman" w:hAnsi="Times New Roman"/>
                <w:sz w:val="24"/>
                <w:szCs w:val="24"/>
                <w:lang w:eastAsia="pl-PL"/>
              </w:rPr>
              <w:t>z 2026 r. poz. 191</w:t>
            </w:r>
            <w:r w:rsidRPr="003D4E62">
              <w:rPr>
                <w:rFonts w:ascii="Times New Roman" w:eastAsia="Times New Roman" w:hAnsi="Times New Roman"/>
                <w:sz w:val="24"/>
                <w:szCs w:val="24"/>
                <w:lang w:eastAsia="pl-PL"/>
              </w:rPr>
              <w:t>) przy podwyższaniu kapitału zakładowego ASI</w:t>
            </w:r>
            <w:r w:rsidR="00271AED">
              <w:rPr>
                <w:rFonts w:ascii="Times New Roman" w:eastAsia="Times New Roman" w:hAnsi="Times New Roman"/>
                <w:sz w:val="24"/>
                <w:szCs w:val="24"/>
                <w:lang w:eastAsia="pl-PL"/>
              </w:rPr>
              <w:t>;</w:t>
            </w:r>
          </w:p>
          <w:p w14:paraId="3D99BF49" w14:textId="2C4CBBE9" w:rsidR="008E7323" w:rsidRPr="00A916A9" w:rsidRDefault="008E7323" w:rsidP="00CD62B1">
            <w:pPr>
              <w:numPr>
                <w:ilvl w:val="0"/>
                <w:numId w:val="34"/>
              </w:numPr>
              <w:spacing w:before="120" w:after="120" w:line="240" w:lineRule="auto"/>
              <w:jc w:val="both"/>
              <w:rPr>
                <w:rFonts w:ascii="Times New Roman" w:eastAsia="Times New Roman" w:hAnsi="Times New Roman"/>
                <w:sz w:val="24"/>
                <w:szCs w:val="24"/>
                <w:lang w:eastAsia="pl-PL"/>
              </w:rPr>
            </w:pPr>
            <w:r w:rsidRPr="00A916A9">
              <w:rPr>
                <w:rFonts w:ascii="Times New Roman" w:eastAsia="Times New Roman" w:hAnsi="Times New Roman"/>
                <w:sz w:val="24"/>
                <w:szCs w:val="24"/>
                <w:lang w:eastAsia="pl-PL"/>
              </w:rPr>
              <w:t>związanych z wynagrodzeniem zarządzającego zależnym od wyników – w przypadku ASI w praktyce trudności we wdrożeniu mechanizmu „</w:t>
            </w:r>
            <w:proofErr w:type="spellStart"/>
            <w:r w:rsidRPr="00A916A9">
              <w:rPr>
                <w:rFonts w:ascii="Times New Roman" w:eastAsia="Times New Roman" w:hAnsi="Times New Roman"/>
                <w:sz w:val="24"/>
                <w:szCs w:val="24"/>
                <w:lang w:eastAsia="pl-PL"/>
              </w:rPr>
              <w:t>waterfall</w:t>
            </w:r>
            <w:proofErr w:type="spellEnd"/>
            <w:r w:rsidRPr="00A916A9">
              <w:rPr>
                <w:rFonts w:ascii="Times New Roman" w:eastAsia="Times New Roman" w:hAnsi="Times New Roman"/>
                <w:sz w:val="24"/>
                <w:szCs w:val="24"/>
                <w:lang w:eastAsia="pl-PL"/>
              </w:rPr>
              <w:t>”, np. z uwagi na procedurę konwokacyjną,</w:t>
            </w:r>
          </w:p>
          <w:p w14:paraId="4E4C20C5" w14:textId="77777777" w:rsidR="008E7323" w:rsidRPr="00A916A9" w:rsidRDefault="008E7323" w:rsidP="00CD62B1">
            <w:pPr>
              <w:numPr>
                <w:ilvl w:val="0"/>
                <w:numId w:val="34"/>
              </w:numPr>
              <w:spacing w:before="120" w:after="120" w:line="240" w:lineRule="auto"/>
              <w:jc w:val="both"/>
              <w:rPr>
                <w:rFonts w:ascii="Times New Roman" w:eastAsia="Times New Roman" w:hAnsi="Times New Roman"/>
                <w:sz w:val="24"/>
                <w:szCs w:val="24"/>
                <w:lang w:eastAsia="pl-PL"/>
              </w:rPr>
            </w:pPr>
            <w:r w:rsidRPr="00A916A9">
              <w:rPr>
                <w:rFonts w:ascii="Times New Roman" w:eastAsia="Times New Roman" w:hAnsi="Times New Roman"/>
                <w:sz w:val="24"/>
                <w:szCs w:val="24"/>
                <w:lang w:eastAsia="pl-PL"/>
              </w:rPr>
              <w:t>ograniczających możliwość zaangażowania kapitałowego zarządzającego – w przypadku FIZ istnieją ograniczenia w obejmowaniu certyfikatów inwestycyjnych przez TFI,</w:t>
            </w:r>
          </w:p>
          <w:p w14:paraId="599209D2" w14:textId="16D1A46D" w:rsidR="008E7323" w:rsidRPr="00A916A9" w:rsidRDefault="008E7323" w:rsidP="00CD62B1">
            <w:pPr>
              <w:numPr>
                <w:ilvl w:val="0"/>
                <w:numId w:val="34"/>
              </w:numPr>
              <w:spacing w:before="120" w:after="120" w:line="240" w:lineRule="auto"/>
              <w:jc w:val="both"/>
              <w:rPr>
                <w:rFonts w:ascii="Times New Roman" w:eastAsia="Times New Roman" w:hAnsi="Times New Roman"/>
                <w:sz w:val="24"/>
                <w:szCs w:val="24"/>
                <w:lang w:eastAsia="pl-PL"/>
              </w:rPr>
            </w:pPr>
            <w:r w:rsidRPr="00A916A9">
              <w:rPr>
                <w:rFonts w:ascii="Times New Roman" w:eastAsia="Times New Roman" w:hAnsi="Times New Roman"/>
                <w:sz w:val="24"/>
                <w:szCs w:val="24"/>
                <w:lang w:eastAsia="pl-PL"/>
              </w:rPr>
              <w:t>nie pozwalających na zachowanie transparentności wobec inwestorów – w przypadku FIZ i ASI zarządzanej przez licencjonowanego ZASI istnieje obowiązek zachowania tajemnicy zawodowej wyłączający możliwość przekazywania informacji nawet wewnętrznie (w ramach tego samego podmiotu),</w:t>
            </w:r>
          </w:p>
          <w:p w14:paraId="3AB27C0E" w14:textId="04633475" w:rsidR="00033B48" w:rsidRPr="009016B4" w:rsidRDefault="008E7323" w:rsidP="00CD62B1">
            <w:pPr>
              <w:numPr>
                <w:ilvl w:val="0"/>
                <w:numId w:val="34"/>
              </w:numPr>
              <w:spacing w:before="120" w:after="120" w:line="240" w:lineRule="auto"/>
              <w:jc w:val="both"/>
              <w:rPr>
                <w:rFonts w:ascii="Times New Roman" w:eastAsia="Times New Roman" w:hAnsi="Times New Roman"/>
                <w:sz w:val="24"/>
                <w:szCs w:val="24"/>
                <w:lang w:eastAsia="pl-PL"/>
              </w:rPr>
            </w:pPr>
            <w:r w:rsidRPr="00A916A9">
              <w:rPr>
                <w:rFonts w:ascii="Times New Roman" w:eastAsia="Times New Roman" w:hAnsi="Times New Roman"/>
                <w:sz w:val="24"/>
                <w:szCs w:val="24"/>
                <w:lang w:eastAsia="pl-PL"/>
              </w:rPr>
              <w:lastRenderedPageBreak/>
              <w:t>nie pozwalających na odwołanie podmiotu zarządzającego bez jego udziału – zarówno TFI w FIZ, jak i zarządzający ASI będący komplementariuszem muszą współdziałać z inwestorami w procedurze odwołania.</w:t>
            </w:r>
          </w:p>
          <w:p w14:paraId="7C51E82E" w14:textId="0B0278A5" w:rsidR="00595C88" w:rsidRPr="004741D8" w:rsidRDefault="008E7323" w:rsidP="009016B4">
            <w:pPr>
              <w:spacing w:before="120" w:after="120" w:line="240" w:lineRule="auto"/>
              <w:jc w:val="both"/>
              <w:rPr>
                <w:rFonts w:ascii="Times New Roman" w:eastAsia="Times New Roman" w:hAnsi="Times New Roman"/>
                <w:sz w:val="24"/>
                <w:szCs w:val="24"/>
                <w:lang w:eastAsia="pl-PL"/>
              </w:rPr>
            </w:pPr>
            <w:r w:rsidRPr="00A916A9">
              <w:rPr>
                <w:rFonts w:ascii="Times New Roman" w:eastAsia="Times New Roman" w:hAnsi="Times New Roman"/>
                <w:sz w:val="24"/>
                <w:szCs w:val="24"/>
                <w:lang w:eastAsia="pl-PL"/>
              </w:rPr>
              <w:t>Rozwiązania proponowane w projekcie wpisują się w międzynarodowe standardy, stanowiąc brakujący element systemu funduszy inwestycyjnych, pozwalający na skuteczniejsze konkurowanie polskiego rynku z jurysdykcjami oferującymi obecnie bardziej przyjazne otoczenie prawne dla funduszy typu VC/PE/PD/PI.</w:t>
            </w:r>
          </w:p>
        </w:tc>
      </w:tr>
      <w:tr w:rsidR="00595C88" w:rsidRPr="008B4FE6" w14:paraId="49AB59A2" w14:textId="77777777" w:rsidTr="0053280C">
        <w:trPr>
          <w:trHeight w:val="359"/>
        </w:trPr>
        <w:tc>
          <w:tcPr>
            <w:tcW w:w="10661" w:type="dxa"/>
            <w:gridSpan w:val="29"/>
            <w:shd w:val="clear" w:color="auto" w:fill="99CCFF"/>
            <w:vAlign w:val="center"/>
          </w:tcPr>
          <w:p w14:paraId="12FB319F" w14:textId="77777777" w:rsidR="00595C88" w:rsidRPr="00765840" w:rsidRDefault="00595C88" w:rsidP="00595C88">
            <w:pPr>
              <w:numPr>
                <w:ilvl w:val="0"/>
                <w:numId w:val="3"/>
              </w:numPr>
              <w:spacing w:before="60" w:after="60" w:line="240" w:lineRule="auto"/>
              <w:ind w:left="318" w:hanging="284"/>
              <w:jc w:val="both"/>
              <w:rPr>
                <w:rFonts w:ascii="Times New Roman" w:hAnsi="Times New Roman"/>
                <w:b/>
                <w:color w:val="000000"/>
              </w:rPr>
            </w:pPr>
            <w:r w:rsidRPr="00765840">
              <w:rPr>
                <w:rFonts w:ascii="Times New Roman" w:hAnsi="Times New Roman"/>
                <w:b/>
                <w:color w:val="000000"/>
              </w:rPr>
              <w:lastRenderedPageBreak/>
              <w:t>Podmioty, na które oddziałuje projekt</w:t>
            </w:r>
          </w:p>
        </w:tc>
      </w:tr>
      <w:tr w:rsidR="00595C88" w:rsidRPr="008B4FE6" w14:paraId="7E0E8EBD" w14:textId="77777777" w:rsidTr="0053280C">
        <w:trPr>
          <w:trHeight w:val="142"/>
        </w:trPr>
        <w:tc>
          <w:tcPr>
            <w:tcW w:w="2566" w:type="dxa"/>
            <w:gridSpan w:val="3"/>
          </w:tcPr>
          <w:p w14:paraId="4D9A7085" w14:textId="77777777" w:rsidR="00595C88" w:rsidRPr="008B4FE6" w:rsidRDefault="00595C88" w:rsidP="00595C88">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Grupa</w:t>
            </w:r>
          </w:p>
        </w:tc>
        <w:tc>
          <w:tcPr>
            <w:tcW w:w="2232" w:type="dxa"/>
            <w:gridSpan w:val="8"/>
          </w:tcPr>
          <w:p w14:paraId="38DB81E6" w14:textId="77777777" w:rsidR="00595C88" w:rsidRPr="008B4FE6" w:rsidRDefault="00595C88" w:rsidP="00595C88">
            <w:pPr>
              <w:spacing w:before="40" w:line="240" w:lineRule="auto"/>
              <w:jc w:val="center"/>
              <w:rPr>
                <w:rFonts w:ascii="Times New Roman" w:hAnsi="Times New Roman"/>
                <w:color w:val="000000"/>
                <w:spacing w:val="-2"/>
              </w:rPr>
            </w:pPr>
            <w:r>
              <w:rPr>
                <w:rFonts w:ascii="Times New Roman" w:hAnsi="Times New Roman"/>
                <w:color w:val="000000"/>
                <w:spacing w:val="-2"/>
              </w:rPr>
              <w:t>Wielkość</w:t>
            </w:r>
          </w:p>
        </w:tc>
        <w:tc>
          <w:tcPr>
            <w:tcW w:w="2922" w:type="dxa"/>
            <w:gridSpan w:val="12"/>
          </w:tcPr>
          <w:p w14:paraId="58131764" w14:textId="77777777" w:rsidR="00595C88" w:rsidRPr="008B4FE6" w:rsidRDefault="00595C88" w:rsidP="00595C88">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Źródło danych</w:t>
            </w:r>
            <w:r w:rsidRPr="008B4FE6" w:rsidDel="00260F33">
              <w:rPr>
                <w:rFonts w:ascii="Times New Roman" w:hAnsi="Times New Roman"/>
                <w:color w:val="000000"/>
                <w:spacing w:val="-2"/>
              </w:rPr>
              <w:t xml:space="preserve"> </w:t>
            </w:r>
          </w:p>
        </w:tc>
        <w:tc>
          <w:tcPr>
            <w:tcW w:w="2941" w:type="dxa"/>
            <w:gridSpan w:val="6"/>
          </w:tcPr>
          <w:p w14:paraId="6F753210" w14:textId="77777777" w:rsidR="00595C88" w:rsidRPr="008B4FE6" w:rsidRDefault="00595C88" w:rsidP="00595C88">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Oddziaływanie</w:t>
            </w:r>
          </w:p>
        </w:tc>
      </w:tr>
      <w:tr w:rsidR="00595C88" w:rsidRPr="008B4FE6" w14:paraId="6B15C63D" w14:textId="77777777" w:rsidTr="0053280C">
        <w:trPr>
          <w:trHeight w:val="142"/>
        </w:trPr>
        <w:tc>
          <w:tcPr>
            <w:tcW w:w="2566" w:type="dxa"/>
            <w:gridSpan w:val="3"/>
          </w:tcPr>
          <w:p w14:paraId="0F86DD7A" w14:textId="19C62423" w:rsidR="00595C88" w:rsidRPr="00D05697" w:rsidRDefault="00595C88" w:rsidP="00595C88">
            <w:pPr>
              <w:spacing w:line="240" w:lineRule="auto"/>
              <w:rPr>
                <w:rFonts w:ascii="Times New Roman" w:hAnsi="Times New Roman"/>
                <w:color w:val="000000"/>
                <w:spacing w:val="-2"/>
                <w:sz w:val="24"/>
                <w:szCs w:val="24"/>
              </w:rPr>
            </w:pPr>
            <w:r w:rsidRPr="00D05697">
              <w:rPr>
                <w:rFonts w:ascii="Times New Roman" w:hAnsi="Times New Roman"/>
                <w:color w:val="000000"/>
                <w:sz w:val="24"/>
                <w:szCs w:val="24"/>
              </w:rPr>
              <w:t xml:space="preserve">Towarzystwa Funduszy </w:t>
            </w:r>
            <w:r w:rsidR="009016B4">
              <w:rPr>
                <w:rFonts w:ascii="Times New Roman" w:hAnsi="Times New Roman"/>
                <w:color w:val="000000"/>
                <w:sz w:val="24"/>
                <w:szCs w:val="24"/>
              </w:rPr>
              <w:t>I</w:t>
            </w:r>
            <w:r w:rsidRPr="00D05697">
              <w:rPr>
                <w:rFonts w:ascii="Times New Roman" w:hAnsi="Times New Roman"/>
                <w:color w:val="000000"/>
                <w:sz w:val="24"/>
                <w:szCs w:val="24"/>
              </w:rPr>
              <w:t>nwestycyjnych</w:t>
            </w:r>
          </w:p>
        </w:tc>
        <w:tc>
          <w:tcPr>
            <w:tcW w:w="2232" w:type="dxa"/>
            <w:gridSpan w:val="8"/>
          </w:tcPr>
          <w:p w14:paraId="43EB4BB1" w14:textId="7F6801E4" w:rsidR="00595C88" w:rsidRPr="00D05697" w:rsidRDefault="00595C88" w:rsidP="00595C88">
            <w:pPr>
              <w:spacing w:line="240" w:lineRule="auto"/>
              <w:rPr>
                <w:rFonts w:ascii="Times New Roman" w:hAnsi="Times New Roman"/>
                <w:color w:val="000000"/>
                <w:spacing w:val="-2"/>
                <w:sz w:val="24"/>
                <w:szCs w:val="24"/>
              </w:rPr>
            </w:pPr>
            <w:r w:rsidRPr="00D05697">
              <w:rPr>
                <w:rFonts w:ascii="Times New Roman" w:hAnsi="Times New Roman"/>
                <w:color w:val="000000"/>
                <w:spacing w:val="-2"/>
                <w:sz w:val="24"/>
                <w:szCs w:val="24"/>
              </w:rPr>
              <w:t>55</w:t>
            </w:r>
          </w:p>
        </w:tc>
        <w:tc>
          <w:tcPr>
            <w:tcW w:w="2922" w:type="dxa"/>
            <w:gridSpan w:val="12"/>
          </w:tcPr>
          <w:p w14:paraId="3490CA6C" w14:textId="665A2E7F" w:rsidR="00595C88" w:rsidRPr="00D05697" w:rsidRDefault="00595C88" w:rsidP="00595C88">
            <w:pPr>
              <w:spacing w:line="240" w:lineRule="auto"/>
              <w:rPr>
                <w:rFonts w:ascii="Times New Roman" w:hAnsi="Times New Roman"/>
                <w:color w:val="000000"/>
                <w:spacing w:val="-2"/>
                <w:sz w:val="24"/>
                <w:szCs w:val="24"/>
              </w:rPr>
            </w:pPr>
            <w:r w:rsidRPr="00D05697">
              <w:rPr>
                <w:rFonts w:ascii="Times New Roman" w:hAnsi="Times New Roman"/>
                <w:color w:val="000000"/>
                <w:spacing w:val="-2"/>
                <w:sz w:val="24"/>
                <w:szCs w:val="24"/>
              </w:rPr>
              <w:t>Urząd Komisji Nadzoru Finansowego</w:t>
            </w:r>
          </w:p>
          <w:p w14:paraId="34C38BE2" w14:textId="260D1AB4" w:rsidR="00FB3E1E" w:rsidRPr="00D05697" w:rsidRDefault="00FB3E1E" w:rsidP="00595C88">
            <w:pPr>
              <w:spacing w:line="240" w:lineRule="auto"/>
              <w:rPr>
                <w:rFonts w:ascii="Times New Roman" w:hAnsi="Times New Roman"/>
                <w:color w:val="000000"/>
                <w:spacing w:val="-2"/>
                <w:sz w:val="24"/>
                <w:szCs w:val="24"/>
              </w:rPr>
            </w:pPr>
            <w:r w:rsidRPr="00D05697">
              <w:rPr>
                <w:rFonts w:ascii="Times New Roman" w:hAnsi="Times New Roman"/>
                <w:color w:val="000000"/>
                <w:spacing w:val="-2"/>
                <w:sz w:val="24"/>
                <w:szCs w:val="24"/>
              </w:rPr>
              <w:t>https://www.knf.gov.pl/podmioty/Podmioty_rynku_kapitalowego/Fundusze_Inwestycyjne/TFI_i_FI</w:t>
            </w:r>
          </w:p>
        </w:tc>
        <w:tc>
          <w:tcPr>
            <w:tcW w:w="2941" w:type="dxa"/>
            <w:gridSpan w:val="6"/>
          </w:tcPr>
          <w:p w14:paraId="4FA5B2EB" w14:textId="5470ACDA" w:rsidR="00595C88" w:rsidRPr="00D05697" w:rsidRDefault="00595C88" w:rsidP="00C93E3B">
            <w:pPr>
              <w:spacing w:after="120" w:line="240" w:lineRule="auto"/>
              <w:rPr>
                <w:sz w:val="24"/>
                <w:szCs w:val="24"/>
              </w:rPr>
            </w:pPr>
            <w:r w:rsidRPr="00D05697">
              <w:rPr>
                <w:rFonts w:ascii="Times New Roman" w:hAnsi="Times New Roman"/>
                <w:color w:val="000000" w:themeColor="text1"/>
                <w:sz w:val="24"/>
                <w:szCs w:val="24"/>
              </w:rPr>
              <w:t>Rozszerzenie katalogu oferowanych instrumentów finansowych o ETF</w:t>
            </w:r>
            <w:r w:rsidR="00B41B17">
              <w:rPr>
                <w:rFonts w:ascii="Times New Roman" w:hAnsi="Times New Roman"/>
                <w:color w:val="000000" w:themeColor="text1"/>
                <w:sz w:val="24"/>
                <w:szCs w:val="24"/>
              </w:rPr>
              <w:t xml:space="preserve"> i KFI</w:t>
            </w:r>
            <w:r w:rsidR="00017FDD">
              <w:rPr>
                <w:rFonts w:ascii="Times New Roman" w:hAnsi="Times New Roman"/>
                <w:color w:val="000000" w:themeColor="text1"/>
                <w:sz w:val="24"/>
                <w:szCs w:val="24"/>
              </w:rPr>
              <w:t>.</w:t>
            </w:r>
          </w:p>
          <w:p w14:paraId="22CDC507" w14:textId="1E88B2F5" w:rsidR="00595C88" w:rsidRPr="00D05697" w:rsidRDefault="00595C88" w:rsidP="00C93E3B">
            <w:pPr>
              <w:spacing w:after="120" w:line="240" w:lineRule="auto"/>
              <w:rPr>
                <w:rFonts w:ascii="Times New Roman" w:hAnsi="Times New Roman"/>
                <w:color w:val="000000" w:themeColor="text1"/>
                <w:sz w:val="24"/>
                <w:szCs w:val="24"/>
              </w:rPr>
            </w:pPr>
            <w:r w:rsidRPr="00D05697">
              <w:rPr>
                <w:rFonts w:ascii="Times New Roman" w:hAnsi="Times New Roman"/>
                <w:color w:val="000000" w:themeColor="text1"/>
                <w:sz w:val="24"/>
                <w:szCs w:val="24"/>
              </w:rPr>
              <w:t>Konieczność dostosowania procesów operacyjnych w celu umożliwienia obsługi animatorów rynku oraz procesu kreacji i umo</w:t>
            </w:r>
            <w:r w:rsidR="006D07F9" w:rsidRPr="00D05697">
              <w:rPr>
                <w:rFonts w:ascii="Times New Roman" w:hAnsi="Times New Roman"/>
                <w:color w:val="000000" w:themeColor="text1"/>
                <w:sz w:val="24"/>
                <w:szCs w:val="24"/>
              </w:rPr>
              <w:t>rz</w:t>
            </w:r>
            <w:r w:rsidRPr="00D05697">
              <w:rPr>
                <w:rFonts w:ascii="Times New Roman" w:hAnsi="Times New Roman"/>
                <w:color w:val="000000" w:themeColor="text1"/>
                <w:sz w:val="24"/>
                <w:szCs w:val="24"/>
              </w:rPr>
              <w:t>enia jednostek ETF.</w:t>
            </w:r>
          </w:p>
          <w:p w14:paraId="1B140890" w14:textId="77777777" w:rsidR="00C93E3B" w:rsidRDefault="00595C88" w:rsidP="00C93E3B">
            <w:pPr>
              <w:spacing w:after="120" w:line="240" w:lineRule="auto"/>
              <w:rPr>
                <w:rFonts w:ascii="Times New Roman" w:hAnsi="Times New Roman"/>
                <w:color w:val="000000" w:themeColor="text1"/>
                <w:sz w:val="24"/>
                <w:szCs w:val="24"/>
              </w:rPr>
            </w:pPr>
            <w:r w:rsidRPr="00D05697">
              <w:rPr>
                <w:rFonts w:ascii="Times New Roman" w:hAnsi="Times New Roman"/>
                <w:color w:val="000000" w:themeColor="text1"/>
                <w:sz w:val="24"/>
                <w:szCs w:val="24"/>
              </w:rPr>
              <w:t>Obowiązek przekazywania organowi nadzoru informacji sprawozdawczych.</w:t>
            </w:r>
          </w:p>
          <w:p w14:paraId="4CDA3AFC" w14:textId="701CC73B" w:rsidR="0099095B" w:rsidRPr="00B41B17" w:rsidRDefault="0099095B" w:rsidP="00C93E3B">
            <w:pPr>
              <w:spacing w:after="120" w:line="240" w:lineRule="auto"/>
              <w:rPr>
                <w:rFonts w:ascii="Times New Roman" w:hAnsi="Times New Roman"/>
                <w:color w:val="000000" w:themeColor="text1"/>
                <w:sz w:val="24"/>
                <w:szCs w:val="24"/>
              </w:rPr>
            </w:pPr>
            <w:r w:rsidRPr="00D05697">
              <w:rPr>
                <w:rFonts w:ascii="Times New Roman" w:hAnsi="Times New Roman"/>
                <w:color w:val="000000"/>
                <w:spacing w:val="-2"/>
                <w:sz w:val="24"/>
                <w:szCs w:val="24"/>
              </w:rPr>
              <w:t xml:space="preserve">Rozszerzenie katalogu </w:t>
            </w:r>
            <w:r>
              <w:rPr>
                <w:rFonts w:ascii="Times New Roman" w:hAnsi="Times New Roman"/>
                <w:color w:val="000000"/>
                <w:spacing w:val="-2"/>
                <w:sz w:val="24"/>
                <w:szCs w:val="24"/>
              </w:rPr>
              <w:t>produktów inwestycyjnych (KFI).</w:t>
            </w:r>
          </w:p>
        </w:tc>
      </w:tr>
      <w:tr w:rsidR="00595C88" w:rsidRPr="008B4FE6" w14:paraId="0AA80E67" w14:textId="77777777" w:rsidTr="0053280C">
        <w:trPr>
          <w:trHeight w:val="142"/>
        </w:trPr>
        <w:tc>
          <w:tcPr>
            <w:tcW w:w="2566" w:type="dxa"/>
            <w:gridSpan w:val="3"/>
          </w:tcPr>
          <w:p w14:paraId="3D62F331" w14:textId="622AF3D5" w:rsidR="00595C88" w:rsidRPr="00D05697" w:rsidRDefault="00595C88" w:rsidP="00595C88">
            <w:pPr>
              <w:spacing w:line="240" w:lineRule="auto"/>
              <w:rPr>
                <w:rFonts w:ascii="Times New Roman" w:hAnsi="Times New Roman"/>
                <w:color w:val="000000"/>
                <w:spacing w:val="-2"/>
                <w:sz w:val="24"/>
                <w:szCs w:val="24"/>
              </w:rPr>
            </w:pPr>
            <w:r w:rsidRPr="00D05697">
              <w:rPr>
                <w:rFonts w:ascii="Times New Roman" w:hAnsi="Times New Roman"/>
                <w:color w:val="000000"/>
                <w:sz w:val="24"/>
                <w:szCs w:val="24"/>
              </w:rPr>
              <w:t>Zarządzający alternatywnymi spółkami inwestycyjnymi (</w:t>
            </w:r>
            <w:r w:rsidR="00EE4EB3" w:rsidRPr="00EE4EB3">
              <w:rPr>
                <w:rFonts w:ascii="Times New Roman" w:hAnsi="Times New Roman"/>
                <w:color w:val="000000"/>
                <w:sz w:val="24"/>
                <w:szCs w:val="24"/>
              </w:rPr>
              <w:t>prowadzący działalność na podstawie zezwolenia KNF</w:t>
            </w:r>
            <w:r w:rsidRPr="00D05697">
              <w:rPr>
                <w:rFonts w:ascii="Times New Roman" w:hAnsi="Times New Roman"/>
                <w:color w:val="000000"/>
                <w:sz w:val="24"/>
                <w:szCs w:val="24"/>
              </w:rPr>
              <w:t>)</w:t>
            </w:r>
          </w:p>
        </w:tc>
        <w:tc>
          <w:tcPr>
            <w:tcW w:w="2232" w:type="dxa"/>
            <w:gridSpan w:val="8"/>
          </w:tcPr>
          <w:p w14:paraId="18188156" w14:textId="00B284C2" w:rsidR="00595C88" w:rsidRPr="00D05697" w:rsidRDefault="00595C88" w:rsidP="00595C88">
            <w:pPr>
              <w:spacing w:line="240" w:lineRule="auto"/>
              <w:rPr>
                <w:rFonts w:ascii="Times New Roman" w:hAnsi="Times New Roman"/>
                <w:color w:val="000000"/>
                <w:spacing w:val="-2"/>
                <w:sz w:val="24"/>
                <w:szCs w:val="24"/>
              </w:rPr>
            </w:pPr>
            <w:r w:rsidRPr="00D05697">
              <w:rPr>
                <w:rFonts w:ascii="Times New Roman" w:hAnsi="Times New Roman"/>
                <w:color w:val="000000"/>
                <w:spacing w:val="-2"/>
                <w:sz w:val="24"/>
                <w:szCs w:val="24"/>
              </w:rPr>
              <w:t>2</w:t>
            </w:r>
          </w:p>
        </w:tc>
        <w:tc>
          <w:tcPr>
            <w:tcW w:w="2922" w:type="dxa"/>
            <w:gridSpan w:val="12"/>
          </w:tcPr>
          <w:p w14:paraId="5241324A" w14:textId="77777777" w:rsidR="00595C88" w:rsidRPr="00D05697" w:rsidRDefault="00595C88" w:rsidP="00595C88">
            <w:pPr>
              <w:spacing w:line="240" w:lineRule="auto"/>
              <w:rPr>
                <w:rFonts w:ascii="Times New Roman" w:hAnsi="Times New Roman"/>
                <w:sz w:val="24"/>
                <w:szCs w:val="24"/>
              </w:rPr>
            </w:pPr>
            <w:r w:rsidRPr="00D05697">
              <w:rPr>
                <w:rFonts w:ascii="Times New Roman" w:hAnsi="Times New Roman"/>
                <w:sz w:val="24"/>
                <w:szCs w:val="24"/>
              </w:rPr>
              <w:t>Urząd Komisji Nadzoru Finansowego</w:t>
            </w:r>
          </w:p>
          <w:p w14:paraId="7F266E3F" w14:textId="0C703EDE" w:rsidR="00FB3E1E" w:rsidRPr="00D05697" w:rsidRDefault="00FB3E1E" w:rsidP="00595C88">
            <w:pPr>
              <w:spacing w:line="240" w:lineRule="auto"/>
              <w:rPr>
                <w:rFonts w:ascii="Times New Roman" w:hAnsi="Times New Roman"/>
                <w:color w:val="000000"/>
                <w:spacing w:val="-2"/>
                <w:sz w:val="24"/>
                <w:szCs w:val="24"/>
              </w:rPr>
            </w:pPr>
            <w:r w:rsidRPr="00D05697">
              <w:rPr>
                <w:rFonts w:ascii="Times New Roman" w:hAnsi="Times New Roman"/>
                <w:color w:val="000000"/>
                <w:spacing w:val="-2"/>
                <w:sz w:val="24"/>
                <w:szCs w:val="24"/>
              </w:rPr>
              <w:t>https://www.knf.gov.pl/podmioty/Podmioty_rynku_kapitalowego/Fundusze_Inwestycyjne/zarzadzajacy_asi_posiadajacy_zezwolenie</w:t>
            </w:r>
          </w:p>
        </w:tc>
        <w:tc>
          <w:tcPr>
            <w:tcW w:w="2941" w:type="dxa"/>
            <w:gridSpan w:val="6"/>
          </w:tcPr>
          <w:p w14:paraId="3EC7AE27" w14:textId="7436C7AE" w:rsidR="00595C88" w:rsidRPr="00D05697" w:rsidRDefault="00595C88" w:rsidP="00C93E3B">
            <w:pPr>
              <w:spacing w:after="120" w:line="240" w:lineRule="auto"/>
              <w:rPr>
                <w:rFonts w:ascii="Times New Roman" w:hAnsi="Times New Roman"/>
                <w:color w:val="000000" w:themeColor="text1"/>
                <w:sz w:val="24"/>
                <w:szCs w:val="24"/>
              </w:rPr>
            </w:pPr>
            <w:r w:rsidRPr="00D05697">
              <w:rPr>
                <w:rFonts w:ascii="Times New Roman" w:hAnsi="Times New Roman"/>
                <w:sz w:val="24"/>
                <w:szCs w:val="24"/>
              </w:rPr>
              <w:t>Rozszerzenie katalogu oferowanych instrumentów finansowych o ETF</w:t>
            </w:r>
            <w:r w:rsidR="00B41B17">
              <w:rPr>
                <w:rFonts w:ascii="Times New Roman" w:hAnsi="Times New Roman"/>
                <w:sz w:val="24"/>
                <w:szCs w:val="24"/>
              </w:rPr>
              <w:t xml:space="preserve"> i KFI</w:t>
            </w:r>
            <w:r w:rsidR="00017FDD">
              <w:rPr>
                <w:rFonts w:ascii="Times New Roman" w:hAnsi="Times New Roman"/>
                <w:sz w:val="24"/>
                <w:szCs w:val="24"/>
              </w:rPr>
              <w:t>.</w:t>
            </w:r>
            <w:r w:rsidRPr="00D05697">
              <w:rPr>
                <w:rFonts w:ascii="Times New Roman" w:hAnsi="Times New Roman"/>
                <w:sz w:val="24"/>
                <w:szCs w:val="24"/>
              </w:rPr>
              <w:t xml:space="preserve"> </w:t>
            </w:r>
          </w:p>
          <w:p w14:paraId="0D70E9BC" w14:textId="171DB706" w:rsidR="00595C88" w:rsidRPr="00D05697" w:rsidRDefault="00595C88" w:rsidP="00C93E3B">
            <w:pPr>
              <w:spacing w:after="120" w:line="240" w:lineRule="auto"/>
              <w:rPr>
                <w:sz w:val="24"/>
                <w:szCs w:val="24"/>
              </w:rPr>
            </w:pPr>
            <w:r w:rsidRPr="00D05697">
              <w:rPr>
                <w:rFonts w:ascii="Times New Roman" w:hAnsi="Times New Roman"/>
                <w:sz w:val="24"/>
                <w:szCs w:val="24"/>
              </w:rPr>
              <w:t>Konieczność dostosowania procesów operacyjnych w celu umożliwienia obsługi animatorów rynku oraz procesu kreacji i umo</w:t>
            </w:r>
            <w:r w:rsidR="006D07F9" w:rsidRPr="00D05697">
              <w:rPr>
                <w:rFonts w:ascii="Times New Roman" w:hAnsi="Times New Roman"/>
                <w:sz w:val="24"/>
                <w:szCs w:val="24"/>
              </w:rPr>
              <w:t>rz</w:t>
            </w:r>
            <w:r w:rsidRPr="00D05697">
              <w:rPr>
                <w:rFonts w:ascii="Times New Roman" w:hAnsi="Times New Roman"/>
                <w:sz w:val="24"/>
                <w:szCs w:val="24"/>
              </w:rPr>
              <w:t xml:space="preserve">enia jednostek ETF. </w:t>
            </w:r>
          </w:p>
          <w:p w14:paraId="3B83A41D" w14:textId="77777777" w:rsidR="00C93E3B" w:rsidRDefault="00595C88" w:rsidP="00C93E3B">
            <w:pPr>
              <w:spacing w:after="120" w:line="240" w:lineRule="auto"/>
              <w:rPr>
                <w:rFonts w:ascii="Times New Roman" w:hAnsi="Times New Roman"/>
                <w:color w:val="000000" w:themeColor="text1"/>
                <w:sz w:val="24"/>
                <w:szCs w:val="24"/>
              </w:rPr>
            </w:pPr>
            <w:r w:rsidRPr="00D05697">
              <w:rPr>
                <w:rFonts w:ascii="Times New Roman" w:hAnsi="Times New Roman"/>
                <w:sz w:val="24"/>
                <w:szCs w:val="24"/>
              </w:rPr>
              <w:t>Obowiązek przekazywania organowi nadzoru informacji sprawozdawczych.</w:t>
            </w:r>
          </w:p>
          <w:p w14:paraId="006054F6" w14:textId="151E03C7" w:rsidR="00595C88" w:rsidRPr="00D05697" w:rsidRDefault="0099095B" w:rsidP="00C93E3B">
            <w:pPr>
              <w:spacing w:after="120" w:line="240" w:lineRule="auto"/>
              <w:rPr>
                <w:rFonts w:ascii="Times New Roman" w:hAnsi="Times New Roman"/>
                <w:color w:val="000000"/>
                <w:spacing w:val="-2"/>
                <w:sz w:val="24"/>
                <w:szCs w:val="24"/>
              </w:rPr>
            </w:pPr>
            <w:r w:rsidRPr="00D05697">
              <w:rPr>
                <w:rFonts w:ascii="Times New Roman" w:hAnsi="Times New Roman"/>
                <w:color w:val="000000"/>
                <w:spacing w:val="-2"/>
                <w:sz w:val="24"/>
                <w:szCs w:val="24"/>
              </w:rPr>
              <w:t xml:space="preserve">Rozszerzenie katalogu </w:t>
            </w:r>
            <w:r>
              <w:rPr>
                <w:rFonts w:ascii="Times New Roman" w:hAnsi="Times New Roman"/>
                <w:color w:val="000000"/>
                <w:spacing w:val="-2"/>
                <w:sz w:val="24"/>
                <w:szCs w:val="24"/>
              </w:rPr>
              <w:t>produktów inwestycyjnych (KFI).</w:t>
            </w:r>
          </w:p>
        </w:tc>
      </w:tr>
      <w:tr w:rsidR="00595C88" w:rsidRPr="008B4FE6" w14:paraId="487A061B" w14:textId="77777777" w:rsidTr="0053280C">
        <w:trPr>
          <w:trHeight w:val="142"/>
        </w:trPr>
        <w:tc>
          <w:tcPr>
            <w:tcW w:w="2566" w:type="dxa"/>
            <w:gridSpan w:val="3"/>
          </w:tcPr>
          <w:p w14:paraId="6C3D3F43" w14:textId="1831FB8F" w:rsidR="00595C88" w:rsidRPr="00D05697" w:rsidRDefault="00595C88" w:rsidP="00595C88">
            <w:pPr>
              <w:spacing w:line="240" w:lineRule="auto"/>
              <w:rPr>
                <w:rFonts w:ascii="Times New Roman" w:hAnsi="Times New Roman"/>
                <w:color w:val="000000"/>
                <w:spacing w:val="-2"/>
                <w:sz w:val="24"/>
                <w:szCs w:val="24"/>
              </w:rPr>
            </w:pPr>
            <w:r w:rsidRPr="00D05697">
              <w:rPr>
                <w:rFonts w:ascii="Times New Roman" w:hAnsi="Times New Roman"/>
                <w:color w:val="000000"/>
                <w:sz w:val="24"/>
                <w:szCs w:val="24"/>
              </w:rPr>
              <w:t>Zarządzający alternatywnymi spółkami inwestycyjnymi (</w:t>
            </w:r>
            <w:r w:rsidR="00EE4EB3" w:rsidRPr="00EE4EB3">
              <w:rPr>
                <w:rFonts w:ascii="Times New Roman" w:hAnsi="Times New Roman"/>
                <w:color w:val="000000"/>
                <w:sz w:val="24"/>
                <w:szCs w:val="24"/>
              </w:rPr>
              <w:t>prowadzących działalność na podstawie wpisu do rejestru prowadzonego przez KNF</w:t>
            </w:r>
            <w:r w:rsidRPr="00D05697">
              <w:rPr>
                <w:rFonts w:ascii="Times New Roman" w:hAnsi="Times New Roman"/>
                <w:color w:val="000000"/>
                <w:sz w:val="24"/>
                <w:szCs w:val="24"/>
              </w:rPr>
              <w:t>)</w:t>
            </w:r>
          </w:p>
        </w:tc>
        <w:tc>
          <w:tcPr>
            <w:tcW w:w="2232" w:type="dxa"/>
            <w:gridSpan w:val="8"/>
          </w:tcPr>
          <w:p w14:paraId="04B0DE40" w14:textId="24F2F2B8" w:rsidR="00595C88" w:rsidRPr="00D05697" w:rsidRDefault="00EE4EB3" w:rsidP="00595C88">
            <w:pPr>
              <w:spacing w:line="240" w:lineRule="auto"/>
              <w:rPr>
                <w:rFonts w:ascii="Times New Roman" w:hAnsi="Times New Roman"/>
                <w:color w:val="000000"/>
                <w:spacing w:val="-2"/>
                <w:sz w:val="24"/>
                <w:szCs w:val="24"/>
              </w:rPr>
            </w:pPr>
            <w:r>
              <w:rPr>
                <w:rFonts w:ascii="Times New Roman" w:hAnsi="Times New Roman"/>
                <w:color w:val="000000"/>
                <w:spacing w:val="-2"/>
                <w:sz w:val="24"/>
                <w:szCs w:val="24"/>
              </w:rPr>
              <w:t>326</w:t>
            </w:r>
          </w:p>
        </w:tc>
        <w:tc>
          <w:tcPr>
            <w:tcW w:w="2922" w:type="dxa"/>
            <w:gridSpan w:val="12"/>
          </w:tcPr>
          <w:p w14:paraId="5ECD3A56" w14:textId="77777777" w:rsidR="00595C88" w:rsidRPr="00D05697" w:rsidRDefault="00595C88" w:rsidP="00595C88">
            <w:pPr>
              <w:spacing w:line="240" w:lineRule="auto"/>
              <w:rPr>
                <w:rFonts w:ascii="Times New Roman" w:hAnsi="Times New Roman"/>
                <w:sz w:val="24"/>
                <w:szCs w:val="24"/>
              </w:rPr>
            </w:pPr>
            <w:r w:rsidRPr="00D05697">
              <w:rPr>
                <w:rFonts w:ascii="Times New Roman" w:hAnsi="Times New Roman"/>
                <w:sz w:val="24"/>
                <w:szCs w:val="24"/>
              </w:rPr>
              <w:t>Urząd Komisji Nadzoru Finansowego</w:t>
            </w:r>
          </w:p>
          <w:p w14:paraId="104AFD9E" w14:textId="791F5F8C" w:rsidR="00FB3E1E" w:rsidRPr="00D05697" w:rsidRDefault="00FB3E1E" w:rsidP="00595C88">
            <w:pPr>
              <w:spacing w:line="240" w:lineRule="auto"/>
              <w:rPr>
                <w:rFonts w:ascii="Times New Roman" w:hAnsi="Times New Roman"/>
                <w:color w:val="000000"/>
                <w:spacing w:val="-2"/>
                <w:sz w:val="24"/>
                <w:szCs w:val="24"/>
              </w:rPr>
            </w:pPr>
            <w:r w:rsidRPr="00D05697">
              <w:rPr>
                <w:rFonts w:ascii="Times New Roman" w:hAnsi="Times New Roman"/>
                <w:color w:val="000000"/>
                <w:spacing w:val="-2"/>
                <w:sz w:val="24"/>
                <w:szCs w:val="24"/>
              </w:rPr>
              <w:t>https://zasi.knf.gov.pl/</w:t>
            </w:r>
          </w:p>
        </w:tc>
        <w:tc>
          <w:tcPr>
            <w:tcW w:w="2941" w:type="dxa"/>
            <w:gridSpan w:val="6"/>
          </w:tcPr>
          <w:p w14:paraId="585E7F04" w14:textId="57E08BCB" w:rsidR="00595C88" w:rsidRPr="00D05697" w:rsidRDefault="00595C88" w:rsidP="00C93E3B">
            <w:pPr>
              <w:spacing w:after="120" w:line="240" w:lineRule="auto"/>
              <w:rPr>
                <w:rFonts w:ascii="Times New Roman" w:hAnsi="Times New Roman"/>
                <w:sz w:val="24"/>
                <w:szCs w:val="24"/>
              </w:rPr>
            </w:pPr>
            <w:r w:rsidRPr="00D05697">
              <w:rPr>
                <w:rFonts w:ascii="Times New Roman" w:hAnsi="Times New Roman"/>
                <w:color w:val="000000" w:themeColor="text1"/>
                <w:sz w:val="24"/>
                <w:szCs w:val="24"/>
              </w:rPr>
              <w:t>Rozszerzenie katalogu oferowanych instrumentów finansowych o ETF</w:t>
            </w:r>
            <w:r w:rsidR="00B41B17">
              <w:rPr>
                <w:rFonts w:ascii="Times New Roman" w:hAnsi="Times New Roman"/>
                <w:color w:val="000000" w:themeColor="text1"/>
                <w:sz w:val="24"/>
                <w:szCs w:val="24"/>
              </w:rPr>
              <w:t xml:space="preserve"> i KFI</w:t>
            </w:r>
            <w:r w:rsidR="00017FDD">
              <w:rPr>
                <w:rFonts w:ascii="Times New Roman" w:hAnsi="Times New Roman"/>
                <w:color w:val="000000" w:themeColor="text1"/>
                <w:sz w:val="24"/>
                <w:szCs w:val="24"/>
              </w:rPr>
              <w:t>.</w:t>
            </w:r>
          </w:p>
          <w:p w14:paraId="3C3B9EFC" w14:textId="6A030D89" w:rsidR="00595C88" w:rsidRPr="00D05697" w:rsidRDefault="00595C88" w:rsidP="00C93E3B">
            <w:pPr>
              <w:spacing w:after="120" w:line="240" w:lineRule="auto"/>
              <w:rPr>
                <w:rFonts w:ascii="Times New Roman" w:hAnsi="Times New Roman"/>
                <w:color w:val="000000" w:themeColor="text1"/>
                <w:sz w:val="24"/>
                <w:szCs w:val="24"/>
              </w:rPr>
            </w:pPr>
            <w:r w:rsidRPr="00D05697">
              <w:rPr>
                <w:rFonts w:ascii="Times New Roman" w:hAnsi="Times New Roman"/>
                <w:color w:val="000000" w:themeColor="text1"/>
                <w:sz w:val="24"/>
                <w:szCs w:val="24"/>
              </w:rPr>
              <w:t>Konieczność dostosowania procesów operacyjnych w celu umożliwienia obsługi animatorów rynku oraz procesu kreacji i umo</w:t>
            </w:r>
            <w:r w:rsidR="006D07F9" w:rsidRPr="00D05697">
              <w:rPr>
                <w:rFonts w:ascii="Times New Roman" w:hAnsi="Times New Roman"/>
                <w:color w:val="000000" w:themeColor="text1"/>
                <w:sz w:val="24"/>
                <w:szCs w:val="24"/>
              </w:rPr>
              <w:t>rz</w:t>
            </w:r>
            <w:r w:rsidRPr="00D05697">
              <w:rPr>
                <w:rFonts w:ascii="Times New Roman" w:hAnsi="Times New Roman"/>
                <w:color w:val="000000" w:themeColor="text1"/>
                <w:sz w:val="24"/>
                <w:szCs w:val="24"/>
              </w:rPr>
              <w:t>enia jednostek ETF.</w:t>
            </w:r>
          </w:p>
          <w:p w14:paraId="07CEE753" w14:textId="77777777" w:rsidR="00C93E3B" w:rsidRDefault="00595C88" w:rsidP="00C93E3B">
            <w:pPr>
              <w:spacing w:after="120" w:line="240" w:lineRule="auto"/>
              <w:rPr>
                <w:rFonts w:ascii="Times New Roman" w:hAnsi="Times New Roman"/>
                <w:color w:val="000000" w:themeColor="text1"/>
                <w:sz w:val="24"/>
                <w:szCs w:val="24"/>
              </w:rPr>
            </w:pPr>
            <w:r w:rsidRPr="00D05697">
              <w:rPr>
                <w:rFonts w:ascii="Times New Roman" w:hAnsi="Times New Roman"/>
                <w:color w:val="000000" w:themeColor="text1"/>
                <w:sz w:val="24"/>
                <w:szCs w:val="24"/>
              </w:rPr>
              <w:t xml:space="preserve">Obowiązek przekazywania organowi nadzoru </w:t>
            </w:r>
            <w:r w:rsidRPr="00D05697">
              <w:rPr>
                <w:rFonts w:ascii="Times New Roman" w:hAnsi="Times New Roman"/>
                <w:color w:val="000000" w:themeColor="text1"/>
                <w:sz w:val="24"/>
                <w:szCs w:val="24"/>
              </w:rPr>
              <w:lastRenderedPageBreak/>
              <w:t>informacji sprawozdawczych.</w:t>
            </w:r>
          </w:p>
          <w:p w14:paraId="27F04B00" w14:textId="41D79DD6" w:rsidR="00595C88" w:rsidRPr="009016B4" w:rsidRDefault="0099095B" w:rsidP="00C93E3B">
            <w:pPr>
              <w:spacing w:after="120" w:line="240" w:lineRule="auto"/>
              <w:rPr>
                <w:rFonts w:ascii="Times New Roman" w:hAnsi="Times New Roman"/>
                <w:color w:val="000000" w:themeColor="text1"/>
                <w:sz w:val="24"/>
                <w:szCs w:val="24"/>
              </w:rPr>
            </w:pPr>
            <w:r w:rsidRPr="00D05697">
              <w:rPr>
                <w:rFonts w:ascii="Times New Roman" w:hAnsi="Times New Roman"/>
                <w:color w:val="000000"/>
                <w:spacing w:val="-2"/>
                <w:sz w:val="24"/>
                <w:szCs w:val="24"/>
              </w:rPr>
              <w:t xml:space="preserve">Rozszerzenie katalogu </w:t>
            </w:r>
            <w:r>
              <w:rPr>
                <w:rFonts w:ascii="Times New Roman" w:hAnsi="Times New Roman"/>
                <w:color w:val="000000"/>
                <w:spacing w:val="-2"/>
                <w:sz w:val="24"/>
                <w:szCs w:val="24"/>
              </w:rPr>
              <w:t>produktów inwestycyjnych (KFI).</w:t>
            </w:r>
          </w:p>
        </w:tc>
      </w:tr>
      <w:tr w:rsidR="00595C88" w:rsidRPr="008B4FE6" w14:paraId="65ED4140" w14:textId="77777777" w:rsidTr="0053280C">
        <w:trPr>
          <w:trHeight w:val="142"/>
        </w:trPr>
        <w:tc>
          <w:tcPr>
            <w:tcW w:w="2566" w:type="dxa"/>
            <w:gridSpan w:val="3"/>
          </w:tcPr>
          <w:p w14:paraId="0C49221D" w14:textId="3E33C5BB" w:rsidR="00595C88" w:rsidRPr="00D05697" w:rsidRDefault="00595C88" w:rsidP="00595C88">
            <w:pPr>
              <w:tabs>
                <w:tab w:val="left" w:pos="1560"/>
              </w:tabs>
              <w:spacing w:line="240" w:lineRule="auto"/>
              <w:rPr>
                <w:rFonts w:ascii="Times New Roman" w:hAnsi="Times New Roman"/>
                <w:color w:val="000000"/>
                <w:sz w:val="24"/>
                <w:szCs w:val="24"/>
              </w:rPr>
            </w:pPr>
            <w:r w:rsidRPr="00D05697">
              <w:rPr>
                <w:rFonts w:ascii="Times New Roman" w:hAnsi="Times New Roman"/>
                <w:color w:val="000000"/>
                <w:sz w:val="24"/>
                <w:szCs w:val="24"/>
              </w:rPr>
              <w:lastRenderedPageBreak/>
              <w:t>Zarządzający alternatywnymi spółkami inwestycyjnymi (</w:t>
            </w:r>
            <w:proofErr w:type="spellStart"/>
            <w:r w:rsidRPr="00D05697">
              <w:rPr>
                <w:rFonts w:ascii="Times New Roman" w:hAnsi="Times New Roman"/>
                <w:color w:val="000000"/>
                <w:sz w:val="24"/>
                <w:szCs w:val="24"/>
              </w:rPr>
              <w:t>EuVECA</w:t>
            </w:r>
            <w:proofErr w:type="spellEnd"/>
            <w:r w:rsidRPr="00D05697">
              <w:rPr>
                <w:rFonts w:ascii="Times New Roman" w:hAnsi="Times New Roman"/>
                <w:color w:val="000000"/>
                <w:sz w:val="24"/>
                <w:szCs w:val="24"/>
              </w:rPr>
              <w:t>/</w:t>
            </w:r>
            <w:proofErr w:type="spellStart"/>
            <w:r w:rsidRPr="00D05697">
              <w:rPr>
                <w:rFonts w:ascii="Times New Roman" w:hAnsi="Times New Roman"/>
                <w:color w:val="000000"/>
                <w:sz w:val="24"/>
                <w:szCs w:val="24"/>
              </w:rPr>
              <w:t>EuSEF</w:t>
            </w:r>
            <w:proofErr w:type="spellEnd"/>
            <w:r w:rsidRPr="00D05697">
              <w:rPr>
                <w:rFonts w:ascii="Times New Roman" w:hAnsi="Times New Roman"/>
                <w:color w:val="000000"/>
                <w:sz w:val="24"/>
                <w:szCs w:val="24"/>
              </w:rPr>
              <w:t>)</w:t>
            </w:r>
          </w:p>
        </w:tc>
        <w:tc>
          <w:tcPr>
            <w:tcW w:w="2232" w:type="dxa"/>
            <w:gridSpan w:val="8"/>
          </w:tcPr>
          <w:p w14:paraId="6CAE6004" w14:textId="1622975C" w:rsidR="00595C88" w:rsidRPr="00D05697" w:rsidRDefault="00595C88" w:rsidP="00595C88">
            <w:pPr>
              <w:spacing w:line="240" w:lineRule="auto"/>
              <w:rPr>
                <w:rFonts w:ascii="Times New Roman" w:hAnsi="Times New Roman"/>
                <w:color w:val="000000"/>
                <w:spacing w:val="-2"/>
                <w:sz w:val="24"/>
                <w:szCs w:val="24"/>
              </w:rPr>
            </w:pPr>
            <w:r w:rsidRPr="00D05697">
              <w:rPr>
                <w:rFonts w:ascii="Times New Roman" w:hAnsi="Times New Roman"/>
                <w:color w:val="000000"/>
                <w:spacing w:val="-2"/>
                <w:sz w:val="24"/>
                <w:szCs w:val="24"/>
              </w:rPr>
              <w:t>1</w:t>
            </w:r>
          </w:p>
        </w:tc>
        <w:tc>
          <w:tcPr>
            <w:tcW w:w="2922" w:type="dxa"/>
            <w:gridSpan w:val="12"/>
          </w:tcPr>
          <w:p w14:paraId="260376D6" w14:textId="77777777" w:rsidR="00595C88" w:rsidRPr="00D05697" w:rsidRDefault="00595C88" w:rsidP="00595C88">
            <w:pPr>
              <w:spacing w:line="240" w:lineRule="auto"/>
              <w:rPr>
                <w:rFonts w:ascii="Times New Roman" w:hAnsi="Times New Roman"/>
                <w:sz w:val="24"/>
                <w:szCs w:val="24"/>
              </w:rPr>
            </w:pPr>
            <w:r w:rsidRPr="00D05697">
              <w:rPr>
                <w:rFonts w:ascii="Times New Roman" w:hAnsi="Times New Roman"/>
                <w:sz w:val="24"/>
                <w:szCs w:val="24"/>
              </w:rPr>
              <w:t>Urząd Komisji Nadzoru Finansowego</w:t>
            </w:r>
          </w:p>
          <w:p w14:paraId="78A65D1B" w14:textId="76DCB939" w:rsidR="00FB3E1E" w:rsidRPr="00D05697" w:rsidRDefault="00FB3E1E" w:rsidP="00595C88">
            <w:pPr>
              <w:spacing w:line="240" w:lineRule="auto"/>
              <w:rPr>
                <w:rFonts w:ascii="Times New Roman" w:hAnsi="Times New Roman"/>
                <w:color w:val="000000"/>
                <w:spacing w:val="-2"/>
                <w:sz w:val="24"/>
                <w:szCs w:val="24"/>
              </w:rPr>
            </w:pPr>
            <w:r w:rsidRPr="00D05697">
              <w:rPr>
                <w:rFonts w:ascii="Times New Roman" w:hAnsi="Times New Roman"/>
                <w:color w:val="000000"/>
                <w:spacing w:val="-2"/>
                <w:sz w:val="24"/>
                <w:szCs w:val="24"/>
              </w:rPr>
              <w:t>https://euafi.knf.gov.pl/</w:t>
            </w:r>
          </w:p>
        </w:tc>
        <w:tc>
          <w:tcPr>
            <w:tcW w:w="2941" w:type="dxa"/>
            <w:gridSpan w:val="6"/>
          </w:tcPr>
          <w:p w14:paraId="05EFB84C" w14:textId="7989186B" w:rsidR="00595C88" w:rsidRPr="00D05697" w:rsidRDefault="00595C88" w:rsidP="00C93E3B">
            <w:pPr>
              <w:spacing w:after="120" w:line="240" w:lineRule="auto"/>
              <w:rPr>
                <w:rFonts w:ascii="Times New Roman" w:hAnsi="Times New Roman"/>
                <w:sz w:val="24"/>
                <w:szCs w:val="24"/>
              </w:rPr>
            </w:pPr>
            <w:r w:rsidRPr="00D05697">
              <w:rPr>
                <w:rFonts w:ascii="Times New Roman" w:hAnsi="Times New Roman"/>
                <w:color w:val="000000" w:themeColor="text1"/>
                <w:sz w:val="24"/>
                <w:szCs w:val="24"/>
              </w:rPr>
              <w:t>Rozszerzenie katalogu oferowanych instrumentów finansowych o ETF</w:t>
            </w:r>
            <w:r w:rsidR="00B41B17">
              <w:rPr>
                <w:rFonts w:ascii="Times New Roman" w:hAnsi="Times New Roman"/>
                <w:color w:val="000000" w:themeColor="text1"/>
                <w:sz w:val="24"/>
                <w:szCs w:val="24"/>
              </w:rPr>
              <w:t xml:space="preserve"> i KFI.</w:t>
            </w:r>
          </w:p>
          <w:p w14:paraId="587DE605" w14:textId="122B2EFE" w:rsidR="00595C88" w:rsidRPr="00D05697" w:rsidRDefault="00595C88" w:rsidP="00C93E3B">
            <w:pPr>
              <w:spacing w:after="120" w:line="240" w:lineRule="auto"/>
              <w:rPr>
                <w:rFonts w:ascii="Times New Roman" w:hAnsi="Times New Roman"/>
                <w:color w:val="000000" w:themeColor="text1"/>
                <w:sz w:val="24"/>
                <w:szCs w:val="24"/>
              </w:rPr>
            </w:pPr>
            <w:r w:rsidRPr="00D05697">
              <w:rPr>
                <w:rFonts w:ascii="Times New Roman" w:hAnsi="Times New Roman"/>
                <w:color w:val="000000" w:themeColor="text1"/>
                <w:sz w:val="24"/>
                <w:szCs w:val="24"/>
              </w:rPr>
              <w:t>Konieczność dostosowania procesów operacyjnych w celu umożliwienia obsługi animatorów rynku oraz procesu kreacji i umo</w:t>
            </w:r>
            <w:r w:rsidR="006D07F9" w:rsidRPr="00D05697">
              <w:rPr>
                <w:rFonts w:ascii="Times New Roman" w:hAnsi="Times New Roman"/>
                <w:color w:val="000000" w:themeColor="text1"/>
                <w:sz w:val="24"/>
                <w:szCs w:val="24"/>
              </w:rPr>
              <w:t>rz</w:t>
            </w:r>
            <w:r w:rsidRPr="00D05697">
              <w:rPr>
                <w:rFonts w:ascii="Times New Roman" w:hAnsi="Times New Roman"/>
                <w:color w:val="000000" w:themeColor="text1"/>
                <w:sz w:val="24"/>
                <w:szCs w:val="24"/>
              </w:rPr>
              <w:t>enia jednostek ETF.</w:t>
            </w:r>
          </w:p>
          <w:p w14:paraId="7757F69E" w14:textId="77777777" w:rsidR="00C93E3B" w:rsidRDefault="00595C88" w:rsidP="00C93E3B">
            <w:pPr>
              <w:spacing w:after="120" w:line="240" w:lineRule="auto"/>
              <w:rPr>
                <w:rFonts w:ascii="Times New Roman" w:hAnsi="Times New Roman"/>
                <w:color w:val="000000" w:themeColor="text1"/>
                <w:sz w:val="24"/>
                <w:szCs w:val="24"/>
              </w:rPr>
            </w:pPr>
            <w:r w:rsidRPr="00D05697">
              <w:rPr>
                <w:rFonts w:ascii="Times New Roman" w:hAnsi="Times New Roman"/>
                <w:color w:val="000000" w:themeColor="text1"/>
                <w:sz w:val="24"/>
                <w:szCs w:val="24"/>
              </w:rPr>
              <w:t>Obowiązek przekazywania organowi nadzoru informacji sprawozdawczych.</w:t>
            </w:r>
          </w:p>
          <w:p w14:paraId="214EC521" w14:textId="67606036" w:rsidR="00595C88" w:rsidRPr="009016B4" w:rsidRDefault="0099095B" w:rsidP="00C93E3B">
            <w:pPr>
              <w:spacing w:after="120" w:line="240" w:lineRule="auto"/>
              <w:rPr>
                <w:rFonts w:ascii="Times New Roman" w:hAnsi="Times New Roman"/>
                <w:color w:val="000000" w:themeColor="text1"/>
                <w:sz w:val="24"/>
                <w:szCs w:val="24"/>
              </w:rPr>
            </w:pPr>
            <w:r w:rsidRPr="00D05697">
              <w:rPr>
                <w:rFonts w:ascii="Times New Roman" w:hAnsi="Times New Roman"/>
                <w:color w:val="000000"/>
                <w:spacing w:val="-2"/>
                <w:sz w:val="24"/>
                <w:szCs w:val="24"/>
              </w:rPr>
              <w:t xml:space="preserve">Rozszerzenie katalogu </w:t>
            </w:r>
            <w:r>
              <w:rPr>
                <w:rFonts w:ascii="Times New Roman" w:hAnsi="Times New Roman"/>
                <w:color w:val="000000"/>
                <w:spacing w:val="-2"/>
                <w:sz w:val="24"/>
                <w:szCs w:val="24"/>
              </w:rPr>
              <w:t>produktów inwestycyjnych (KFI).</w:t>
            </w:r>
          </w:p>
        </w:tc>
      </w:tr>
      <w:tr w:rsidR="00595C88" w:rsidRPr="008B4FE6" w14:paraId="635E67C6" w14:textId="77777777" w:rsidTr="0053280C">
        <w:trPr>
          <w:trHeight w:val="142"/>
        </w:trPr>
        <w:tc>
          <w:tcPr>
            <w:tcW w:w="2566" w:type="dxa"/>
            <w:gridSpan w:val="3"/>
          </w:tcPr>
          <w:p w14:paraId="59ED3247" w14:textId="66108E15" w:rsidR="00595C88" w:rsidRPr="00D05697" w:rsidRDefault="00595C88" w:rsidP="00595C88">
            <w:pPr>
              <w:tabs>
                <w:tab w:val="left" w:pos="1560"/>
              </w:tabs>
              <w:spacing w:line="240" w:lineRule="auto"/>
              <w:rPr>
                <w:rFonts w:ascii="Times New Roman" w:hAnsi="Times New Roman"/>
                <w:color w:val="000000"/>
                <w:sz w:val="24"/>
                <w:szCs w:val="24"/>
              </w:rPr>
            </w:pPr>
            <w:r w:rsidRPr="00D05697">
              <w:rPr>
                <w:rFonts w:ascii="Times New Roman" w:hAnsi="Times New Roman"/>
                <w:color w:val="000000"/>
                <w:sz w:val="24"/>
                <w:szCs w:val="24"/>
              </w:rPr>
              <w:t>Fundusze zagraniczne działające w Polsce</w:t>
            </w:r>
          </w:p>
        </w:tc>
        <w:tc>
          <w:tcPr>
            <w:tcW w:w="2232" w:type="dxa"/>
            <w:gridSpan w:val="8"/>
          </w:tcPr>
          <w:p w14:paraId="7BAEBB8F" w14:textId="72390CA2" w:rsidR="00595C88" w:rsidRPr="00D05697" w:rsidRDefault="00595C88" w:rsidP="00595C88">
            <w:pPr>
              <w:spacing w:line="240" w:lineRule="auto"/>
              <w:rPr>
                <w:rFonts w:ascii="Times New Roman" w:hAnsi="Times New Roman"/>
                <w:color w:val="000000"/>
                <w:spacing w:val="-2"/>
                <w:sz w:val="24"/>
                <w:szCs w:val="24"/>
              </w:rPr>
            </w:pPr>
            <w:r w:rsidRPr="00D05697">
              <w:rPr>
                <w:rFonts w:ascii="Times New Roman" w:hAnsi="Times New Roman"/>
                <w:color w:val="000000"/>
                <w:spacing w:val="-2"/>
                <w:sz w:val="24"/>
                <w:szCs w:val="24"/>
              </w:rPr>
              <w:t>6</w:t>
            </w:r>
            <w:r w:rsidR="00FB3E1E" w:rsidRPr="00D05697">
              <w:rPr>
                <w:rFonts w:ascii="Times New Roman" w:hAnsi="Times New Roman"/>
                <w:color w:val="000000"/>
                <w:spacing w:val="-2"/>
                <w:sz w:val="24"/>
                <w:szCs w:val="24"/>
              </w:rPr>
              <w:t>7</w:t>
            </w:r>
          </w:p>
        </w:tc>
        <w:tc>
          <w:tcPr>
            <w:tcW w:w="2922" w:type="dxa"/>
            <w:gridSpan w:val="12"/>
          </w:tcPr>
          <w:p w14:paraId="1FF4A422" w14:textId="77777777" w:rsidR="00595C88" w:rsidRPr="00D05697" w:rsidRDefault="00595C88" w:rsidP="00595C88">
            <w:pPr>
              <w:spacing w:line="240" w:lineRule="auto"/>
              <w:rPr>
                <w:rFonts w:ascii="Times New Roman" w:hAnsi="Times New Roman"/>
                <w:sz w:val="24"/>
                <w:szCs w:val="24"/>
              </w:rPr>
            </w:pPr>
            <w:r w:rsidRPr="00D05697">
              <w:rPr>
                <w:rFonts w:ascii="Times New Roman" w:hAnsi="Times New Roman"/>
                <w:sz w:val="24"/>
                <w:szCs w:val="24"/>
              </w:rPr>
              <w:t>Urząd Komisji Nadzoru Finansowego</w:t>
            </w:r>
          </w:p>
          <w:p w14:paraId="795E611F" w14:textId="33D71E99" w:rsidR="00FB3E1E" w:rsidRPr="00D05697" w:rsidRDefault="00FB3E1E" w:rsidP="00595C88">
            <w:pPr>
              <w:spacing w:line="240" w:lineRule="auto"/>
              <w:rPr>
                <w:rFonts w:ascii="Times New Roman" w:hAnsi="Times New Roman"/>
                <w:color w:val="000000"/>
                <w:spacing w:val="-2"/>
                <w:sz w:val="24"/>
                <w:szCs w:val="24"/>
              </w:rPr>
            </w:pPr>
            <w:r w:rsidRPr="00D05697">
              <w:rPr>
                <w:rFonts w:ascii="Times New Roman" w:hAnsi="Times New Roman"/>
                <w:color w:val="000000"/>
                <w:spacing w:val="-2"/>
                <w:sz w:val="24"/>
                <w:szCs w:val="24"/>
              </w:rPr>
              <w:t>https://rfz.knf.gov.pl/</w:t>
            </w:r>
          </w:p>
        </w:tc>
        <w:tc>
          <w:tcPr>
            <w:tcW w:w="2941" w:type="dxa"/>
            <w:gridSpan w:val="6"/>
          </w:tcPr>
          <w:p w14:paraId="1D8239AF" w14:textId="5A84CDE4" w:rsidR="00595C88" w:rsidRPr="00D05697" w:rsidRDefault="00595C88" w:rsidP="00C93E3B">
            <w:pPr>
              <w:spacing w:after="120" w:line="240" w:lineRule="auto"/>
              <w:rPr>
                <w:rFonts w:ascii="Times New Roman" w:hAnsi="Times New Roman"/>
                <w:sz w:val="24"/>
                <w:szCs w:val="24"/>
              </w:rPr>
            </w:pPr>
            <w:r w:rsidRPr="00D05697">
              <w:rPr>
                <w:rFonts w:ascii="Times New Roman" w:hAnsi="Times New Roman"/>
                <w:color w:val="000000" w:themeColor="text1"/>
                <w:sz w:val="24"/>
                <w:szCs w:val="24"/>
              </w:rPr>
              <w:t>Rozszerzenie katalogu oferowanych instrumentów finansowych o ETF</w:t>
            </w:r>
            <w:r w:rsidR="00B41B17">
              <w:rPr>
                <w:rFonts w:ascii="Times New Roman" w:hAnsi="Times New Roman"/>
                <w:color w:val="000000" w:themeColor="text1"/>
                <w:sz w:val="24"/>
                <w:szCs w:val="24"/>
              </w:rPr>
              <w:t xml:space="preserve"> i KFI</w:t>
            </w:r>
            <w:r w:rsidR="00017FDD">
              <w:rPr>
                <w:rFonts w:ascii="Times New Roman" w:hAnsi="Times New Roman"/>
                <w:color w:val="000000" w:themeColor="text1"/>
                <w:sz w:val="24"/>
                <w:szCs w:val="24"/>
              </w:rPr>
              <w:t>.</w:t>
            </w:r>
          </w:p>
          <w:p w14:paraId="27EB9D5F" w14:textId="1D77D7CD" w:rsidR="00595C88" w:rsidRPr="00D05697" w:rsidRDefault="00595C88" w:rsidP="00C93E3B">
            <w:pPr>
              <w:spacing w:after="120" w:line="240" w:lineRule="auto"/>
              <w:rPr>
                <w:rFonts w:ascii="Times New Roman" w:hAnsi="Times New Roman"/>
                <w:color w:val="000000" w:themeColor="text1"/>
                <w:sz w:val="24"/>
                <w:szCs w:val="24"/>
              </w:rPr>
            </w:pPr>
            <w:r w:rsidRPr="00D05697">
              <w:rPr>
                <w:rFonts w:ascii="Times New Roman" w:hAnsi="Times New Roman"/>
                <w:color w:val="000000" w:themeColor="text1"/>
                <w:sz w:val="24"/>
                <w:szCs w:val="24"/>
              </w:rPr>
              <w:t>Konieczność dostosowania procesów operacyjnych w celu umożliwienia obsługi animatorów rynku oraz procesu kreacji i umo</w:t>
            </w:r>
            <w:r w:rsidR="008606CD" w:rsidRPr="00D05697">
              <w:rPr>
                <w:rFonts w:ascii="Times New Roman" w:hAnsi="Times New Roman"/>
                <w:color w:val="000000" w:themeColor="text1"/>
                <w:sz w:val="24"/>
                <w:szCs w:val="24"/>
              </w:rPr>
              <w:t>rz</w:t>
            </w:r>
            <w:r w:rsidRPr="00D05697">
              <w:rPr>
                <w:rFonts w:ascii="Times New Roman" w:hAnsi="Times New Roman"/>
                <w:color w:val="000000" w:themeColor="text1"/>
                <w:sz w:val="24"/>
                <w:szCs w:val="24"/>
              </w:rPr>
              <w:t>enia jednostek ETF.</w:t>
            </w:r>
          </w:p>
          <w:p w14:paraId="49D7DF33" w14:textId="77777777" w:rsidR="00C93E3B" w:rsidRDefault="00595C88" w:rsidP="00C93E3B">
            <w:pPr>
              <w:spacing w:after="120" w:line="240" w:lineRule="auto"/>
              <w:rPr>
                <w:rFonts w:ascii="Times New Roman" w:hAnsi="Times New Roman"/>
                <w:color w:val="000000" w:themeColor="text1"/>
                <w:sz w:val="24"/>
                <w:szCs w:val="24"/>
              </w:rPr>
            </w:pPr>
            <w:r w:rsidRPr="00D05697">
              <w:rPr>
                <w:rFonts w:ascii="Times New Roman" w:hAnsi="Times New Roman"/>
                <w:color w:val="000000" w:themeColor="text1"/>
                <w:sz w:val="24"/>
                <w:szCs w:val="24"/>
              </w:rPr>
              <w:t>Obowiązek przekazywania organowi nadzoru informacji sprawozdawczych.</w:t>
            </w:r>
          </w:p>
          <w:p w14:paraId="34C0CBFD" w14:textId="17238CA9" w:rsidR="00595C88" w:rsidRPr="009016B4" w:rsidRDefault="0099095B" w:rsidP="00C93E3B">
            <w:pPr>
              <w:spacing w:after="120" w:line="240" w:lineRule="auto"/>
              <w:rPr>
                <w:rFonts w:ascii="Times New Roman" w:hAnsi="Times New Roman"/>
                <w:color w:val="000000" w:themeColor="text1"/>
                <w:sz w:val="24"/>
                <w:szCs w:val="24"/>
              </w:rPr>
            </w:pPr>
            <w:r w:rsidRPr="00D05697">
              <w:rPr>
                <w:rFonts w:ascii="Times New Roman" w:hAnsi="Times New Roman"/>
                <w:color w:val="000000"/>
                <w:spacing w:val="-2"/>
                <w:sz w:val="24"/>
                <w:szCs w:val="24"/>
              </w:rPr>
              <w:t xml:space="preserve">Rozszerzenie katalogu </w:t>
            </w:r>
            <w:r>
              <w:rPr>
                <w:rFonts w:ascii="Times New Roman" w:hAnsi="Times New Roman"/>
                <w:color w:val="000000"/>
                <w:spacing w:val="-2"/>
                <w:sz w:val="24"/>
                <w:szCs w:val="24"/>
              </w:rPr>
              <w:t>produktów inwestycyjnych (KFI).</w:t>
            </w:r>
          </w:p>
        </w:tc>
      </w:tr>
      <w:tr w:rsidR="00595C88" w:rsidRPr="008B4FE6" w14:paraId="57743CF0" w14:textId="77777777" w:rsidTr="0053280C">
        <w:trPr>
          <w:trHeight w:val="142"/>
        </w:trPr>
        <w:tc>
          <w:tcPr>
            <w:tcW w:w="2566" w:type="dxa"/>
            <w:gridSpan w:val="3"/>
          </w:tcPr>
          <w:p w14:paraId="2A42590A" w14:textId="5C467009" w:rsidR="00595C88" w:rsidRPr="00D05697" w:rsidRDefault="00595C88" w:rsidP="00595C88">
            <w:pPr>
              <w:tabs>
                <w:tab w:val="left" w:pos="1560"/>
              </w:tabs>
              <w:spacing w:line="240" w:lineRule="auto"/>
              <w:rPr>
                <w:rFonts w:ascii="Times New Roman" w:hAnsi="Times New Roman"/>
                <w:color w:val="000000"/>
                <w:sz w:val="24"/>
                <w:szCs w:val="24"/>
              </w:rPr>
            </w:pPr>
            <w:r w:rsidRPr="00D05697">
              <w:rPr>
                <w:rFonts w:ascii="Times New Roman" w:hAnsi="Times New Roman"/>
                <w:color w:val="000000"/>
                <w:sz w:val="24"/>
                <w:szCs w:val="24"/>
              </w:rPr>
              <w:t>Komisja Nadzoru Finansowego (KNF)</w:t>
            </w:r>
          </w:p>
        </w:tc>
        <w:tc>
          <w:tcPr>
            <w:tcW w:w="2232" w:type="dxa"/>
            <w:gridSpan w:val="8"/>
          </w:tcPr>
          <w:p w14:paraId="4E5EA302" w14:textId="0F75F316" w:rsidR="00595C88" w:rsidRPr="00D05697" w:rsidRDefault="00595C88" w:rsidP="00595C88">
            <w:pPr>
              <w:spacing w:line="240" w:lineRule="auto"/>
              <w:rPr>
                <w:rFonts w:ascii="Times New Roman" w:hAnsi="Times New Roman"/>
                <w:color w:val="000000"/>
                <w:spacing w:val="-2"/>
                <w:sz w:val="24"/>
                <w:szCs w:val="24"/>
              </w:rPr>
            </w:pPr>
            <w:r w:rsidRPr="00D05697">
              <w:rPr>
                <w:rFonts w:ascii="Times New Roman" w:hAnsi="Times New Roman"/>
                <w:color w:val="000000"/>
                <w:spacing w:val="-2"/>
                <w:sz w:val="24"/>
                <w:szCs w:val="24"/>
              </w:rPr>
              <w:t>1</w:t>
            </w:r>
          </w:p>
        </w:tc>
        <w:tc>
          <w:tcPr>
            <w:tcW w:w="2922" w:type="dxa"/>
            <w:gridSpan w:val="12"/>
          </w:tcPr>
          <w:p w14:paraId="1FA05D6B" w14:textId="7E52CF63" w:rsidR="00595C88" w:rsidRPr="00D05697" w:rsidRDefault="00595C88" w:rsidP="00595C88">
            <w:pPr>
              <w:spacing w:line="240" w:lineRule="auto"/>
              <w:rPr>
                <w:rFonts w:ascii="Times New Roman" w:hAnsi="Times New Roman"/>
                <w:color w:val="000000"/>
                <w:spacing w:val="-2"/>
                <w:sz w:val="24"/>
                <w:szCs w:val="24"/>
              </w:rPr>
            </w:pPr>
            <w:r w:rsidRPr="00D05697">
              <w:rPr>
                <w:rFonts w:ascii="Times New Roman" w:hAnsi="Times New Roman"/>
                <w:color w:val="000000"/>
                <w:spacing w:val="-2"/>
                <w:sz w:val="24"/>
                <w:szCs w:val="24"/>
              </w:rPr>
              <w:t>Ustawa z dnia 29 lipca 2005 r. o nadzorze nad rynkiem kapitałowym (Dz. U. z 2024 r. poz.</w:t>
            </w:r>
            <w:r w:rsidR="003D4E62" w:rsidRPr="00D05697">
              <w:rPr>
                <w:rFonts w:ascii="Times New Roman" w:hAnsi="Times New Roman"/>
                <w:color w:val="000000"/>
                <w:spacing w:val="-2"/>
                <w:sz w:val="24"/>
                <w:szCs w:val="24"/>
              </w:rPr>
              <w:t xml:space="preserve"> </w:t>
            </w:r>
            <w:r w:rsidRPr="00D05697">
              <w:rPr>
                <w:rFonts w:ascii="Times New Roman" w:hAnsi="Times New Roman"/>
                <w:color w:val="000000"/>
                <w:spacing w:val="-2"/>
                <w:sz w:val="24"/>
                <w:szCs w:val="24"/>
              </w:rPr>
              <w:t xml:space="preserve">1161, z </w:t>
            </w:r>
            <w:proofErr w:type="spellStart"/>
            <w:r w:rsidRPr="00D05697">
              <w:rPr>
                <w:rFonts w:ascii="Times New Roman" w:hAnsi="Times New Roman"/>
                <w:color w:val="000000"/>
                <w:spacing w:val="-2"/>
                <w:sz w:val="24"/>
                <w:szCs w:val="24"/>
              </w:rPr>
              <w:t>późn</w:t>
            </w:r>
            <w:proofErr w:type="spellEnd"/>
            <w:r w:rsidRPr="00D05697">
              <w:rPr>
                <w:rFonts w:ascii="Times New Roman" w:hAnsi="Times New Roman"/>
                <w:color w:val="000000"/>
                <w:spacing w:val="-2"/>
                <w:sz w:val="24"/>
                <w:szCs w:val="24"/>
              </w:rPr>
              <w:t xml:space="preserve">. </w:t>
            </w:r>
            <w:proofErr w:type="spellStart"/>
            <w:r w:rsidRPr="00D05697">
              <w:rPr>
                <w:rFonts w:ascii="Times New Roman" w:hAnsi="Times New Roman"/>
                <w:color w:val="000000"/>
                <w:spacing w:val="-2"/>
                <w:sz w:val="24"/>
                <w:szCs w:val="24"/>
              </w:rPr>
              <w:t>zm</w:t>
            </w:r>
            <w:proofErr w:type="spellEnd"/>
            <w:r w:rsidRPr="00D05697">
              <w:rPr>
                <w:rFonts w:ascii="Times New Roman" w:hAnsi="Times New Roman"/>
                <w:color w:val="000000"/>
                <w:spacing w:val="-2"/>
                <w:sz w:val="24"/>
                <w:szCs w:val="24"/>
              </w:rPr>
              <w:t>)</w:t>
            </w:r>
          </w:p>
        </w:tc>
        <w:tc>
          <w:tcPr>
            <w:tcW w:w="2941" w:type="dxa"/>
            <w:gridSpan w:val="6"/>
          </w:tcPr>
          <w:p w14:paraId="662C959B" w14:textId="085709EC" w:rsidR="00017FDD" w:rsidRPr="00D05697" w:rsidRDefault="00017FDD" w:rsidP="00595C88">
            <w:pPr>
              <w:spacing w:line="240" w:lineRule="auto"/>
              <w:rPr>
                <w:rFonts w:ascii="Times New Roman" w:hAnsi="Times New Roman"/>
                <w:color w:val="000000"/>
                <w:spacing w:val="-2"/>
                <w:sz w:val="24"/>
                <w:szCs w:val="24"/>
              </w:rPr>
            </w:pPr>
            <w:r w:rsidRPr="00017FDD">
              <w:rPr>
                <w:rFonts w:ascii="Times New Roman" w:hAnsi="Times New Roman"/>
                <w:color w:val="000000"/>
                <w:spacing w:val="-2"/>
                <w:sz w:val="24"/>
                <w:szCs w:val="24"/>
              </w:rPr>
              <w:t xml:space="preserve">Konieczność dostosowania </w:t>
            </w:r>
            <w:r>
              <w:rPr>
                <w:rFonts w:ascii="Times New Roman" w:hAnsi="Times New Roman"/>
                <w:color w:val="000000"/>
                <w:spacing w:val="-2"/>
                <w:sz w:val="24"/>
                <w:szCs w:val="24"/>
              </w:rPr>
              <w:t xml:space="preserve">do </w:t>
            </w:r>
            <w:r w:rsidRPr="00017FDD">
              <w:rPr>
                <w:rFonts w:ascii="Times New Roman" w:hAnsi="Times New Roman"/>
                <w:color w:val="000000"/>
                <w:spacing w:val="-2"/>
                <w:sz w:val="24"/>
                <w:szCs w:val="24"/>
              </w:rPr>
              <w:t>now</w:t>
            </w:r>
            <w:r>
              <w:rPr>
                <w:rFonts w:ascii="Times New Roman" w:hAnsi="Times New Roman"/>
                <w:color w:val="000000"/>
                <w:spacing w:val="-2"/>
                <w:sz w:val="24"/>
                <w:szCs w:val="24"/>
              </w:rPr>
              <w:t>ych</w:t>
            </w:r>
            <w:r w:rsidRPr="00017FDD">
              <w:rPr>
                <w:rFonts w:ascii="Times New Roman" w:hAnsi="Times New Roman"/>
                <w:color w:val="000000"/>
                <w:spacing w:val="-2"/>
                <w:sz w:val="24"/>
                <w:szCs w:val="24"/>
              </w:rPr>
              <w:t xml:space="preserve"> zada</w:t>
            </w:r>
            <w:r>
              <w:rPr>
                <w:rFonts w:ascii="Times New Roman" w:hAnsi="Times New Roman"/>
                <w:color w:val="000000"/>
                <w:spacing w:val="-2"/>
                <w:sz w:val="24"/>
                <w:szCs w:val="24"/>
              </w:rPr>
              <w:t xml:space="preserve">ń </w:t>
            </w:r>
            <w:r w:rsidRPr="00017FDD">
              <w:rPr>
                <w:rFonts w:ascii="Times New Roman" w:hAnsi="Times New Roman"/>
                <w:color w:val="000000"/>
                <w:spacing w:val="-2"/>
                <w:sz w:val="24"/>
                <w:szCs w:val="24"/>
              </w:rPr>
              <w:t>nadzorcz</w:t>
            </w:r>
            <w:r>
              <w:rPr>
                <w:rFonts w:ascii="Times New Roman" w:hAnsi="Times New Roman"/>
                <w:color w:val="000000"/>
                <w:spacing w:val="-2"/>
                <w:sz w:val="24"/>
                <w:szCs w:val="24"/>
              </w:rPr>
              <w:t>ych</w:t>
            </w:r>
            <w:r w:rsidRPr="00017FDD">
              <w:rPr>
                <w:rFonts w:ascii="Times New Roman" w:hAnsi="Times New Roman"/>
                <w:color w:val="000000"/>
                <w:spacing w:val="-2"/>
                <w:sz w:val="24"/>
                <w:szCs w:val="24"/>
              </w:rPr>
              <w:t xml:space="preserve"> (m.in.</w:t>
            </w:r>
            <w:r w:rsidR="00D044B9">
              <w:rPr>
                <w:rFonts w:ascii="Times New Roman" w:hAnsi="Times New Roman"/>
                <w:color w:val="000000"/>
                <w:spacing w:val="-2"/>
                <w:sz w:val="24"/>
                <w:szCs w:val="24"/>
              </w:rPr>
              <w:t xml:space="preserve"> </w:t>
            </w:r>
            <w:r w:rsidR="00D044B9" w:rsidRPr="00D044B9">
              <w:rPr>
                <w:rFonts w:ascii="Times New Roman" w:hAnsi="Times New Roman"/>
                <w:color w:val="000000"/>
                <w:spacing w:val="-2"/>
                <w:sz w:val="24"/>
                <w:szCs w:val="24"/>
              </w:rPr>
              <w:t>wyda</w:t>
            </w:r>
            <w:r w:rsidR="00D044B9">
              <w:rPr>
                <w:rFonts w:ascii="Times New Roman" w:hAnsi="Times New Roman"/>
                <w:color w:val="000000"/>
                <w:spacing w:val="-2"/>
                <w:sz w:val="24"/>
                <w:szCs w:val="24"/>
              </w:rPr>
              <w:t>wa</w:t>
            </w:r>
            <w:r w:rsidR="00D044B9" w:rsidRPr="00D044B9">
              <w:rPr>
                <w:rFonts w:ascii="Times New Roman" w:hAnsi="Times New Roman"/>
                <w:color w:val="000000"/>
                <w:spacing w:val="-2"/>
                <w:sz w:val="24"/>
                <w:szCs w:val="24"/>
              </w:rPr>
              <w:t>nie zezwoleń</w:t>
            </w:r>
            <w:r w:rsidR="00D044B9">
              <w:rPr>
                <w:rFonts w:ascii="Times New Roman" w:hAnsi="Times New Roman"/>
                <w:color w:val="000000"/>
                <w:spacing w:val="-2"/>
                <w:sz w:val="24"/>
                <w:szCs w:val="24"/>
              </w:rPr>
              <w:t>,</w:t>
            </w:r>
            <w:r w:rsidRPr="00017FDD">
              <w:rPr>
                <w:rFonts w:ascii="Times New Roman" w:hAnsi="Times New Roman"/>
                <w:color w:val="000000"/>
                <w:spacing w:val="-2"/>
                <w:sz w:val="24"/>
                <w:szCs w:val="24"/>
              </w:rPr>
              <w:t xml:space="preserve"> nadzór nad KFI, weryfikacja statutów, nowe obowiązki sprawozdawcze).</w:t>
            </w:r>
          </w:p>
        </w:tc>
      </w:tr>
      <w:tr w:rsidR="006E2364" w:rsidRPr="008B4FE6" w14:paraId="6B67B2CF" w14:textId="77777777" w:rsidTr="0053280C">
        <w:trPr>
          <w:trHeight w:val="142"/>
        </w:trPr>
        <w:tc>
          <w:tcPr>
            <w:tcW w:w="2566" w:type="dxa"/>
            <w:gridSpan w:val="3"/>
          </w:tcPr>
          <w:p w14:paraId="600B3C4D" w14:textId="2EC87467" w:rsidR="006E2364" w:rsidRPr="00D05697" w:rsidRDefault="006E2364" w:rsidP="00595C88">
            <w:pPr>
              <w:tabs>
                <w:tab w:val="left" w:pos="1560"/>
              </w:tabs>
              <w:spacing w:line="240" w:lineRule="auto"/>
              <w:rPr>
                <w:rFonts w:ascii="Times New Roman" w:hAnsi="Times New Roman"/>
                <w:color w:val="000000"/>
                <w:sz w:val="24"/>
                <w:szCs w:val="24"/>
              </w:rPr>
            </w:pPr>
            <w:r w:rsidRPr="00D05697">
              <w:rPr>
                <w:rFonts w:ascii="Times New Roman" w:hAnsi="Times New Roman"/>
                <w:color w:val="000000"/>
                <w:sz w:val="24"/>
                <w:szCs w:val="24"/>
              </w:rPr>
              <w:t>Krajowe zakłady ubezpieczeń</w:t>
            </w:r>
          </w:p>
        </w:tc>
        <w:tc>
          <w:tcPr>
            <w:tcW w:w="2232" w:type="dxa"/>
            <w:gridSpan w:val="8"/>
          </w:tcPr>
          <w:p w14:paraId="2A153EA6" w14:textId="68C4F67B" w:rsidR="006E2364" w:rsidRPr="00D05697" w:rsidRDefault="006E2364" w:rsidP="00595C88">
            <w:pPr>
              <w:spacing w:line="240" w:lineRule="auto"/>
              <w:rPr>
                <w:rFonts w:ascii="Times New Roman" w:hAnsi="Times New Roman"/>
                <w:color w:val="000000"/>
                <w:spacing w:val="-2"/>
                <w:sz w:val="24"/>
                <w:szCs w:val="24"/>
              </w:rPr>
            </w:pPr>
            <w:r w:rsidRPr="00D05697">
              <w:rPr>
                <w:rFonts w:ascii="Times New Roman" w:hAnsi="Times New Roman"/>
                <w:color w:val="000000"/>
                <w:spacing w:val="-2"/>
                <w:sz w:val="24"/>
                <w:szCs w:val="24"/>
              </w:rPr>
              <w:t>46</w:t>
            </w:r>
          </w:p>
        </w:tc>
        <w:tc>
          <w:tcPr>
            <w:tcW w:w="2922" w:type="dxa"/>
            <w:gridSpan w:val="12"/>
          </w:tcPr>
          <w:p w14:paraId="72018E14" w14:textId="77777777" w:rsidR="00180049" w:rsidRPr="00D05697" w:rsidRDefault="00180049" w:rsidP="00180049">
            <w:pPr>
              <w:spacing w:line="240" w:lineRule="auto"/>
              <w:rPr>
                <w:rFonts w:ascii="Times New Roman" w:hAnsi="Times New Roman"/>
                <w:sz w:val="24"/>
                <w:szCs w:val="24"/>
              </w:rPr>
            </w:pPr>
            <w:r w:rsidRPr="00D05697">
              <w:rPr>
                <w:rFonts w:ascii="Times New Roman" w:hAnsi="Times New Roman"/>
                <w:sz w:val="24"/>
                <w:szCs w:val="24"/>
              </w:rPr>
              <w:t>Urząd Komisji Nadzoru Finansowego</w:t>
            </w:r>
          </w:p>
          <w:p w14:paraId="0C1136A2" w14:textId="0028C8D0" w:rsidR="0013178A" w:rsidRPr="00D05697" w:rsidRDefault="00180049" w:rsidP="00595C88">
            <w:pPr>
              <w:spacing w:line="240" w:lineRule="auto"/>
              <w:rPr>
                <w:rFonts w:ascii="Times New Roman" w:hAnsi="Times New Roman"/>
                <w:color w:val="000000"/>
                <w:spacing w:val="-2"/>
                <w:sz w:val="24"/>
                <w:szCs w:val="24"/>
              </w:rPr>
            </w:pPr>
            <w:r w:rsidRPr="00180049">
              <w:rPr>
                <w:rFonts w:ascii="Times New Roman" w:hAnsi="Times New Roman"/>
                <w:sz w:val="24"/>
                <w:szCs w:val="24"/>
              </w:rPr>
              <w:t>https://www.knf.gov.pl/</w:t>
            </w:r>
          </w:p>
        </w:tc>
        <w:tc>
          <w:tcPr>
            <w:tcW w:w="2941" w:type="dxa"/>
            <w:gridSpan w:val="6"/>
          </w:tcPr>
          <w:p w14:paraId="0B698D8B" w14:textId="34C475BF" w:rsidR="006E2364" w:rsidRPr="00D05697" w:rsidRDefault="00B90FC2" w:rsidP="00C93E3B">
            <w:pPr>
              <w:spacing w:after="120" w:line="240" w:lineRule="auto"/>
              <w:rPr>
                <w:rFonts w:ascii="Times New Roman" w:hAnsi="Times New Roman"/>
                <w:color w:val="000000"/>
                <w:spacing w:val="-2"/>
                <w:sz w:val="24"/>
                <w:szCs w:val="24"/>
              </w:rPr>
            </w:pPr>
            <w:r w:rsidRPr="00D05697">
              <w:rPr>
                <w:rFonts w:ascii="Times New Roman" w:hAnsi="Times New Roman"/>
                <w:color w:val="000000"/>
                <w:spacing w:val="-2"/>
                <w:sz w:val="24"/>
                <w:szCs w:val="24"/>
              </w:rPr>
              <w:t>Rozszerzenie katalogu możliwości lokowania aktywów</w:t>
            </w:r>
            <w:r w:rsidR="00017FDD">
              <w:rPr>
                <w:rFonts w:ascii="Times New Roman" w:hAnsi="Times New Roman"/>
                <w:color w:val="000000"/>
                <w:spacing w:val="-2"/>
                <w:sz w:val="24"/>
                <w:szCs w:val="24"/>
              </w:rPr>
              <w:t>.</w:t>
            </w:r>
          </w:p>
        </w:tc>
      </w:tr>
      <w:tr w:rsidR="00595C88" w:rsidRPr="008B4FE6" w14:paraId="5BCC0CFC" w14:textId="77777777" w:rsidTr="0053280C">
        <w:trPr>
          <w:trHeight w:val="302"/>
        </w:trPr>
        <w:tc>
          <w:tcPr>
            <w:tcW w:w="10661" w:type="dxa"/>
            <w:gridSpan w:val="29"/>
            <w:shd w:val="clear" w:color="auto" w:fill="99CCFF"/>
            <w:vAlign w:val="center"/>
          </w:tcPr>
          <w:p w14:paraId="37BFFFFB" w14:textId="77777777" w:rsidR="00595C88" w:rsidRPr="008B4FE6" w:rsidRDefault="00595C88" w:rsidP="00595C88">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Informacje na temat</w:t>
            </w:r>
            <w:r>
              <w:rPr>
                <w:rFonts w:ascii="Times New Roman" w:hAnsi="Times New Roman"/>
                <w:b/>
                <w:color w:val="000000"/>
              </w:rPr>
              <w:t xml:space="preserve"> zakresu, czasu trwania i podsumowanie wyników </w:t>
            </w:r>
            <w:r w:rsidRPr="008B4FE6">
              <w:rPr>
                <w:rFonts w:ascii="Times New Roman" w:hAnsi="Times New Roman"/>
                <w:b/>
                <w:color w:val="000000"/>
              </w:rPr>
              <w:t>konsultacji</w:t>
            </w:r>
          </w:p>
        </w:tc>
      </w:tr>
      <w:tr w:rsidR="00595C88" w:rsidRPr="008B4FE6" w14:paraId="121F1411" w14:textId="77777777" w:rsidTr="0053280C">
        <w:trPr>
          <w:trHeight w:val="342"/>
        </w:trPr>
        <w:tc>
          <w:tcPr>
            <w:tcW w:w="10661" w:type="dxa"/>
            <w:gridSpan w:val="29"/>
            <w:shd w:val="clear" w:color="auto" w:fill="FFFFFF"/>
          </w:tcPr>
          <w:p w14:paraId="03A9EFA4" w14:textId="27E35048" w:rsidR="00033B48" w:rsidRPr="00DA42E6" w:rsidRDefault="00595C88" w:rsidP="009016B4">
            <w:pPr>
              <w:spacing w:before="120" w:after="120" w:line="240" w:lineRule="auto"/>
              <w:jc w:val="both"/>
              <w:rPr>
                <w:rFonts w:ascii="Times New Roman" w:hAnsi="Times New Roman"/>
                <w:color w:val="000000"/>
                <w:spacing w:val="-2"/>
                <w:sz w:val="24"/>
                <w:szCs w:val="24"/>
              </w:rPr>
            </w:pPr>
            <w:r w:rsidRPr="00DA42E6">
              <w:rPr>
                <w:rFonts w:ascii="Times New Roman" w:hAnsi="Times New Roman"/>
                <w:color w:val="000000"/>
                <w:spacing w:val="-2"/>
                <w:sz w:val="24"/>
                <w:szCs w:val="24"/>
              </w:rPr>
              <w:t>Zgodnie z art. 5 ustawy z dnia 7 lipca 2005 r. o działalności lobbingowej w procesie stanowienia prawa (Dz. U. z 2025 r.</w:t>
            </w:r>
            <w:r w:rsidR="00682594" w:rsidRPr="00DA42E6">
              <w:rPr>
                <w:rFonts w:ascii="Times New Roman" w:hAnsi="Times New Roman"/>
                <w:color w:val="000000"/>
                <w:spacing w:val="-2"/>
                <w:sz w:val="24"/>
                <w:szCs w:val="24"/>
              </w:rPr>
              <w:t xml:space="preserve"> </w:t>
            </w:r>
            <w:r w:rsidRPr="00DA42E6">
              <w:rPr>
                <w:rFonts w:ascii="Times New Roman" w:hAnsi="Times New Roman"/>
                <w:color w:val="000000"/>
                <w:spacing w:val="-2"/>
                <w:sz w:val="24"/>
                <w:szCs w:val="24"/>
              </w:rPr>
              <w:t>poz. 677</w:t>
            </w:r>
            <w:r w:rsidR="007230C2">
              <w:rPr>
                <w:rFonts w:ascii="Times New Roman" w:hAnsi="Times New Roman"/>
                <w:color w:val="000000"/>
                <w:spacing w:val="-2"/>
                <w:sz w:val="24"/>
                <w:szCs w:val="24"/>
              </w:rPr>
              <w:t xml:space="preserve">, z </w:t>
            </w:r>
            <w:proofErr w:type="spellStart"/>
            <w:r w:rsidR="007230C2">
              <w:rPr>
                <w:rFonts w:ascii="Times New Roman" w:hAnsi="Times New Roman"/>
                <w:color w:val="000000"/>
                <w:spacing w:val="-2"/>
                <w:sz w:val="24"/>
                <w:szCs w:val="24"/>
              </w:rPr>
              <w:t>późn</w:t>
            </w:r>
            <w:proofErr w:type="spellEnd"/>
            <w:r w:rsidR="007230C2">
              <w:rPr>
                <w:rFonts w:ascii="Times New Roman" w:hAnsi="Times New Roman"/>
                <w:color w:val="000000"/>
                <w:spacing w:val="-2"/>
                <w:sz w:val="24"/>
                <w:szCs w:val="24"/>
              </w:rPr>
              <w:t>. zm.</w:t>
            </w:r>
            <w:r w:rsidRPr="00DA42E6">
              <w:rPr>
                <w:rFonts w:ascii="Times New Roman" w:hAnsi="Times New Roman"/>
                <w:color w:val="000000"/>
                <w:spacing w:val="-2"/>
                <w:sz w:val="24"/>
                <w:szCs w:val="24"/>
              </w:rPr>
              <w:t xml:space="preserve">) oraz § 52 uchwały nr 190 Rady Ministrów z dnia 29 października 2013 r. – Regulamin pracy Rady Ministrów (M.P. z 2024 r. poz. 806, z </w:t>
            </w:r>
            <w:proofErr w:type="spellStart"/>
            <w:r w:rsidRPr="00DA42E6">
              <w:rPr>
                <w:rFonts w:ascii="Times New Roman" w:hAnsi="Times New Roman"/>
                <w:color w:val="000000"/>
                <w:spacing w:val="-2"/>
                <w:sz w:val="24"/>
                <w:szCs w:val="24"/>
              </w:rPr>
              <w:t>późn</w:t>
            </w:r>
            <w:proofErr w:type="spellEnd"/>
            <w:r w:rsidRPr="00DA42E6">
              <w:rPr>
                <w:rFonts w:ascii="Times New Roman" w:hAnsi="Times New Roman"/>
                <w:color w:val="000000"/>
                <w:spacing w:val="-2"/>
                <w:sz w:val="24"/>
                <w:szCs w:val="24"/>
              </w:rPr>
              <w:t xml:space="preserve">. zm.), z chwilą przekazania do uzgodnień z </w:t>
            </w:r>
            <w:r w:rsidRPr="00DA42E6">
              <w:rPr>
                <w:rFonts w:ascii="Times New Roman" w:hAnsi="Times New Roman"/>
                <w:color w:val="000000"/>
                <w:spacing w:val="-2"/>
                <w:sz w:val="24"/>
                <w:szCs w:val="24"/>
              </w:rPr>
              <w:lastRenderedPageBreak/>
              <w:t xml:space="preserve">członkami Rady Ministrów projekt ustawy zostanie udostępniony w Biuletynie Informacji Publicznej na stronie </w:t>
            </w:r>
            <w:r w:rsidR="007E1214">
              <w:rPr>
                <w:rFonts w:ascii="Times New Roman" w:hAnsi="Times New Roman"/>
                <w:color w:val="000000"/>
                <w:spacing w:val="-2"/>
                <w:sz w:val="24"/>
                <w:szCs w:val="24"/>
              </w:rPr>
              <w:t xml:space="preserve">podmiotowej </w:t>
            </w:r>
            <w:r w:rsidRPr="00DA42E6">
              <w:rPr>
                <w:rFonts w:ascii="Times New Roman" w:hAnsi="Times New Roman"/>
                <w:color w:val="000000"/>
                <w:spacing w:val="-2"/>
                <w:sz w:val="24"/>
                <w:szCs w:val="24"/>
              </w:rPr>
              <w:t>Rządowego Centrum Legislacji, w serwisie Rządowy Proces Legislacyjny.</w:t>
            </w:r>
          </w:p>
          <w:p w14:paraId="2750F945" w14:textId="422A741A" w:rsidR="00033B48" w:rsidRPr="00DA42E6" w:rsidRDefault="00595C88" w:rsidP="009016B4">
            <w:pPr>
              <w:spacing w:before="120" w:after="120" w:line="240" w:lineRule="auto"/>
              <w:jc w:val="both"/>
              <w:rPr>
                <w:rFonts w:ascii="Times New Roman" w:hAnsi="Times New Roman"/>
                <w:color w:val="000000"/>
                <w:spacing w:val="-2"/>
                <w:sz w:val="24"/>
                <w:szCs w:val="24"/>
              </w:rPr>
            </w:pPr>
            <w:r w:rsidRPr="00DA42E6">
              <w:rPr>
                <w:rFonts w:ascii="Times New Roman" w:hAnsi="Times New Roman"/>
                <w:color w:val="000000"/>
                <w:spacing w:val="-2"/>
                <w:sz w:val="24"/>
                <w:szCs w:val="24"/>
              </w:rPr>
              <w:t>Projekt ustawy zostanie przekazany, z terminem 30-dni na przekazanie stanowiska</w:t>
            </w:r>
            <w:r w:rsidR="007E1214">
              <w:rPr>
                <w:rFonts w:ascii="Times New Roman" w:hAnsi="Times New Roman"/>
                <w:color w:val="000000"/>
                <w:spacing w:val="-2"/>
                <w:sz w:val="24"/>
                <w:szCs w:val="24"/>
              </w:rPr>
              <w:t>,</w:t>
            </w:r>
            <w:r w:rsidRPr="00DA42E6">
              <w:rPr>
                <w:rFonts w:ascii="Times New Roman" w:hAnsi="Times New Roman"/>
                <w:color w:val="000000"/>
                <w:spacing w:val="-2"/>
                <w:sz w:val="24"/>
                <w:szCs w:val="24"/>
              </w:rPr>
              <w:t xml:space="preserve"> do konsultacji publicznych i opiniowania Urzędowi Komisji Nadzoru Finansowego, Narodowemu Bankowi Polskiemu, Urzędowi Ochrony Konkurencji i Konsumentów,</w:t>
            </w:r>
            <w:r w:rsidR="00A31C0E">
              <w:t xml:space="preserve"> </w:t>
            </w:r>
            <w:r w:rsidR="00A31C0E" w:rsidRPr="00A31C0E">
              <w:rPr>
                <w:rFonts w:ascii="Times New Roman" w:hAnsi="Times New Roman"/>
                <w:color w:val="000000"/>
                <w:spacing w:val="-2"/>
                <w:sz w:val="24"/>
                <w:szCs w:val="24"/>
              </w:rPr>
              <w:t>Urzędowi Regulacji Energetyki</w:t>
            </w:r>
            <w:r w:rsidR="00A31C0E">
              <w:rPr>
                <w:rFonts w:ascii="Times New Roman" w:hAnsi="Times New Roman"/>
                <w:color w:val="000000"/>
                <w:spacing w:val="-2"/>
                <w:sz w:val="24"/>
                <w:szCs w:val="24"/>
              </w:rPr>
              <w:t>,</w:t>
            </w:r>
            <w:r w:rsidRPr="00DA42E6">
              <w:rPr>
                <w:rFonts w:ascii="Times New Roman" w:hAnsi="Times New Roman"/>
                <w:color w:val="000000"/>
                <w:spacing w:val="-2"/>
                <w:sz w:val="24"/>
                <w:szCs w:val="24"/>
              </w:rPr>
              <w:t xml:space="preserve"> Polskiemu Funduszowi Rozwoju S.A., Rzecznikowi Praw Obywatelskich,</w:t>
            </w:r>
            <w:r w:rsidR="00A31C0E">
              <w:t xml:space="preserve"> </w:t>
            </w:r>
            <w:r w:rsidR="00A31C0E" w:rsidRPr="00A31C0E">
              <w:rPr>
                <w:rFonts w:ascii="Times New Roman" w:hAnsi="Times New Roman"/>
                <w:color w:val="000000"/>
                <w:spacing w:val="-2"/>
                <w:sz w:val="24"/>
                <w:szCs w:val="24"/>
              </w:rPr>
              <w:t>Rzecznikowi Małych i Średnich Przedsiębiorców</w:t>
            </w:r>
            <w:r w:rsidR="00A31C0E">
              <w:rPr>
                <w:rFonts w:ascii="Times New Roman" w:hAnsi="Times New Roman"/>
                <w:color w:val="000000"/>
                <w:spacing w:val="-2"/>
                <w:sz w:val="24"/>
                <w:szCs w:val="24"/>
              </w:rPr>
              <w:t>,</w:t>
            </w:r>
            <w:r w:rsidRPr="00DA42E6">
              <w:rPr>
                <w:rFonts w:ascii="Times New Roman" w:hAnsi="Times New Roman"/>
                <w:color w:val="000000"/>
                <w:spacing w:val="-2"/>
                <w:sz w:val="24"/>
                <w:szCs w:val="24"/>
              </w:rPr>
              <w:t xml:space="preserve"> Głównemu Urzędowi Statystycznemu, Prokuratorii Generalnej Rzeczypospolitej Polskiej, Urzędowi Ochrony Danych Osobowych</w:t>
            </w:r>
            <w:r w:rsidR="00A31C0E">
              <w:rPr>
                <w:rFonts w:ascii="Times New Roman" w:hAnsi="Times New Roman"/>
                <w:color w:val="000000"/>
                <w:spacing w:val="-2"/>
                <w:sz w:val="24"/>
                <w:szCs w:val="24"/>
              </w:rPr>
              <w:t>,</w:t>
            </w:r>
            <w:r w:rsidRPr="00DA42E6">
              <w:rPr>
                <w:rFonts w:ascii="Times New Roman" w:hAnsi="Times New Roman"/>
                <w:color w:val="000000"/>
                <w:spacing w:val="-2"/>
                <w:sz w:val="24"/>
                <w:szCs w:val="24"/>
              </w:rPr>
              <w:t xml:space="preserve"> Polskiej Agencji Nadzoru Audytowego, Bankowemu Funduszowi Gwarancyjnemu, Związkowi Banków Polskich</w:t>
            </w:r>
            <w:r w:rsidR="00A31C0E">
              <w:rPr>
                <w:rFonts w:ascii="Times New Roman" w:hAnsi="Times New Roman"/>
                <w:color w:val="000000"/>
                <w:spacing w:val="-2"/>
                <w:sz w:val="24"/>
                <w:szCs w:val="24"/>
              </w:rPr>
              <w:t>,</w:t>
            </w:r>
            <w:r w:rsidRPr="00DA42E6">
              <w:rPr>
                <w:rFonts w:ascii="Times New Roman" w:hAnsi="Times New Roman"/>
                <w:color w:val="000000"/>
                <w:spacing w:val="-2"/>
                <w:sz w:val="24"/>
                <w:szCs w:val="24"/>
              </w:rPr>
              <w:t xml:space="preserve"> Krajowemu Związkowi Banków Spółdzielczych, Radzie Banków Depozytariuszy, Izbie Domów Maklerskich</w:t>
            </w:r>
            <w:r w:rsidR="00A31C0E">
              <w:rPr>
                <w:rFonts w:ascii="Times New Roman" w:hAnsi="Times New Roman"/>
                <w:color w:val="000000"/>
                <w:spacing w:val="-2"/>
                <w:sz w:val="24"/>
                <w:szCs w:val="24"/>
              </w:rPr>
              <w:t>,</w:t>
            </w:r>
            <w:r w:rsidRPr="00DA42E6">
              <w:rPr>
                <w:rFonts w:ascii="Times New Roman" w:hAnsi="Times New Roman"/>
                <w:color w:val="000000"/>
                <w:spacing w:val="-2"/>
                <w:sz w:val="24"/>
                <w:szCs w:val="24"/>
              </w:rPr>
              <w:t xml:space="preserve"> Stowarzyszeniu Emitentów Giełdowych, </w:t>
            </w:r>
            <w:proofErr w:type="spellStart"/>
            <w:r w:rsidRPr="00DA42E6">
              <w:rPr>
                <w:rFonts w:ascii="Times New Roman" w:hAnsi="Times New Roman"/>
                <w:color w:val="000000"/>
                <w:spacing w:val="-2"/>
                <w:sz w:val="24"/>
                <w:szCs w:val="24"/>
              </w:rPr>
              <w:t>BondSpot</w:t>
            </w:r>
            <w:proofErr w:type="spellEnd"/>
            <w:r w:rsidRPr="00DA42E6">
              <w:rPr>
                <w:rFonts w:ascii="Times New Roman" w:hAnsi="Times New Roman"/>
                <w:color w:val="000000"/>
                <w:spacing w:val="-2"/>
                <w:sz w:val="24"/>
                <w:szCs w:val="24"/>
              </w:rPr>
              <w:t xml:space="preserve"> S.A.,</w:t>
            </w:r>
            <w:r w:rsidR="00A31C0E">
              <w:t xml:space="preserve"> </w:t>
            </w:r>
            <w:r w:rsidR="00A31C0E" w:rsidRPr="00A31C0E">
              <w:rPr>
                <w:rFonts w:ascii="Times New Roman" w:hAnsi="Times New Roman"/>
                <w:color w:val="000000"/>
                <w:spacing w:val="-2"/>
                <w:sz w:val="24"/>
                <w:szCs w:val="24"/>
              </w:rPr>
              <w:t>Towarowej Giełdzie Energii S.A., Izbie Rozliczeniowej Giełd Towarowych S.A.</w:t>
            </w:r>
            <w:r w:rsidR="00A31C0E">
              <w:rPr>
                <w:rFonts w:ascii="Times New Roman" w:hAnsi="Times New Roman"/>
                <w:color w:val="000000"/>
                <w:spacing w:val="-2"/>
                <w:sz w:val="24"/>
                <w:szCs w:val="24"/>
              </w:rPr>
              <w:t>,</w:t>
            </w:r>
            <w:r w:rsidRPr="00DA42E6">
              <w:rPr>
                <w:rFonts w:ascii="Times New Roman" w:hAnsi="Times New Roman"/>
                <w:color w:val="000000"/>
                <w:spacing w:val="-2"/>
                <w:sz w:val="24"/>
                <w:szCs w:val="24"/>
              </w:rPr>
              <w:t xml:space="preserve"> Krajowej </w:t>
            </w:r>
            <w:r w:rsidR="00033B48">
              <w:rPr>
                <w:rFonts w:ascii="Times New Roman" w:hAnsi="Times New Roman"/>
                <w:color w:val="000000"/>
                <w:spacing w:val="-2"/>
                <w:sz w:val="24"/>
                <w:szCs w:val="24"/>
              </w:rPr>
              <w:t>Spółdzielczej Kasie Os</w:t>
            </w:r>
            <w:r w:rsidR="00BB3AC4">
              <w:rPr>
                <w:rFonts w:ascii="Times New Roman" w:hAnsi="Times New Roman"/>
                <w:color w:val="000000"/>
                <w:spacing w:val="-2"/>
                <w:sz w:val="24"/>
                <w:szCs w:val="24"/>
              </w:rPr>
              <w:t>z</w:t>
            </w:r>
            <w:r w:rsidR="00033B48">
              <w:rPr>
                <w:rFonts w:ascii="Times New Roman" w:hAnsi="Times New Roman"/>
                <w:color w:val="000000"/>
                <w:spacing w:val="-2"/>
                <w:sz w:val="24"/>
                <w:szCs w:val="24"/>
              </w:rPr>
              <w:t>czędnościow</w:t>
            </w:r>
            <w:r w:rsidR="00BB3AC4">
              <w:rPr>
                <w:rFonts w:ascii="Times New Roman" w:hAnsi="Times New Roman"/>
                <w:color w:val="000000"/>
                <w:spacing w:val="-2"/>
                <w:sz w:val="24"/>
                <w:szCs w:val="24"/>
              </w:rPr>
              <w:t>o</w:t>
            </w:r>
            <w:r w:rsidR="00033B48">
              <w:rPr>
                <w:rFonts w:ascii="Times New Roman" w:hAnsi="Times New Roman"/>
                <w:color w:val="000000"/>
                <w:spacing w:val="-2"/>
                <w:sz w:val="24"/>
                <w:szCs w:val="24"/>
              </w:rPr>
              <w:t>-Kredytowej</w:t>
            </w:r>
            <w:r w:rsidRPr="00DA42E6">
              <w:rPr>
                <w:rFonts w:ascii="Times New Roman" w:hAnsi="Times New Roman"/>
                <w:color w:val="000000"/>
                <w:spacing w:val="-2"/>
                <w:sz w:val="24"/>
                <w:szCs w:val="24"/>
              </w:rPr>
              <w:t xml:space="preserve">, Stowarzyszeniu Inwestorów Indywidualnych, Związkowi Maklerów i Doradców, Polskiemu Stowarzyszeniu Inwestorów Kapitałowych, Giełdzie Papierów Wartościowych S.A., CFA </w:t>
            </w:r>
            <w:proofErr w:type="spellStart"/>
            <w:r w:rsidRPr="00DA42E6">
              <w:rPr>
                <w:rFonts w:ascii="Times New Roman" w:hAnsi="Times New Roman"/>
                <w:color w:val="000000"/>
                <w:spacing w:val="-2"/>
                <w:sz w:val="24"/>
                <w:szCs w:val="24"/>
              </w:rPr>
              <w:t>Society</w:t>
            </w:r>
            <w:proofErr w:type="spellEnd"/>
            <w:r w:rsidRPr="00DA42E6">
              <w:rPr>
                <w:rFonts w:ascii="Times New Roman" w:hAnsi="Times New Roman"/>
                <w:color w:val="000000"/>
                <w:spacing w:val="-2"/>
                <w:sz w:val="24"/>
                <w:szCs w:val="24"/>
              </w:rPr>
              <w:t xml:space="preserve"> Poland, </w:t>
            </w:r>
            <w:r w:rsidR="00A31C0E" w:rsidRPr="00A31C0E">
              <w:rPr>
                <w:rFonts w:ascii="Times New Roman" w:hAnsi="Times New Roman"/>
                <w:color w:val="000000"/>
                <w:spacing w:val="-2"/>
                <w:sz w:val="24"/>
                <w:szCs w:val="24"/>
              </w:rPr>
              <w:t>Polskiej Izbie</w:t>
            </w:r>
            <w:r w:rsidRPr="00DA42E6">
              <w:rPr>
                <w:rFonts w:ascii="Times New Roman" w:hAnsi="Times New Roman"/>
                <w:color w:val="000000"/>
                <w:spacing w:val="-2"/>
                <w:sz w:val="24"/>
                <w:szCs w:val="24"/>
              </w:rPr>
              <w:t xml:space="preserve"> Biegłych Rewidentów, Stowarzyszeniu </w:t>
            </w:r>
            <w:proofErr w:type="spellStart"/>
            <w:r w:rsidRPr="00DA42E6">
              <w:rPr>
                <w:rFonts w:ascii="Times New Roman" w:hAnsi="Times New Roman"/>
                <w:color w:val="000000"/>
                <w:spacing w:val="-2"/>
                <w:sz w:val="24"/>
                <w:szCs w:val="24"/>
              </w:rPr>
              <w:t>Compliance</w:t>
            </w:r>
            <w:proofErr w:type="spellEnd"/>
            <w:r w:rsidRPr="00DA42E6">
              <w:rPr>
                <w:rFonts w:ascii="Times New Roman" w:hAnsi="Times New Roman"/>
                <w:color w:val="000000"/>
                <w:spacing w:val="-2"/>
                <w:sz w:val="24"/>
                <w:szCs w:val="24"/>
              </w:rPr>
              <w:t xml:space="preserve"> Polska, Związkowi Przedsiębiorstw Finansowych w Polsce, Stowarzyszeniu Rynków Finansowych ACI Polska, Polskiej Izbie Ubezpieczeń, Izbie Gospodarczej Towarzystw Emerytalnych, Izbie Zarządzających Funduszami i Aktywami,</w:t>
            </w:r>
            <w:r w:rsidR="00A31C0E">
              <w:t xml:space="preserve"> </w:t>
            </w:r>
            <w:r w:rsidR="00A31C0E" w:rsidRPr="00A31C0E">
              <w:rPr>
                <w:rFonts w:ascii="Times New Roman" w:hAnsi="Times New Roman"/>
                <w:color w:val="000000"/>
                <w:spacing w:val="-2"/>
                <w:sz w:val="24"/>
                <w:szCs w:val="24"/>
              </w:rPr>
              <w:t>Izbie Gospodarczej Alternatywnych Spółek Inwestycyjnych</w:t>
            </w:r>
            <w:r w:rsidR="00A31C0E">
              <w:rPr>
                <w:rFonts w:ascii="Times New Roman" w:hAnsi="Times New Roman"/>
                <w:color w:val="000000"/>
                <w:spacing w:val="-2"/>
                <w:sz w:val="24"/>
                <w:szCs w:val="24"/>
              </w:rPr>
              <w:t>,</w:t>
            </w:r>
            <w:r w:rsidRPr="00DA42E6">
              <w:rPr>
                <w:rFonts w:ascii="Times New Roman" w:hAnsi="Times New Roman"/>
                <w:color w:val="000000"/>
                <w:spacing w:val="-2"/>
                <w:sz w:val="24"/>
                <w:szCs w:val="24"/>
              </w:rPr>
              <w:t xml:space="preserve"> Krajowemu Depozytowi Papierów Wartościowych S.A. oraz Rzecznikowi Finansowemu.</w:t>
            </w:r>
          </w:p>
          <w:p w14:paraId="35B59FB6" w14:textId="568BB378" w:rsidR="00595C88" w:rsidRPr="00DA42E6" w:rsidRDefault="00595C88" w:rsidP="009016B4">
            <w:pPr>
              <w:spacing w:before="120" w:after="120" w:line="240" w:lineRule="auto"/>
              <w:jc w:val="both"/>
              <w:rPr>
                <w:rFonts w:ascii="Times New Roman" w:hAnsi="Times New Roman"/>
                <w:color w:val="000000"/>
                <w:spacing w:val="-2"/>
                <w:sz w:val="24"/>
                <w:szCs w:val="24"/>
              </w:rPr>
            </w:pPr>
            <w:r w:rsidRPr="00DA42E6">
              <w:rPr>
                <w:rFonts w:ascii="Times New Roman" w:hAnsi="Times New Roman"/>
                <w:color w:val="000000"/>
                <w:spacing w:val="-2"/>
                <w:sz w:val="24"/>
                <w:szCs w:val="24"/>
              </w:rPr>
              <w:t>Zgodnie z ustawą z dnia 23 maja 1991 r. o związkach zawodowych (Dz.</w:t>
            </w:r>
            <w:r w:rsidR="005A6573">
              <w:rPr>
                <w:rFonts w:ascii="Times New Roman" w:hAnsi="Times New Roman"/>
                <w:color w:val="000000"/>
                <w:spacing w:val="-2"/>
                <w:sz w:val="24"/>
                <w:szCs w:val="24"/>
              </w:rPr>
              <w:t xml:space="preserve"> </w:t>
            </w:r>
            <w:r w:rsidRPr="00DA42E6">
              <w:rPr>
                <w:rFonts w:ascii="Times New Roman" w:hAnsi="Times New Roman"/>
                <w:color w:val="000000"/>
                <w:spacing w:val="-2"/>
                <w:sz w:val="24"/>
                <w:szCs w:val="24"/>
              </w:rPr>
              <w:t xml:space="preserve">U. </w:t>
            </w:r>
            <w:r w:rsidR="005A6573">
              <w:rPr>
                <w:rFonts w:ascii="Times New Roman" w:hAnsi="Times New Roman"/>
                <w:color w:val="000000"/>
                <w:spacing w:val="-2"/>
                <w:sz w:val="24"/>
                <w:szCs w:val="24"/>
              </w:rPr>
              <w:t xml:space="preserve">z </w:t>
            </w:r>
            <w:r w:rsidRPr="00DA42E6">
              <w:rPr>
                <w:rFonts w:ascii="Times New Roman" w:hAnsi="Times New Roman"/>
                <w:color w:val="000000"/>
                <w:spacing w:val="-2"/>
                <w:sz w:val="24"/>
                <w:szCs w:val="24"/>
              </w:rPr>
              <w:t>2025 poz. 440</w:t>
            </w:r>
            <w:r w:rsidR="009311A4" w:rsidRPr="00DA42E6">
              <w:rPr>
                <w:rFonts w:ascii="Times New Roman" w:hAnsi="Times New Roman"/>
                <w:color w:val="000000"/>
                <w:spacing w:val="-2"/>
                <w:sz w:val="24"/>
                <w:szCs w:val="24"/>
              </w:rPr>
              <w:t xml:space="preserve">, z </w:t>
            </w:r>
            <w:proofErr w:type="spellStart"/>
            <w:r w:rsidR="009311A4" w:rsidRPr="00DA42E6">
              <w:rPr>
                <w:rFonts w:ascii="Times New Roman" w:hAnsi="Times New Roman"/>
                <w:color w:val="000000"/>
                <w:spacing w:val="-2"/>
                <w:sz w:val="24"/>
                <w:szCs w:val="24"/>
              </w:rPr>
              <w:t>późn</w:t>
            </w:r>
            <w:proofErr w:type="spellEnd"/>
            <w:r w:rsidR="009311A4" w:rsidRPr="00DA42E6">
              <w:rPr>
                <w:rFonts w:ascii="Times New Roman" w:hAnsi="Times New Roman"/>
                <w:color w:val="000000"/>
                <w:spacing w:val="-2"/>
                <w:sz w:val="24"/>
                <w:szCs w:val="24"/>
              </w:rPr>
              <w:t>. zm.</w:t>
            </w:r>
            <w:r w:rsidRPr="00DA42E6">
              <w:rPr>
                <w:rFonts w:ascii="Times New Roman" w:hAnsi="Times New Roman"/>
                <w:color w:val="000000"/>
                <w:spacing w:val="-2"/>
                <w:sz w:val="24"/>
                <w:szCs w:val="24"/>
              </w:rPr>
              <w:t>) projekt zostanie skierowany do konsultacji z następującymi reprezentatywnymi organizacjami związkowymi: Komisją Krajową NSZZ „Solidarność”, Ogólnopolskim Porozumieniem Związków Zawodowych oraz Forum Związków Zawodowych.</w:t>
            </w:r>
          </w:p>
          <w:p w14:paraId="13BCE4DD" w14:textId="4870F037" w:rsidR="00595C88" w:rsidRPr="00DA42E6" w:rsidRDefault="00595C88" w:rsidP="009016B4">
            <w:pPr>
              <w:spacing w:before="120" w:after="120" w:line="240" w:lineRule="auto"/>
              <w:jc w:val="both"/>
              <w:rPr>
                <w:rFonts w:ascii="Times New Roman" w:hAnsi="Times New Roman"/>
                <w:color w:val="000000"/>
                <w:spacing w:val="-2"/>
                <w:sz w:val="24"/>
                <w:szCs w:val="24"/>
              </w:rPr>
            </w:pPr>
            <w:r w:rsidRPr="00DA42E6">
              <w:rPr>
                <w:rFonts w:ascii="Times New Roman" w:hAnsi="Times New Roman"/>
                <w:color w:val="000000"/>
                <w:spacing w:val="-2"/>
                <w:sz w:val="24"/>
                <w:szCs w:val="24"/>
              </w:rPr>
              <w:t>Natomiast na podstawie ustawy z dnia 24 lipca 2015 r. o Radzie Dialogu Społecznego i innych instytucjach dialogu społecznego (Dz.</w:t>
            </w:r>
            <w:r w:rsidR="009311A4" w:rsidRPr="00DA42E6">
              <w:rPr>
                <w:rFonts w:ascii="Times New Roman" w:hAnsi="Times New Roman"/>
                <w:color w:val="000000"/>
                <w:spacing w:val="-2"/>
                <w:sz w:val="24"/>
                <w:szCs w:val="24"/>
              </w:rPr>
              <w:t xml:space="preserve"> </w:t>
            </w:r>
            <w:r w:rsidRPr="00DA42E6">
              <w:rPr>
                <w:rFonts w:ascii="Times New Roman" w:hAnsi="Times New Roman"/>
                <w:color w:val="000000"/>
                <w:spacing w:val="-2"/>
                <w:sz w:val="24"/>
                <w:szCs w:val="24"/>
              </w:rPr>
              <w:t xml:space="preserve">U. </w:t>
            </w:r>
            <w:r w:rsidR="009311A4" w:rsidRPr="00DA42E6">
              <w:rPr>
                <w:rFonts w:ascii="Times New Roman" w:hAnsi="Times New Roman"/>
                <w:color w:val="000000"/>
                <w:spacing w:val="-2"/>
                <w:sz w:val="24"/>
                <w:szCs w:val="24"/>
              </w:rPr>
              <w:t xml:space="preserve">z </w:t>
            </w:r>
            <w:r w:rsidRPr="00DA42E6">
              <w:rPr>
                <w:rFonts w:ascii="Times New Roman" w:hAnsi="Times New Roman"/>
                <w:color w:val="000000"/>
                <w:spacing w:val="-2"/>
                <w:sz w:val="24"/>
                <w:szCs w:val="24"/>
              </w:rPr>
              <w:t xml:space="preserve">2018 </w:t>
            </w:r>
            <w:r w:rsidR="009311A4" w:rsidRPr="00DA42E6">
              <w:rPr>
                <w:rFonts w:ascii="Times New Roman" w:hAnsi="Times New Roman"/>
                <w:color w:val="000000"/>
                <w:spacing w:val="-2"/>
                <w:sz w:val="24"/>
                <w:szCs w:val="24"/>
              </w:rPr>
              <w:t xml:space="preserve">r. </w:t>
            </w:r>
            <w:r w:rsidRPr="00DA42E6">
              <w:rPr>
                <w:rFonts w:ascii="Times New Roman" w:hAnsi="Times New Roman"/>
                <w:color w:val="000000"/>
                <w:spacing w:val="-2"/>
                <w:sz w:val="24"/>
                <w:szCs w:val="24"/>
              </w:rPr>
              <w:t>poz. 2232</w:t>
            </w:r>
            <w:r w:rsidR="009311A4" w:rsidRPr="00DA42E6">
              <w:rPr>
                <w:rFonts w:ascii="Times New Roman" w:hAnsi="Times New Roman"/>
                <w:color w:val="000000"/>
                <w:spacing w:val="-2"/>
                <w:sz w:val="24"/>
                <w:szCs w:val="24"/>
              </w:rPr>
              <w:t>,</w:t>
            </w:r>
            <w:r w:rsidRPr="00DA42E6">
              <w:rPr>
                <w:rFonts w:ascii="Times New Roman" w:hAnsi="Times New Roman"/>
                <w:color w:val="000000"/>
                <w:spacing w:val="-2"/>
                <w:sz w:val="24"/>
                <w:szCs w:val="24"/>
              </w:rPr>
              <w:t xml:space="preserve"> z </w:t>
            </w:r>
            <w:proofErr w:type="spellStart"/>
            <w:r w:rsidRPr="00DA42E6">
              <w:rPr>
                <w:rFonts w:ascii="Times New Roman" w:hAnsi="Times New Roman"/>
                <w:color w:val="000000"/>
                <w:spacing w:val="-2"/>
                <w:sz w:val="24"/>
                <w:szCs w:val="24"/>
              </w:rPr>
              <w:t>póź</w:t>
            </w:r>
            <w:r w:rsidR="00D05697">
              <w:rPr>
                <w:rFonts w:ascii="Times New Roman" w:hAnsi="Times New Roman"/>
                <w:color w:val="000000"/>
                <w:spacing w:val="-2"/>
                <w:sz w:val="24"/>
                <w:szCs w:val="24"/>
              </w:rPr>
              <w:t>n</w:t>
            </w:r>
            <w:proofErr w:type="spellEnd"/>
            <w:r w:rsidRPr="00DA42E6">
              <w:rPr>
                <w:rFonts w:ascii="Times New Roman" w:hAnsi="Times New Roman"/>
                <w:color w:val="000000"/>
                <w:spacing w:val="-2"/>
                <w:sz w:val="24"/>
                <w:szCs w:val="24"/>
              </w:rPr>
              <w:t>. zm.) projekt zostanie skierowany do zaopiniowania przez Radę Dialogu Społecznego.</w:t>
            </w:r>
          </w:p>
          <w:p w14:paraId="1C9819B6" w14:textId="2FBC3DDB" w:rsidR="00033B48" w:rsidRPr="00B87FF1" w:rsidRDefault="00595C88" w:rsidP="009016B4">
            <w:pPr>
              <w:spacing w:before="120" w:after="120" w:line="240" w:lineRule="auto"/>
              <w:jc w:val="both"/>
              <w:rPr>
                <w:rFonts w:ascii="Times New Roman" w:hAnsi="Times New Roman"/>
                <w:color w:val="000000"/>
                <w:spacing w:val="-2"/>
                <w:sz w:val="24"/>
                <w:szCs w:val="24"/>
              </w:rPr>
            </w:pPr>
            <w:r w:rsidRPr="00DA42E6">
              <w:rPr>
                <w:rFonts w:ascii="Times New Roman" w:hAnsi="Times New Roman"/>
                <w:color w:val="000000"/>
                <w:spacing w:val="-2"/>
                <w:sz w:val="24"/>
                <w:szCs w:val="24"/>
              </w:rPr>
              <w:t xml:space="preserve">Zgodnie z ustawą z dnia 23 maja 1991 r. o organizacjach pracodawców (Dz.U. </w:t>
            </w:r>
            <w:r w:rsidR="008573FC" w:rsidRPr="00DA42E6">
              <w:rPr>
                <w:rFonts w:ascii="Times New Roman" w:hAnsi="Times New Roman"/>
                <w:color w:val="000000"/>
                <w:spacing w:val="-2"/>
                <w:sz w:val="24"/>
                <w:szCs w:val="24"/>
              </w:rPr>
              <w:t xml:space="preserve">z </w:t>
            </w:r>
            <w:r w:rsidRPr="00DA42E6">
              <w:rPr>
                <w:rFonts w:ascii="Times New Roman" w:hAnsi="Times New Roman"/>
                <w:color w:val="000000"/>
                <w:spacing w:val="-2"/>
                <w:sz w:val="24"/>
                <w:szCs w:val="24"/>
              </w:rPr>
              <w:t xml:space="preserve">2025 </w:t>
            </w:r>
            <w:r w:rsidR="008573FC" w:rsidRPr="00DA42E6">
              <w:rPr>
                <w:rFonts w:ascii="Times New Roman" w:hAnsi="Times New Roman"/>
                <w:color w:val="000000"/>
                <w:spacing w:val="-2"/>
                <w:sz w:val="24"/>
                <w:szCs w:val="24"/>
              </w:rPr>
              <w:t xml:space="preserve">r. </w:t>
            </w:r>
            <w:r w:rsidRPr="00DA42E6">
              <w:rPr>
                <w:rFonts w:ascii="Times New Roman" w:hAnsi="Times New Roman"/>
                <w:color w:val="000000"/>
                <w:spacing w:val="-2"/>
                <w:sz w:val="24"/>
                <w:szCs w:val="24"/>
              </w:rPr>
              <w:t>poz. 423) projekt zostanie również przekazany do zaopiniowania przez następujące reprezentatywne organizacje pracodawców: Konfederację „Lewiatan”, Związek Rzemiosła Polskiego, Pracodawców Rzeczypospolitej Polskiej, Business Centre Club – Związek Pracodawców, Związek Przedsiębiorców i Pracodawców, Federację Przedsiębiorców Polskich oraz Polskie Towarzystwo Gospodarcze.</w:t>
            </w:r>
          </w:p>
        </w:tc>
      </w:tr>
      <w:tr w:rsidR="00595C88" w:rsidRPr="008B4FE6" w14:paraId="4B796C3C" w14:textId="77777777" w:rsidTr="0053280C">
        <w:trPr>
          <w:trHeight w:val="363"/>
        </w:trPr>
        <w:tc>
          <w:tcPr>
            <w:tcW w:w="10661" w:type="dxa"/>
            <w:gridSpan w:val="29"/>
            <w:shd w:val="clear" w:color="auto" w:fill="99CCFF"/>
            <w:vAlign w:val="center"/>
          </w:tcPr>
          <w:p w14:paraId="4D518573" w14:textId="77777777" w:rsidR="00595C88" w:rsidRPr="008B4FE6" w:rsidRDefault="00595C88" w:rsidP="00595C88">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lastRenderedPageBreak/>
              <w:t xml:space="preserve"> Wpływ na sektor finansów publicznych</w:t>
            </w:r>
          </w:p>
        </w:tc>
      </w:tr>
      <w:tr w:rsidR="00595C88" w:rsidRPr="00033B48" w14:paraId="1B4D2BE5" w14:textId="77777777" w:rsidTr="0053280C">
        <w:trPr>
          <w:trHeight w:val="142"/>
        </w:trPr>
        <w:tc>
          <w:tcPr>
            <w:tcW w:w="3014" w:type="dxa"/>
            <w:gridSpan w:val="4"/>
            <w:vMerge w:val="restart"/>
            <w:shd w:val="clear" w:color="auto" w:fill="FFFFFF"/>
          </w:tcPr>
          <w:p w14:paraId="0C3A2360" w14:textId="77777777" w:rsidR="00595C88" w:rsidRPr="00D05697" w:rsidRDefault="00595C88" w:rsidP="00595C88">
            <w:pPr>
              <w:spacing w:before="40" w:after="40"/>
              <w:rPr>
                <w:rFonts w:ascii="Times New Roman" w:hAnsi="Times New Roman"/>
                <w:i/>
                <w:color w:val="000000"/>
                <w:sz w:val="24"/>
                <w:szCs w:val="24"/>
              </w:rPr>
            </w:pPr>
            <w:r w:rsidRPr="00D05697">
              <w:rPr>
                <w:rFonts w:ascii="Times New Roman" w:hAnsi="Times New Roman"/>
                <w:color w:val="000000"/>
                <w:sz w:val="24"/>
                <w:szCs w:val="24"/>
              </w:rPr>
              <w:t>(ceny stałe z …… r.)</w:t>
            </w:r>
          </w:p>
        </w:tc>
        <w:tc>
          <w:tcPr>
            <w:tcW w:w="7647" w:type="dxa"/>
            <w:gridSpan w:val="25"/>
            <w:shd w:val="clear" w:color="auto" w:fill="FFFFFF"/>
          </w:tcPr>
          <w:p w14:paraId="2D6BCABB" w14:textId="77777777" w:rsidR="00595C88" w:rsidRPr="00D05697" w:rsidRDefault="00595C88" w:rsidP="00595C88">
            <w:pPr>
              <w:spacing w:before="40" w:after="40" w:line="240" w:lineRule="auto"/>
              <w:jc w:val="center"/>
              <w:rPr>
                <w:rFonts w:ascii="Times New Roman" w:hAnsi="Times New Roman"/>
                <w:i/>
                <w:color w:val="000000"/>
                <w:spacing w:val="-2"/>
                <w:sz w:val="24"/>
                <w:szCs w:val="24"/>
              </w:rPr>
            </w:pPr>
            <w:r w:rsidRPr="00D05697">
              <w:rPr>
                <w:rFonts w:ascii="Times New Roman" w:hAnsi="Times New Roman"/>
                <w:color w:val="000000"/>
                <w:sz w:val="24"/>
                <w:szCs w:val="24"/>
              </w:rPr>
              <w:t>Skutki w okresie 10 lat od wejścia w życie zmian [mln zł]</w:t>
            </w:r>
          </w:p>
        </w:tc>
      </w:tr>
      <w:tr w:rsidR="00595C88" w:rsidRPr="00033B48" w14:paraId="1AE8BA0A" w14:textId="77777777" w:rsidTr="0053280C">
        <w:trPr>
          <w:trHeight w:val="142"/>
        </w:trPr>
        <w:tc>
          <w:tcPr>
            <w:tcW w:w="3014" w:type="dxa"/>
            <w:gridSpan w:val="4"/>
            <w:vMerge/>
            <w:shd w:val="clear" w:color="auto" w:fill="FFFFFF"/>
          </w:tcPr>
          <w:p w14:paraId="7A99C05D" w14:textId="77777777" w:rsidR="00595C88" w:rsidRPr="00D05697" w:rsidRDefault="00595C88" w:rsidP="00595C88">
            <w:pPr>
              <w:spacing w:before="40" w:after="40" w:line="240" w:lineRule="auto"/>
              <w:rPr>
                <w:rFonts w:ascii="Times New Roman" w:hAnsi="Times New Roman"/>
                <w:i/>
                <w:color w:val="000000"/>
                <w:sz w:val="24"/>
                <w:szCs w:val="24"/>
              </w:rPr>
            </w:pPr>
          </w:p>
        </w:tc>
        <w:tc>
          <w:tcPr>
            <w:tcW w:w="555" w:type="dxa"/>
            <w:gridSpan w:val="2"/>
            <w:shd w:val="clear" w:color="auto" w:fill="FFFFFF"/>
          </w:tcPr>
          <w:p w14:paraId="77759742" w14:textId="77777777" w:rsidR="00595C88" w:rsidRPr="00D05697" w:rsidRDefault="00595C88" w:rsidP="00595C88">
            <w:pPr>
              <w:spacing w:line="240" w:lineRule="auto"/>
              <w:jc w:val="center"/>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7538B955" w14:textId="77777777" w:rsidR="00595C88" w:rsidRPr="00D05697" w:rsidRDefault="00595C88" w:rsidP="00595C88">
            <w:pPr>
              <w:spacing w:line="240" w:lineRule="auto"/>
              <w:jc w:val="center"/>
              <w:rPr>
                <w:rFonts w:ascii="Times New Roman" w:hAnsi="Times New Roman"/>
                <w:color w:val="000000"/>
                <w:sz w:val="24"/>
                <w:szCs w:val="24"/>
              </w:rPr>
            </w:pPr>
            <w:r w:rsidRPr="00D05697">
              <w:rPr>
                <w:rFonts w:ascii="Times New Roman" w:hAnsi="Times New Roman"/>
                <w:color w:val="000000"/>
                <w:sz w:val="24"/>
                <w:szCs w:val="24"/>
              </w:rPr>
              <w:t>1</w:t>
            </w:r>
          </w:p>
        </w:tc>
        <w:tc>
          <w:tcPr>
            <w:tcW w:w="556" w:type="dxa"/>
            <w:gridSpan w:val="2"/>
            <w:shd w:val="clear" w:color="auto" w:fill="FFFFFF"/>
          </w:tcPr>
          <w:p w14:paraId="1C2AE38C" w14:textId="77777777" w:rsidR="00595C88" w:rsidRPr="00D05697" w:rsidRDefault="00595C88" w:rsidP="00595C88">
            <w:pPr>
              <w:spacing w:line="240" w:lineRule="auto"/>
              <w:jc w:val="center"/>
              <w:rPr>
                <w:rFonts w:ascii="Times New Roman" w:hAnsi="Times New Roman"/>
                <w:color w:val="000000"/>
                <w:sz w:val="24"/>
                <w:szCs w:val="24"/>
              </w:rPr>
            </w:pPr>
            <w:r w:rsidRPr="00D05697">
              <w:rPr>
                <w:rFonts w:ascii="Times New Roman" w:hAnsi="Times New Roman"/>
                <w:color w:val="000000"/>
                <w:sz w:val="24"/>
                <w:szCs w:val="24"/>
              </w:rPr>
              <w:t>2</w:t>
            </w:r>
          </w:p>
        </w:tc>
        <w:tc>
          <w:tcPr>
            <w:tcW w:w="555" w:type="dxa"/>
            <w:gridSpan w:val="3"/>
            <w:shd w:val="clear" w:color="auto" w:fill="FFFFFF"/>
          </w:tcPr>
          <w:p w14:paraId="34683A77" w14:textId="77777777" w:rsidR="00595C88" w:rsidRPr="00D05697" w:rsidRDefault="00595C88" w:rsidP="00595C88">
            <w:pPr>
              <w:spacing w:line="240" w:lineRule="auto"/>
              <w:jc w:val="center"/>
              <w:rPr>
                <w:rFonts w:ascii="Times New Roman" w:hAnsi="Times New Roman"/>
                <w:color w:val="000000"/>
                <w:sz w:val="24"/>
                <w:szCs w:val="24"/>
              </w:rPr>
            </w:pPr>
            <w:r w:rsidRPr="00D05697">
              <w:rPr>
                <w:rFonts w:ascii="Times New Roman" w:hAnsi="Times New Roman"/>
                <w:color w:val="000000"/>
                <w:sz w:val="24"/>
                <w:szCs w:val="24"/>
              </w:rPr>
              <w:t>3</w:t>
            </w:r>
          </w:p>
        </w:tc>
        <w:tc>
          <w:tcPr>
            <w:tcW w:w="556" w:type="dxa"/>
            <w:gridSpan w:val="2"/>
            <w:shd w:val="clear" w:color="auto" w:fill="FFFFFF"/>
          </w:tcPr>
          <w:p w14:paraId="1D97C172" w14:textId="77777777" w:rsidR="00595C88" w:rsidRPr="00D05697" w:rsidRDefault="00595C88" w:rsidP="00595C88">
            <w:pPr>
              <w:spacing w:line="240" w:lineRule="auto"/>
              <w:jc w:val="center"/>
              <w:rPr>
                <w:rFonts w:ascii="Times New Roman" w:hAnsi="Times New Roman"/>
                <w:color w:val="000000"/>
                <w:sz w:val="24"/>
                <w:szCs w:val="24"/>
              </w:rPr>
            </w:pPr>
            <w:r w:rsidRPr="00D05697">
              <w:rPr>
                <w:rFonts w:ascii="Times New Roman" w:hAnsi="Times New Roman"/>
                <w:color w:val="000000"/>
                <w:sz w:val="24"/>
                <w:szCs w:val="24"/>
              </w:rPr>
              <w:t>4</w:t>
            </w:r>
          </w:p>
        </w:tc>
        <w:tc>
          <w:tcPr>
            <w:tcW w:w="556" w:type="dxa"/>
            <w:shd w:val="clear" w:color="auto" w:fill="FFFFFF"/>
          </w:tcPr>
          <w:p w14:paraId="61E50090" w14:textId="77777777" w:rsidR="00595C88" w:rsidRPr="00D05697" w:rsidRDefault="00595C88" w:rsidP="00595C88">
            <w:pPr>
              <w:spacing w:line="240" w:lineRule="auto"/>
              <w:jc w:val="center"/>
              <w:rPr>
                <w:rFonts w:ascii="Times New Roman" w:hAnsi="Times New Roman"/>
                <w:color w:val="000000"/>
                <w:sz w:val="24"/>
                <w:szCs w:val="24"/>
              </w:rPr>
            </w:pPr>
            <w:r w:rsidRPr="00D05697">
              <w:rPr>
                <w:rFonts w:ascii="Times New Roman" w:hAnsi="Times New Roman"/>
                <w:color w:val="000000"/>
                <w:sz w:val="24"/>
                <w:szCs w:val="24"/>
              </w:rPr>
              <w:t>5</w:t>
            </w:r>
          </w:p>
        </w:tc>
        <w:tc>
          <w:tcPr>
            <w:tcW w:w="556" w:type="dxa"/>
            <w:gridSpan w:val="3"/>
            <w:shd w:val="clear" w:color="auto" w:fill="FFFFFF"/>
          </w:tcPr>
          <w:p w14:paraId="29537F76" w14:textId="77777777" w:rsidR="00595C88" w:rsidRPr="00D05697" w:rsidRDefault="00595C88" w:rsidP="00595C88">
            <w:pPr>
              <w:spacing w:line="240" w:lineRule="auto"/>
              <w:jc w:val="center"/>
              <w:rPr>
                <w:rFonts w:ascii="Times New Roman" w:hAnsi="Times New Roman"/>
                <w:color w:val="000000"/>
                <w:sz w:val="24"/>
                <w:szCs w:val="24"/>
              </w:rPr>
            </w:pPr>
            <w:r w:rsidRPr="00D05697">
              <w:rPr>
                <w:rFonts w:ascii="Times New Roman" w:hAnsi="Times New Roman"/>
                <w:color w:val="000000"/>
                <w:sz w:val="24"/>
                <w:szCs w:val="24"/>
              </w:rPr>
              <w:t>6</w:t>
            </w:r>
          </w:p>
        </w:tc>
        <w:tc>
          <w:tcPr>
            <w:tcW w:w="555" w:type="dxa"/>
            <w:gridSpan w:val="3"/>
            <w:shd w:val="clear" w:color="auto" w:fill="FFFFFF"/>
          </w:tcPr>
          <w:p w14:paraId="034DA1F8" w14:textId="77777777" w:rsidR="00595C88" w:rsidRPr="00D05697" w:rsidRDefault="00595C88" w:rsidP="00595C88">
            <w:pPr>
              <w:spacing w:line="240" w:lineRule="auto"/>
              <w:jc w:val="center"/>
              <w:rPr>
                <w:rFonts w:ascii="Times New Roman" w:hAnsi="Times New Roman"/>
                <w:color w:val="000000"/>
                <w:sz w:val="24"/>
                <w:szCs w:val="24"/>
              </w:rPr>
            </w:pPr>
            <w:r w:rsidRPr="00D05697">
              <w:rPr>
                <w:rFonts w:ascii="Times New Roman" w:hAnsi="Times New Roman"/>
                <w:color w:val="000000"/>
                <w:sz w:val="24"/>
                <w:szCs w:val="24"/>
              </w:rPr>
              <w:t>7</w:t>
            </w:r>
          </w:p>
        </w:tc>
        <w:tc>
          <w:tcPr>
            <w:tcW w:w="556" w:type="dxa"/>
            <w:gridSpan w:val="2"/>
            <w:shd w:val="clear" w:color="auto" w:fill="FFFFFF"/>
          </w:tcPr>
          <w:p w14:paraId="544B613D" w14:textId="77777777" w:rsidR="00595C88" w:rsidRPr="00D05697" w:rsidRDefault="00595C88" w:rsidP="00595C88">
            <w:pPr>
              <w:spacing w:line="240" w:lineRule="auto"/>
              <w:jc w:val="center"/>
              <w:rPr>
                <w:rFonts w:ascii="Times New Roman" w:hAnsi="Times New Roman"/>
                <w:color w:val="000000"/>
                <w:sz w:val="24"/>
                <w:szCs w:val="24"/>
              </w:rPr>
            </w:pPr>
            <w:r w:rsidRPr="00D05697">
              <w:rPr>
                <w:rFonts w:ascii="Times New Roman" w:hAnsi="Times New Roman"/>
                <w:color w:val="000000"/>
                <w:sz w:val="24"/>
                <w:szCs w:val="24"/>
              </w:rPr>
              <w:t>8</w:t>
            </w:r>
          </w:p>
        </w:tc>
        <w:tc>
          <w:tcPr>
            <w:tcW w:w="556" w:type="dxa"/>
            <w:gridSpan w:val="2"/>
            <w:shd w:val="clear" w:color="auto" w:fill="FFFFFF"/>
          </w:tcPr>
          <w:p w14:paraId="6ADE3933" w14:textId="77777777" w:rsidR="00595C88" w:rsidRPr="00D05697" w:rsidRDefault="00595C88" w:rsidP="00595C88">
            <w:pPr>
              <w:spacing w:line="240" w:lineRule="auto"/>
              <w:jc w:val="center"/>
              <w:rPr>
                <w:rFonts w:ascii="Times New Roman" w:hAnsi="Times New Roman"/>
                <w:color w:val="000000"/>
                <w:sz w:val="24"/>
                <w:szCs w:val="24"/>
              </w:rPr>
            </w:pPr>
            <w:r w:rsidRPr="00D05697">
              <w:rPr>
                <w:rFonts w:ascii="Times New Roman" w:hAnsi="Times New Roman"/>
                <w:color w:val="000000"/>
                <w:sz w:val="24"/>
                <w:szCs w:val="24"/>
              </w:rPr>
              <w:t>9</w:t>
            </w:r>
          </w:p>
        </w:tc>
        <w:tc>
          <w:tcPr>
            <w:tcW w:w="556" w:type="dxa"/>
            <w:shd w:val="clear" w:color="auto" w:fill="FFFFFF"/>
          </w:tcPr>
          <w:p w14:paraId="6A455AC7" w14:textId="77777777" w:rsidR="00595C88" w:rsidRPr="00D05697" w:rsidRDefault="00595C88" w:rsidP="00595C88">
            <w:pPr>
              <w:spacing w:line="240" w:lineRule="auto"/>
              <w:jc w:val="center"/>
              <w:rPr>
                <w:rFonts w:ascii="Times New Roman" w:hAnsi="Times New Roman"/>
                <w:color w:val="000000"/>
                <w:sz w:val="24"/>
                <w:szCs w:val="24"/>
              </w:rPr>
            </w:pPr>
            <w:r w:rsidRPr="00D05697">
              <w:rPr>
                <w:rFonts w:ascii="Times New Roman" w:hAnsi="Times New Roman"/>
                <w:color w:val="000000"/>
                <w:sz w:val="24"/>
                <w:szCs w:val="24"/>
              </w:rPr>
              <w:t>10</w:t>
            </w:r>
          </w:p>
        </w:tc>
        <w:tc>
          <w:tcPr>
            <w:tcW w:w="1534" w:type="dxa"/>
            <w:gridSpan w:val="2"/>
            <w:shd w:val="clear" w:color="auto" w:fill="FFFFFF"/>
          </w:tcPr>
          <w:p w14:paraId="01B86AE0" w14:textId="77777777" w:rsidR="00595C88" w:rsidRPr="00D05697" w:rsidRDefault="00595C88" w:rsidP="00595C88">
            <w:pPr>
              <w:spacing w:before="40" w:after="40" w:line="240" w:lineRule="auto"/>
              <w:jc w:val="center"/>
              <w:rPr>
                <w:rFonts w:ascii="Times New Roman" w:hAnsi="Times New Roman"/>
                <w:i/>
                <w:color w:val="000000"/>
                <w:spacing w:val="-2"/>
                <w:sz w:val="24"/>
                <w:szCs w:val="24"/>
              </w:rPr>
            </w:pPr>
            <w:r w:rsidRPr="00D05697">
              <w:rPr>
                <w:rFonts w:ascii="Times New Roman" w:hAnsi="Times New Roman"/>
                <w:i/>
                <w:color w:val="000000"/>
                <w:spacing w:val="-2"/>
                <w:sz w:val="24"/>
                <w:szCs w:val="24"/>
              </w:rPr>
              <w:t>Łącznie (0-10)</w:t>
            </w:r>
          </w:p>
        </w:tc>
      </w:tr>
      <w:tr w:rsidR="00871A80" w:rsidRPr="00033B48" w14:paraId="3B3E6139" w14:textId="77777777" w:rsidTr="0053280C">
        <w:trPr>
          <w:trHeight w:val="321"/>
        </w:trPr>
        <w:tc>
          <w:tcPr>
            <w:tcW w:w="3014" w:type="dxa"/>
            <w:gridSpan w:val="4"/>
            <w:shd w:val="clear" w:color="auto" w:fill="FFFFFF"/>
            <w:vAlign w:val="center"/>
          </w:tcPr>
          <w:p w14:paraId="6D35E0FB" w14:textId="77777777"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b/>
                <w:color w:val="000000"/>
                <w:sz w:val="24"/>
                <w:szCs w:val="24"/>
              </w:rPr>
              <w:t>Dochody ogółem</w:t>
            </w:r>
          </w:p>
        </w:tc>
        <w:tc>
          <w:tcPr>
            <w:tcW w:w="555" w:type="dxa"/>
            <w:gridSpan w:val="2"/>
            <w:shd w:val="clear" w:color="auto" w:fill="FFFFFF"/>
          </w:tcPr>
          <w:p w14:paraId="4704FBBD" w14:textId="024051F4"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253A538F" w14:textId="7894B5E9"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49A45CE1" w14:textId="7C13954B"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5" w:type="dxa"/>
            <w:gridSpan w:val="3"/>
            <w:shd w:val="clear" w:color="auto" w:fill="FFFFFF"/>
          </w:tcPr>
          <w:p w14:paraId="418C0BF7" w14:textId="16535383"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34B3CF9C" w14:textId="15B78669"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shd w:val="clear" w:color="auto" w:fill="FFFFFF"/>
          </w:tcPr>
          <w:p w14:paraId="71305515" w14:textId="3CAC1800"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3"/>
            <w:shd w:val="clear" w:color="auto" w:fill="FFFFFF"/>
          </w:tcPr>
          <w:p w14:paraId="663CF66B" w14:textId="31219822"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5" w:type="dxa"/>
            <w:gridSpan w:val="3"/>
            <w:shd w:val="clear" w:color="auto" w:fill="FFFFFF"/>
          </w:tcPr>
          <w:p w14:paraId="4BC6675F" w14:textId="70D62BE9"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1578950F" w14:textId="635F887F"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4DFB295B" w14:textId="63045DE8"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shd w:val="clear" w:color="auto" w:fill="FFFFFF"/>
          </w:tcPr>
          <w:p w14:paraId="376E57C8" w14:textId="39936B18"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1534" w:type="dxa"/>
            <w:gridSpan w:val="2"/>
            <w:shd w:val="clear" w:color="auto" w:fill="FFFFFF"/>
          </w:tcPr>
          <w:p w14:paraId="1F2A77B0" w14:textId="67803B14" w:rsidR="00871A80" w:rsidRPr="00D05697" w:rsidRDefault="00871A80" w:rsidP="00871A80">
            <w:pPr>
              <w:spacing w:line="240" w:lineRule="auto"/>
              <w:rPr>
                <w:rFonts w:ascii="Times New Roman" w:hAnsi="Times New Roman"/>
                <w:color w:val="000000"/>
                <w:spacing w:val="-2"/>
                <w:sz w:val="24"/>
                <w:szCs w:val="24"/>
              </w:rPr>
            </w:pPr>
            <w:r w:rsidRPr="00D05697">
              <w:rPr>
                <w:rFonts w:ascii="Times New Roman" w:hAnsi="Times New Roman"/>
                <w:color w:val="000000"/>
                <w:sz w:val="24"/>
                <w:szCs w:val="24"/>
              </w:rPr>
              <w:t>0</w:t>
            </w:r>
          </w:p>
        </w:tc>
      </w:tr>
      <w:tr w:rsidR="00871A80" w:rsidRPr="00033B48" w14:paraId="63936F58" w14:textId="77777777" w:rsidTr="0053280C">
        <w:trPr>
          <w:trHeight w:val="321"/>
        </w:trPr>
        <w:tc>
          <w:tcPr>
            <w:tcW w:w="3014" w:type="dxa"/>
            <w:gridSpan w:val="4"/>
            <w:shd w:val="clear" w:color="auto" w:fill="FFFFFF"/>
            <w:vAlign w:val="center"/>
          </w:tcPr>
          <w:p w14:paraId="632489B8" w14:textId="77777777"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budżet państwa</w:t>
            </w:r>
          </w:p>
        </w:tc>
        <w:tc>
          <w:tcPr>
            <w:tcW w:w="555" w:type="dxa"/>
            <w:gridSpan w:val="2"/>
            <w:shd w:val="clear" w:color="auto" w:fill="FFFFFF"/>
          </w:tcPr>
          <w:p w14:paraId="0BC432A9" w14:textId="3D67536B"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00D83692" w14:textId="3FF811F4"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01B222DC" w14:textId="2AD58E91"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5" w:type="dxa"/>
            <w:gridSpan w:val="3"/>
            <w:shd w:val="clear" w:color="auto" w:fill="FFFFFF"/>
          </w:tcPr>
          <w:p w14:paraId="29EFFEA8" w14:textId="5DCB0ABE"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770942DD" w14:textId="51681275"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shd w:val="clear" w:color="auto" w:fill="FFFFFF"/>
          </w:tcPr>
          <w:p w14:paraId="395702F2" w14:textId="209900E0"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3"/>
            <w:shd w:val="clear" w:color="auto" w:fill="FFFFFF"/>
          </w:tcPr>
          <w:p w14:paraId="5A18DA4D" w14:textId="28C35A35"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5" w:type="dxa"/>
            <w:gridSpan w:val="3"/>
            <w:shd w:val="clear" w:color="auto" w:fill="FFFFFF"/>
          </w:tcPr>
          <w:p w14:paraId="067B9464" w14:textId="69686C02"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4DF880B1" w14:textId="660470E0"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516DE143" w14:textId="536B2DA5"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shd w:val="clear" w:color="auto" w:fill="FFFFFF"/>
          </w:tcPr>
          <w:p w14:paraId="7F67B4CE" w14:textId="51C2FED6"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1534" w:type="dxa"/>
            <w:gridSpan w:val="2"/>
            <w:shd w:val="clear" w:color="auto" w:fill="FFFFFF"/>
          </w:tcPr>
          <w:p w14:paraId="48905180" w14:textId="40B74729" w:rsidR="00871A80" w:rsidRPr="00D05697" w:rsidRDefault="00871A80" w:rsidP="00871A80">
            <w:pPr>
              <w:spacing w:line="240" w:lineRule="auto"/>
              <w:rPr>
                <w:rFonts w:ascii="Times New Roman" w:hAnsi="Times New Roman"/>
                <w:color w:val="000000"/>
                <w:spacing w:val="-2"/>
                <w:sz w:val="24"/>
                <w:szCs w:val="24"/>
              </w:rPr>
            </w:pPr>
            <w:r w:rsidRPr="00D05697">
              <w:rPr>
                <w:rFonts w:ascii="Times New Roman" w:hAnsi="Times New Roman"/>
                <w:color w:val="000000"/>
                <w:sz w:val="24"/>
                <w:szCs w:val="24"/>
              </w:rPr>
              <w:t>0</w:t>
            </w:r>
          </w:p>
        </w:tc>
      </w:tr>
      <w:tr w:rsidR="00871A80" w:rsidRPr="00033B48" w14:paraId="2ADFB1D7" w14:textId="77777777" w:rsidTr="0053280C">
        <w:trPr>
          <w:trHeight w:val="344"/>
        </w:trPr>
        <w:tc>
          <w:tcPr>
            <w:tcW w:w="3014" w:type="dxa"/>
            <w:gridSpan w:val="4"/>
            <w:shd w:val="clear" w:color="auto" w:fill="FFFFFF"/>
            <w:vAlign w:val="center"/>
          </w:tcPr>
          <w:p w14:paraId="2A2366A0" w14:textId="77777777"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JST</w:t>
            </w:r>
          </w:p>
        </w:tc>
        <w:tc>
          <w:tcPr>
            <w:tcW w:w="555" w:type="dxa"/>
            <w:gridSpan w:val="2"/>
            <w:shd w:val="clear" w:color="auto" w:fill="FFFFFF"/>
          </w:tcPr>
          <w:p w14:paraId="2B24D1EE" w14:textId="5231CD8E"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3E966E14" w14:textId="5BA79C5F"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2C09CE35" w14:textId="4826D5E8"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5" w:type="dxa"/>
            <w:gridSpan w:val="3"/>
            <w:shd w:val="clear" w:color="auto" w:fill="FFFFFF"/>
          </w:tcPr>
          <w:p w14:paraId="0F389209" w14:textId="14E9069E"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08472164" w14:textId="4AAF8D00"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shd w:val="clear" w:color="auto" w:fill="FFFFFF"/>
          </w:tcPr>
          <w:p w14:paraId="2BD89CB2" w14:textId="4BC11C48"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3"/>
            <w:shd w:val="clear" w:color="auto" w:fill="FFFFFF"/>
          </w:tcPr>
          <w:p w14:paraId="30002850" w14:textId="4A66C37B"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5" w:type="dxa"/>
            <w:gridSpan w:val="3"/>
            <w:shd w:val="clear" w:color="auto" w:fill="FFFFFF"/>
          </w:tcPr>
          <w:p w14:paraId="11176220" w14:textId="636630E7"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491C3007" w14:textId="626F0B59"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596B648B" w14:textId="591331B8"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shd w:val="clear" w:color="auto" w:fill="FFFFFF"/>
          </w:tcPr>
          <w:p w14:paraId="07FD06D6" w14:textId="50673842"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1534" w:type="dxa"/>
            <w:gridSpan w:val="2"/>
            <w:shd w:val="clear" w:color="auto" w:fill="FFFFFF"/>
          </w:tcPr>
          <w:p w14:paraId="10FBE728" w14:textId="22E622B5"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r>
      <w:tr w:rsidR="00871A80" w:rsidRPr="00033B48" w14:paraId="69F91F24" w14:textId="77777777" w:rsidTr="0053280C">
        <w:trPr>
          <w:trHeight w:val="344"/>
        </w:trPr>
        <w:tc>
          <w:tcPr>
            <w:tcW w:w="3014" w:type="dxa"/>
            <w:gridSpan w:val="4"/>
            <w:shd w:val="clear" w:color="auto" w:fill="FFFFFF"/>
            <w:vAlign w:val="center"/>
          </w:tcPr>
          <w:p w14:paraId="62B64372" w14:textId="77777777"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pozostałe jednostki (oddzielnie)</w:t>
            </w:r>
          </w:p>
        </w:tc>
        <w:tc>
          <w:tcPr>
            <w:tcW w:w="555" w:type="dxa"/>
            <w:gridSpan w:val="2"/>
            <w:shd w:val="clear" w:color="auto" w:fill="FFFFFF"/>
          </w:tcPr>
          <w:p w14:paraId="05464B0D" w14:textId="71CE2E5A"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74B9F501" w14:textId="0DD5202B"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1CF92BEA" w14:textId="443FD3A2"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5" w:type="dxa"/>
            <w:gridSpan w:val="3"/>
            <w:shd w:val="clear" w:color="auto" w:fill="FFFFFF"/>
          </w:tcPr>
          <w:p w14:paraId="1E166FED" w14:textId="5FA6C8AA"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5DD08840" w14:textId="1C6D014B"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shd w:val="clear" w:color="auto" w:fill="FFFFFF"/>
          </w:tcPr>
          <w:p w14:paraId="2407DF16" w14:textId="1CD7646D"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3"/>
            <w:shd w:val="clear" w:color="auto" w:fill="FFFFFF"/>
          </w:tcPr>
          <w:p w14:paraId="5D060EAE" w14:textId="0E347CB2"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5" w:type="dxa"/>
            <w:gridSpan w:val="3"/>
            <w:shd w:val="clear" w:color="auto" w:fill="FFFFFF"/>
          </w:tcPr>
          <w:p w14:paraId="4C6E122F" w14:textId="0EA07D01"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35BC8146" w14:textId="3DE835A7"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1BB818FF" w14:textId="105F1A8B"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shd w:val="clear" w:color="auto" w:fill="FFFFFF"/>
          </w:tcPr>
          <w:p w14:paraId="00A3BBD1" w14:textId="2B89F5ED"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1534" w:type="dxa"/>
            <w:gridSpan w:val="2"/>
            <w:shd w:val="clear" w:color="auto" w:fill="FFFFFF"/>
          </w:tcPr>
          <w:p w14:paraId="2468F7DA" w14:textId="66AC5E1C"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r>
      <w:tr w:rsidR="00871A80" w:rsidRPr="00033B48" w14:paraId="45D2C479" w14:textId="77777777" w:rsidTr="0053280C">
        <w:trPr>
          <w:trHeight w:val="330"/>
        </w:trPr>
        <w:tc>
          <w:tcPr>
            <w:tcW w:w="3014" w:type="dxa"/>
            <w:gridSpan w:val="4"/>
            <w:shd w:val="clear" w:color="auto" w:fill="FFFFFF"/>
            <w:vAlign w:val="center"/>
          </w:tcPr>
          <w:p w14:paraId="152C8F38" w14:textId="77777777"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b/>
                <w:color w:val="000000"/>
                <w:sz w:val="24"/>
                <w:szCs w:val="24"/>
              </w:rPr>
              <w:t>Wydatki ogółem</w:t>
            </w:r>
          </w:p>
        </w:tc>
        <w:tc>
          <w:tcPr>
            <w:tcW w:w="555" w:type="dxa"/>
            <w:gridSpan w:val="2"/>
            <w:shd w:val="clear" w:color="auto" w:fill="FFFFFF"/>
          </w:tcPr>
          <w:p w14:paraId="697F1F1F" w14:textId="7DA35047"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4CD9E8EA" w14:textId="7D4BBA83"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5EC92E20" w14:textId="5D3F2435"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5" w:type="dxa"/>
            <w:gridSpan w:val="3"/>
            <w:shd w:val="clear" w:color="auto" w:fill="FFFFFF"/>
          </w:tcPr>
          <w:p w14:paraId="66FB68A6" w14:textId="5A5CDF64"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55EA9F24" w14:textId="37F2ECE0"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shd w:val="clear" w:color="auto" w:fill="FFFFFF"/>
          </w:tcPr>
          <w:p w14:paraId="24E80511" w14:textId="7D761647"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3"/>
            <w:shd w:val="clear" w:color="auto" w:fill="FFFFFF"/>
          </w:tcPr>
          <w:p w14:paraId="7417209C" w14:textId="364197E2"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5" w:type="dxa"/>
            <w:gridSpan w:val="3"/>
            <w:shd w:val="clear" w:color="auto" w:fill="FFFFFF"/>
          </w:tcPr>
          <w:p w14:paraId="364AECCB" w14:textId="0D6C76C5"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736B05C7" w14:textId="151529DA"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6BC9A1EB" w14:textId="67F35234"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shd w:val="clear" w:color="auto" w:fill="FFFFFF"/>
          </w:tcPr>
          <w:p w14:paraId="3155B3AD" w14:textId="7CA59610"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1534" w:type="dxa"/>
            <w:gridSpan w:val="2"/>
            <w:shd w:val="clear" w:color="auto" w:fill="FFFFFF"/>
          </w:tcPr>
          <w:p w14:paraId="3FDABEB4" w14:textId="777AE9B5"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r>
      <w:tr w:rsidR="00871A80" w:rsidRPr="00033B48" w14:paraId="133292EE" w14:textId="77777777" w:rsidTr="0053280C">
        <w:trPr>
          <w:trHeight w:val="330"/>
        </w:trPr>
        <w:tc>
          <w:tcPr>
            <w:tcW w:w="3014" w:type="dxa"/>
            <w:gridSpan w:val="4"/>
            <w:shd w:val="clear" w:color="auto" w:fill="FFFFFF"/>
            <w:vAlign w:val="center"/>
          </w:tcPr>
          <w:p w14:paraId="41C841EE" w14:textId="77777777"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budżet państwa</w:t>
            </w:r>
          </w:p>
        </w:tc>
        <w:tc>
          <w:tcPr>
            <w:tcW w:w="555" w:type="dxa"/>
            <w:gridSpan w:val="2"/>
            <w:shd w:val="clear" w:color="auto" w:fill="FFFFFF"/>
          </w:tcPr>
          <w:p w14:paraId="3A96177C" w14:textId="4164B55F"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2B0FC996" w14:textId="4F8ED7A6"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17B55BA8" w14:textId="35F3E8DA"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5" w:type="dxa"/>
            <w:gridSpan w:val="3"/>
            <w:shd w:val="clear" w:color="auto" w:fill="FFFFFF"/>
          </w:tcPr>
          <w:p w14:paraId="2389FF8B" w14:textId="6938BC19"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001D443A" w14:textId="4095012B"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shd w:val="clear" w:color="auto" w:fill="FFFFFF"/>
          </w:tcPr>
          <w:p w14:paraId="7DCF188B" w14:textId="2F5AB2A7"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3"/>
            <w:shd w:val="clear" w:color="auto" w:fill="FFFFFF"/>
          </w:tcPr>
          <w:p w14:paraId="0CED8489" w14:textId="458476F3"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5" w:type="dxa"/>
            <w:gridSpan w:val="3"/>
            <w:shd w:val="clear" w:color="auto" w:fill="FFFFFF"/>
          </w:tcPr>
          <w:p w14:paraId="0F023D2F" w14:textId="05D430A8"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63F1FD81" w14:textId="385B517B"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55971800" w14:textId="2251BB38"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shd w:val="clear" w:color="auto" w:fill="FFFFFF"/>
          </w:tcPr>
          <w:p w14:paraId="2080A58C" w14:textId="34881D86"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1534" w:type="dxa"/>
            <w:gridSpan w:val="2"/>
            <w:shd w:val="clear" w:color="auto" w:fill="FFFFFF"/>
          </w:tcPr>
          <w:p w14:paraId="025BB4C5" w14:textId="64E170C6"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r>
      <w:tr w:rsidR="00871A80" w:rsidRPr="00033B48" w14:paraId="628465EA" w14:textId="77777777" w:rsidTr="0053280C">
        <w:trPr>
          <w:trHeight w:val="351"/>
        </w:trPr>
        <w:tc>
          <w:tcPr>
            <w:tcW w:w="3014" w:type="dxa"/>
            <w:gridSpan w:val="4"/>
            <w:shd w:val="clear" w:color="auto" w:fill="FFFFFF"/>
            <w:vAlign w:val="center"/>
          </w:tcPr>
          <w:p w14:paraId="163B7222" w14:textId="77777777"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JST</w:t>
            </w:r>
          </w:p>
        </w:tc>
        <w:tc>
          <w:tcPr>
            <w:tcW w:w="555" w:type="dxa"/>
            <w:gridSpan w:val="2"/>
            <w:shd w:val="clear" w:color="auto" w:fill="FFFFFF"/>
          </w:tcPr>
          <w:p w14:paraId="01963947" w14:textId="37B046A1"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7B2011BC" w14:textId="00925B25"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18555B4D" w14:textId="09BF46F4"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5" w:type="dxa"/>
            <w:gridSpan w:val="3"/>
            <w:shd w:val="clear" w:color="auto" w:fill="FFFFFF"/>
          </w:tcPr>
          <w:p w14:paraId="1D9C5DAF" w14:textId="0A11AE13"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12C2CBB5" w14:textId="634FCD0E"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shd w:val="clear" w:color="auto" w:fill="FFFFFF"/>
          </w:tcPr>
          <w:p w14:paraId="560D9D05" w14:textId="077A727C"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3"/>
            <w:shd w:val="clear" w:color="auto" w:fill="FFFFFF"/>
          </w:tcPr>
          <w:p w14:paraId="634DA07B" w14:textId="7F86B97D"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5" w:type="dxa"/>
            <w:gridSpan w:val="3"/>
            <w:shd w:val="clear" w:color="auto" w:fill="FFFFFF"/>
          </w:tcPr>
          <w:p w14:paraId="34127C74" w14:textId="6E86E452"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443D4BF3" w14:textId="47F21DFE"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7E9792FF" w14:textId="2E756B06"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shd w:val="clear" w:color="auto" w:fill="FFFFFF"/>
          </w:tcPr>
          <w:p w14:paraId="17EF4C28" w14:textId="69977F2C"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1534" w:type="dxa"/>
            <w:gridSpan w:val="2"/>
            <w:shd w:val="clear" w:color="auto" w:fill="FFFFFF"/>
          </w:tcPr>
          <w:p w14:paraId="52495666" w14:textId="73F6AB73"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r>
      <w:tr w:rsidR="00871A80" w:rsidRPr="00033B48" w14:paraId="266A62E5" w14:textId="77777777" w:rsidTr="0053280C">
        <w:trPr>
          <w:trHeight w:val="351"/>
        </w:trPr>
        <w:tc>
          <w:tcPr>
            <w:tcW w:w="3014" w:type="dxa"/>
            <w:gridSpan w:val="4"/>
            <w:shd w:val="clear" w:color="auto" w:fill="FFFFFF"/>
            <w:vAlign w:val="center"/>
          </w:tcPr>
          <w:p w14:paraId="0C469A34" w14:textId="77777777"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pozostałe jednostki (oddzielnie)</w:t>
            </w:r>
          </w:p>
        </w:tc>
        <w:tc>
          <w:tcPr>
            <w:tcW w:w="555" w:type="dxa"/>
            <w:gridSpan w:val="2"/>
            <w:shd w:val="clear" w:color="auto" w:fill="FFFFFF"/>
          </w:tcPr>
          <w:p w14:paraId="0B96685A" w14:textId="591C4D44"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242E05A9" w14:textId="2DCD1886"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149BEA61" w14:textId="303298F5"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5" w:type="dxa"/>
            <w:gridSpan w:val="3"/>
            <w:shd w:val="clear" w:color="auto" w:fill="FFFFFF"/>
          </w:tcPr>
          <w:p w14:paraId="3C7B57BE" w14:textId="2022C566"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62E1D8F5" w14:textId="70FB9E16"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shd w:val="clear" w:color="auto" w:fill="FFFFFF"/>
          </w:tcPr>
          <w:p w14:paraId="0D4D0D0B" w14:textId="7FECAF7E"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3"/>
            <w:shd w:val="clear" w:color="auto" w:fill="FFFFFF"/>
          </w:tcPr>
          <w:p w14:paraId="5FFA10E6" w14:textId="36157E91"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5" w:type="dxa"/>
            <w:gridSpan w:val="3"/>
            <w:shd w:val="clear" w:color="auto" w:fill="FFFFFF"/>
          </w:tcPr>
          <w:p w14:paraId="17672059" w14:textId="71A55C03"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6A50B32C" w14:textId="6FC7C909"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34F68BB5" w14:textId="5E78587A"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shd w:val="clear" w:color="auto" w:fill="FFFFFF"/>
          </w:tcPr>
          <w:p w14:paraId="715A67BB" w14:textId="49E7240D"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1534" w:type="dxa"/>
            <w:gridSpan w:val="2"/>
            <w:shd w:val="clear" w:color="auto" w:fill="FFFFFF"/>
          </w:tcPr>
          <w:p w14:paraId="344A6DFD" w14:textId="435ED77F"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r>
      <w:tr w:rsidR="00871A80" w:rsidRPr="00033B48" w14:paraId="17E75BB4" w14:textId="77777777" w:rsidTr="0053280C">
        <w:trPr>
          <w:trHeight w:val="360"/>
        </w:trPr>
        <w:tc>
          <w:tcPr>
            <w:tcW w:w="3014" w:type="dxa"/>
            <w:gridSpan w:val="4"/>
            <w:shd w:val="clear" w:color="auto" w:fill="FFFFFF"/>
            <w:vAlign w:val="center"/>
          </w:tcPr>
          <w:p w14:paraId="5A60B8D1" w14:textId="77777777"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b/>
                <w:color w:val="000000"/>
                <w:sz w:val="24"/>
                <w:szCs w:val="24"/>
              </w:rPr>
              <w:t>Saldo ogółem</w:t>
            </w:r>
          </w:p>
        </w:tc>
        <w:tc>
          <w:tcPr>
            <w:tcW w:w="555" w:type="dxa"/>
            <w:gridSpan w:val="2"/>
            <w:shd w:val="clear" w:color="auto" w:fill="FFFFFF"/>
          </w:tcPr>
          <w:p w14:paraId="4B9F0AA8" w14:textId="287DF5A2"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2F68BBFA" w14:textId="0345212C"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600043B4" w14:textId="0E1635E2"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5" w:type="dxa"/>
            <w:gridSpan w:val="3"/>
            <w:shd w:val="clear" w:color="auto" w:fill="FFFFFF"/>
          </w:tcPr>
          <w:p w14:paraId="05324116" w14:textId="051DC89E"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73F7A3A8" w14:textId="62A611A4"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shd w:val="clear" w:color="auto" w:fill="FFFFFF"/>
          </w:tcPr>
          <w:p w14:paraId="7E4E6CD9" w14:textId="17FF9BEB"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3"/>
            <w:shd w:val="clear" w:color="auto" w:fill="FFFFFF"/>
          </w:tcPr>
          <w:p w14:paraId="21B2B4C0" w14:textId="440D49F5"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5" w:type="dxa"/>
            <w:gridSpan w:val="3"/>
            <w:shd w:val="clear" w:color="auto" w:fill="FFFFFF"/>
          </w:tcPr>
          <w:p w14:paraId="5FCCDD39" w14:textId="4CDB0FB3"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514FCBBE" w14:textId="0AF61BC0"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7D481169" w14:textId="1E934070"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shd w:val="clear" w:color="auto" w:fill="FFFFFF"/>
          </w:tcPr>
          <w:p w14:paraId="50D0DDBB" w14:textId="121BB832"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1534" w:type="dxa"/>
            <w:gridSpan w:val="2"/>
            <w:shd w:val="clear" w:color="auto" w:fill="FFFFFF"/>
          </w:tcPr>
          <w:p w14:paraId="77D7410C" w14:textId="4C760FC9"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r>
      <w:tr w:rsidR="00871A80" w:rsidRPr="00033B48" w14:paraId="07B424A7" w14:textId="77777777" w:rsidTr="0053280C">
        <w:trPr>
          <w:trHeight w:val="360"/>
        </w:trPr>
        <w:tc>
          <w:tcPr>
            <w:tcW w:w="3014" w:type="dxa"/>
            <w:gridSpan w:val="4"/>
            <w:shd w:val="clear" w:color="auto" w:fill="FFFFFF"/>
            <w:vAlign w:val="center"/>
          </w:tcPr>
          <w:p w14:paraId="21B5C310" w14:textId="77777777"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budżet państwa</w:t>
            </w:r>
          </w:p>
        </w:tc>
        <w:tc>
          <w:tcPr>
            <w:tcW w:w="555" w:type="dxa"/>
            <w:gridSpan w:val="2"/>
            <w:shd w:val="clear" w:color="auto" w:fill="FFFFFF"/>
          </w:tcPr>
          <w:p w14:paraId="5508F8E7" w14:textId="68485FA5"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5441A9AE" w14:textId="3B8A1DAD"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76176A66" w14:textId="3CA13C6E"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5" w:type="dxa"/>
            <w:gridSpan w:val="3"/>
            <w:shd w:val="clear" w:color="auto" w:fill="FFFFFF"/>
          </w:tcPr>
          <w:p w14:paraId="7B59C45C" w14:textId="109825D9"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3DCF009F" w14:textId="37F0C029"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shd w:val="clear" w:color="auto" w:fill="FFFFFF"/>
          </w:tcPr>
          <w:p w14:paraId="4957AFB3" w14:textId="2A08C5EE"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3"/>
            <w:shd w:val="clear" w:color="auto" w:fill="FFFFFF"/>
          </w:tcPr>
          <w:p w14:paraId="43FC3AFF" w14:textId="2D9DF78E"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5" w:type="dxa"/>
            <w:gridSpan w:val="3"/>
            <w:shd w:val="clear" w:color="auto" w:fill="FFFFFF"/>
          </w:tcPr>
          <w:p w14:paraId="3E7021BA" w14:textId="202ECFFD"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6ECAB548" w14:textId="3EEDE8BD"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71998DC1" w14:textId="48066D9B"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shd w:val="clear" w:color="auto" w:fill="FFFFFF"/>
          </w:tcPr>
          <w:p w14:paraId="2AE01608" w14:textId="39A7B012"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1534" w:type="dxa"/>
            <w:gridSpan w:val="2"/>
            <w:shd w:val="clear" w:color="auto" w:fill="FFFFFF"/>
          </w:tcPr>
          <w:p w14:paraId="71BA008D" w14:textId="711A776E"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r>
      <w:tr w:rsidR="00871A80" w:rsidRPr="00033B48" w14:paraId="20EDDEA1" w14:textId="77777777" w:rsidTr="0053280C">
        <w:trPr>
          <w:trHeight w:val="357"/>
        </w:trPr>
        <w:tc>
          <w:tcPr>
            <w:tcW w:w="3014" w:type="dxa"/>
            <w:gridSpan w:val="4"/>
            <w:shd w:val="clear" w:color="auto" w:fill="FFFFFF"/>
            <w:vAlign w:val="center"/>
          </w:tcPr>
          <w:p w14:paraId="24EEBEDC" w14:textId="77777777"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JST</w:t>
            </w:r>
          </w:p>
        </w:tc>
        <w:tc>
          <w:tcPr>
            <w:tcW w:w="555" w:type="dxa"/>
            <w:gridSpan w:val="2"/>
            <w:shd w:val="clear" w:color="auto" w:fill="FFFFFF"/>
          </w:tcPr>
          <w:p w14:paraId="761CCD7E" w14:textId="1F64AF73"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4A04573B" w14:textId="74AB853F"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23934109" w14:textId="7323C41C"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5" w:type="dxa"/>
            <w:gridSpan w:val="3"/>
            <w:shd w:val="clear" w:color="auto" w:fill="FFFFFF"/>
          </w:tcPr>
          <w:p w14:paraId="6332BE80" w14:textId="3E275AB0"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2CC3123D" w14:textId="06CED6CD"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shd w:val="clear" w:color="auto" w:fill="FFFFFF"/>
          </w:tcPr>
          <w:p w14:paraId="529F6A8D" w14:textId="4813272D"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3"/>
            <w:shd w:val="clear" w:color="auto" w:fill="FFFFFF"/>
          </w:tcPr>
          <w:p w14:paraId="48C78C7F" w14:textId="21D2C5BD"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5" w:type="dxa"/>
            <w:gridSpan w:val="3"/>
            <w:shd w:val="clear" w:color="auto" w:fill="FFFFFF"/>
          </w:tcPr>
          <w:p w14:paraId="2A65C5D8" w14:textId="2DF895B7"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1D63C3EA" w14:textId="34944DD8"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175FB6AF" w14:textId="387B326F"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shd w:val="clear" w:color="auto" w:fill="FFFFFF"/>
          </w:tcPr>
          <w:p w14:paraId="4DF026C6" w14:textId="694A936E"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1534" w:type="dxa"/>
            <w:gridSpan w:val="2"/>
            <w:shd w:val="clear" w:color="auto" w:fill="FFFFFF"/>
          </w:tcPr>
          <w:p w14:paraId="110C538C" w14:textId="6D06CB42"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r>
      <w:tr w:rsidR="00871A80" w:rsidRPr="00033B48" w14:paraId="1AE8986B" w14:textId="77777777" w:rsidTr="0053280C">
        <w:trPr>
          <w:trHeight w:val="357"/>
        </w:trPr>
        <w:tc>
          <w:tcPr>
            <w:tcW w:w="3014" w:type="dxa"/>
            <w:gridSpan w:val="4"/>
            <w:shd w:val="clear" w:color="auto" w:fill="FFFFFF"/>
            <w:vAlign w:val="center"/>
          </w:tcPr>
          <w:p w14:paraId="608285E0" w14:textId="77777777"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pozostałe jednostki (oddzielnie)</w:t>
            </w:r>
          </w:p>
        </w:tc>
        <w:tc>
          <w:tcPr>
            <w:tcW w:w="555" w:type="dxa"/>
            <w:gridSpan w:val="2"/>
            <w:shd w:val="clear" w:color="auto" w:fill="FFFFFF"/>
          </w:tcPr>
          <w:p w14:paraId="0A56D5D8" w14:textId="38B09D2F"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40566F6C" w14:textId="6A8AF7CD"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4EFD65AA" w14:textId="70516A9B"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5" w:type="dxa"/>
            <w:gridSpan w:val="3"/>
            <w:shd w:val="clear" w:color="auto" w:fill="FFFFFF"/>
          </w:tcPr>
          <w:p w14:paraId="6A320605" w14:textId="7E73B52A"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1C1DD0CD" w14:textId="37FA0C03"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shd w:val="clear" w:color="auto" w:fill="FFFFFF"/>
          </w:tcPr>
          <w:p w14:paraId="3EDFF9ED" w14:textId="0EAB9D65"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3"/>
            <w:shd w:val="clear" w:color="auto" w:fill="FFFFFF"/>
          </w:tcPr>
          <w:p w14:paraId="3183CE71" w14:textId="68C1D80C"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5" w:type="dxa"/>
            <w:gridSpan w:val="3"/>
            <w:shd w:val="clear" w:color="auto" w:fill="FFFFFF"/>
          </w:tcPr>
          <w:p w14:paraId="28939A9F" w14:textId="6F8A3294"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419F89DF" w14:textId="23C33906"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gridSpan w:val="2"/>
            <w:shd w:val="clear" w:color="auto" w:fill="FFFFFF"/>
          </w:tcPr>
          <w:p w14:paraId="20790E20" w14:textId="136F6C54"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556" w:type="dxa"/>
            <w:shd w:val="clear" w:color="auto" w:fill="FFFFFF"/>
          </w:tcPr>
          <w:p w14:paraId="5F1F9A7E" w14:textId="349BA17E"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c>
          <w:tcPr>
            <w:tcW w:w="1534" w:type="dxa"/>
            <w:gridSpan w:val="2"/>
            <w:shd w:val="clear" w:color="auto" w:fill="FFFFFF"/>
          </w:tcPr>
          <w:p w14:paraId="5A76CECE" w14:textId="518F237B"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0</w:t>
            </w:r>
          </w:p>
        </w:tc>
      </w:tr>
      <w:tr w:rsidR="00871A80" w:rsidRPr="00033B48" w14:paraId="39F8D0D2" w14:textId="77777777" w:rsidTr="0053280C">
        <w:trPr>
          <w:trHeight w:val="621"/>
        </w:trPr>
        <w:tc>
          <w:tcPr>
            <w:tcW w:w="2211" w:type="dxa"/>
            <w:gridSpan w:val="2"/>
            <w:shd w:val="clear" w:color="auto" w:fill="FFFFFF"/>
            <w:vAlign w:val="center"/>
          </w:tcPr>
          <w:p w14:paraId="682C03B4" w14:textId="77777777"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lastRenderedPageBreak/>
              <w:t xml:space="preserve">Źródła finansowania </w:t>
            </w:r>
          </w:p>
        </w:tc>
        <w:tc>
          <w:tcPr>
            <w:tcW w:w="8450" w:type="dxa"/>
            <w:gridSpan w:val="27"/>
            <w:shd w:val="clear" w:color="auto" w:fill="FFFFFF"/>
            <w:vAlign w:val="center"/>
          </w:tcPr>
          <w:p w14:paraId="6B65C30E" w14:textId="48153EB0" w:rsidR="00871A80" w:rsidRPr="00D05697" w:rsidRDefault="00DA42E6" w:rsidP="009016B4">
            <w:pPr>
              <w:spacing w:before="120" w:after="120" w:line="240" w:lineRule="auto"/>
              <w:jc w:val="both"/>
              <w:rPr>
                <w:rFonts w:ascii="Times New Roman" w:hAnsi="Times New Roman"/>
                <w:color w:val="000000"/>
                <w:sz w:val="24"/>
                <w:szCs w:val="24"/>
              </w:rPr>
            </w:pPr>
            <w:r w:rsidRPr="00D05697">
              <w:rPr>
                <w:rFonts w:ascii="Times New Roman" w:hAnsi="Times New Roman"/>
                <w:sz w:val="24"/>
                <w:szCs w:val="24"/>
              </w:rPr>
              <w:t>Wejście w życie ustawy nie będzie miało wpływu na sektor finansów publicznych, w tym na budżet państwa i budżety jednostek samorządu terytorialnego, w szczególności nie spowoduje powstania skutków finansowych w postaci zwiększonych wydatków i zmniejszonych dochodów w relacji do obowiązujących przepisów dla budżetu państwa oraz pozostałych jednostek sektora finansów publicznych.</w:t>
            </w:r>
          </w:p>
        </w:tc>
      </w:tr>
      <w:tr w:rsidR="00871A80" w:rsidRPr="00033B48" w14:paraId="62CE2135" w14:textId="77777777" w:rsidTr="0053280C">
        <w:trPr>
          <w:trHeight w:val="1542"/>
        </w:trPr>
        <w:tc>
          <w:tcPr>
            <w:tcW w:w="2211" w:type="dxa"/>
            <w:gridSpan w:val="2"/>
            <w:shd w:val="clear" w:color="auto" w:fill="FFFFFF"/>
          </w:tcPr>
          <w:p w14:paraId="196FCEF3" w14:textId="77777777"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Dodatkowe informacje, w tym wskazanie źródeł danych i przyjętych do obliczeń założeń</w:t>
            </w:r>
          </w:p>
        </w:tc>
        <w:tc>
          <w:tcPr>
            <w:tcW w:w="8450" w:type="dxa"/>
            <w:gridSpan w:val="27"/>
            <w:shd w:val="clear" w:color="auto" w:fill="FFFFFF"/>
          </w:tcPr>
          <w:p w14:paraId="3000A33E" w14:textId="23F2B5FB" w:rsidR="00283AAA" w:rsidRPr="00283AAA" w:rsidRDefault="00283AAA" w:rsidP="00283AAA">
            <w:pPr>
              <w:spacing w:after="120" w:line="240" w:lineRule="auto"/>
              <w:jc w:val="both"/>
              <w:rPr>
                <w:rFonts w:ascii="Times New Roman" w:hAnsi="Times New Roman"/>
                <w:color w:val="000000"/>
                <w:sz w:val="24"/>
                <w:szCs w:val="24"/>
              </w:rPr>
            </w:pPr>
            <w:r w:rsidRPr="00283AAA">
              <w:rPr>
                <w:rFonts w:ascii="Times New Roman" w:hAnsi="Times New Roman"/>
                <w:color w:val="000000"/>
                <w:sz w:val="24"/>
                <w:szCs w:val="24"/>
              </w:rPr>
              <w:t>Projektowane zmiany w ustawach podatkowych</w:t>
            </w:r>
            <w:r w:rsidR="00EF233D">
              <w:rPr>
                <w:rFonts w:ascii="Times New Roman" w:hAnsi="Times New Roman"/>
                <w:color w:val="000000"/>
                <w:sz w:val="24"/>
                <w:szCs w:val="24"/>
              </w:rPr>
              <w:t xml:space="preserve">, dotyczących </w:t>
            </w:r>
            <w:r w:rsidRPr="00283AAA">
              <w:rPr>
                <w:rFonts w:ascii="Times New Roman" w:hAnsi="Times New Roman"/>
                <w:color w:val="000000"/>
                <w:sz w:val="24"/>
                <w:szCs w:val="24"/>
              </w:rPr>
              <w:t>PIT, CIT oraz PCC</w:t>
            </w:r>
            <w:r w:rsidR="00EF233D">
              <w:rPr>
                <w:rFonts w:ascii="Times New Roman" w:hAnsi="Times New Roman"/>
                <w:color w:val="000000"/>
                <w:sz w:val="24"/>
                <w:szCs w:val="24"/>
              </w:rPr>
              <w:t xml:space="preserve">, tj. ustawie z dnia </w:t>
            </w:r>
            <w:r w:rsidR="00180049" w:rsidRPr="00180049">
              <w:rPr>
                <w:rFonts w:ascii="Times New Roman" w:hAnsi="Times New Roman"/>
                <w:color w:val="000000"/>
                <w:sz w:val="24"/>
                <w:szCs w:val="24"/>
              </w:rPr>
              <w:t xml:space="preserve">26 lipca 1991 r. </w:t>
            </w:r>
            <w:r w:rsidR="00EF233D">
              <w:rPr>
                <w:rFonts w:ascii="Times New Roman" w:hAnsi="Times New Roman"/>
                <w:color w:val="000000"/>
                <w:sz w:val="24"/>
                <w:szCs w:val="24"/>
              </w:rPr>
              <w:t>o podatku dochodowym od osób fizycznych (</w:t>
            </w:r>
            <w:r w:rsidR="00180049" w:rsidRPr="00180049">
              <w:rPr>
                <w:rFonts w:ascii="Times New Roman" w:hAnsi="Times New Roman"/>
                <w:color w:val="000000"/>
                <w:sz w:val="24"/>
                <w:szCs w:val="24"/>
              </w:rPr>
              <w:t xml:space="preserve">Dz. U. z 2025 r. poz. 163, z </w:t>
            </w:r>
            <w:proofErr w:type="spellStart"/>
            <w:r w:rsidR="00180049" w:rsidRPr="00180049">
              <w:rPr>
                <w:rFonts w:ascii="Times New Roman" w:hAnsi="Times New Roman"/>
                <w:color w:val="000000"/>
                <w:sz w:val="24"/>
                <w:szCs w:val="24"/>
              </w:rPr>
              <w:t>późn</w:t>
            </w:r>
            <w:proofErr w:type="spellEnd"/>
            <w:r w:rsidR="00180049" w:rsidRPr="00180049">
              <w:rPr>
                <w:rFonts w:ascii="Times New Roman" w:hAnsi="Times New Roman"/>
                <w:color w:val="000000"/>
                <w:sz w:val="24"/>
                <w:szCs w:val="24"/>
              </w:rPr>
              <w:t>. zm.</w:t>
            </w:r>
            <w:r w:rsidR="00EF233D">
              <w:rPr>
                <w:rFonts w:ascii="Times New Roman" w:hAnsi="Times New Roman"/>
                <w:color w:val="000000"/>
                <w:sz w:val="24"/>
                <w:szCs w:val="24"/>
              </w:rPr>
              <w:t xml:space="preserve">), ustawie z dnia </w:t>
            </w:r>
            <w:r w:rsidR="00FD73C3" w:rsidRPr="00FD73C3">
              <w:rPr>
                <w:rFonts w:ascii="Times New Roman" w:hAnsi="Times New Roman"/>
                <w:color w:val="000000"/>
                <w:sz w:val="24"/>
                <w:szCs w:val="24"/>
              </w:rPr>
              <w:t xml:space="preserve">15 lutego 1992 r. </w:t>
            </w:r>
            <w:bookmarkStart w:id="5" w:name="_Hlk225939721"/>
            <w:r w:rsidR="00EF233D">
              <w:rPr>
                <w:rFonts w:ascii="Times New Roman" w:hAnsi="Times New Roman"/>
                <w:color w:val="000000"/>
                <w:sz w:val="24"/>
                <w:szCs w:val="24"/>
              </w:rPr>
              <w:t>o podatku dochodowym od osób prawnych</w:t>
            </w:r>
            <w:bookmarkEnd w:id="5"/>
            <w:r w:rsidR="00EF233D">
              <w:rPr>
                <w:rFonts w:ascii="Times New Roman" w:hAnsi="Times New Roman"/>
                <w:color w:val="000000"/>
                <w:sz w:val="24"/>
                <w:szCs w:val="24"/>
              </w:rPr>
              <w:t xml:space="preserve"> (Dz. U. </w:t>
            </w:r>
            <w:r w:rsidR="00FD73C3" w:rsidRPr="00FD73C3">
              <w:rPr>
                <w:rFonts w:ascii="Times New Roman" w:hAnsi="Times New Roman"/>
                <w:color w:val="000000"/>
                <w:sz w:val="24"/>
                <w:szCs w:val="24"/>
              </w:rPr>
              <w:t xml:space="preserve">z 2025 r. poz. 278, z </w:t>
            </w:r>
            <w:proofErr w:type="spellStart"/>
            <w:r w:rsidR="00FD73C3" w:rsidRPr="00FD73C3">
              <w:rPr>
                <w:rFonts w:ascii="Times New Roman" w:hAnsi="Times New Roman"/>
                <w:color w:val="000000"/>
                <w:sz w:val="24"/>
                <w:szCs w:val="24"/>
              </w:rPr>
              <w:t>późń</w:t>
            </w:r>
            <w:proofErr w:type="spellEnd"/>
            <w:r w:rsidR="00FD73C3" w:rsidRPr="00FD73C3">
              <w:rPr>
                <w:rFonts w:ascii="Times New Roman" w:hAnsi="Times New Roman"/>
                <w:color w:val="000000"/>
                <w:sz w:val="24"/>
                <w:szCs w:val="24"/>
              </w:rPr>
              <w:t xml:space="preserve">. </w:t>
            </w:r>
            <w:r w:rsidR="00FD73C3">
              <w:rPr>
                <w:rFonts w:ascii="Times New Roman" w:hAnsi="Times New Roman"/>
                <w:color w:val="000000"/>
                <w:sz w:val="24"/>
                <w:szCs w:val="24"/>
              </w:rPr>
              <w:t>z</w:t>
            </w:r>
            <w:r w:rsidR="00FD73C3" w:rsidRPr="00FD73C3">
              <w:rPr>
                <w:rFonts w:ascii="Times New Roman" w:hAnsi="Times New Roman"/>
                <w:color w:val="000000"/>
                <w:sz w:val="24"/>
                <w:szCs w:val="24"/>
              </w:rPr>
              <w:t>m</w:t>
            </w:r>
            <w:r w:rsidR="00FD73C3">
              <w:rPr>
                <w:rFonts w:ascii="Times New Roman" w:hAnsi="Times New Roman"/>
                <w:color w:val="000000"/>
                <w:sz w:val="24"/>
                <w:szCs w:val="24"/>
              </w:rPr>
              <w:t>.</w:t>
            </w:r>
            <w:r w:rsidR="00EF233D">
              <w:rPr>
                <w:rFonts w:ascii="Times New Roman" w:hAnsi="Times New Roman"/>
                <w:color w:val="000000"/>
                <w:sz w:val="24"/>
                <w:szCs w:val="24"/>
              </w:rPr>
              <w:t xml:space="preserve">) oraz ustawie </w:t>
            </w:r>
            <w:r w:rsidR="00FD73C3" w:rsidRPr="00FD73C3">
              <w:rPr>
                <w:rFonts w:ascii="Times New Roman" w:hAnsi="Times New Roman"/>
                <w:color w:val="000000"/>
                <w:sz w:val="24"/>
                <w:szCs w:val="24"/>
              </w:rPr>
              <w:t>z dnia 9 września 2000 r. o podatku od czynności cywilnoprawnych</w:t>
            </w:r>
            <w:r w:rsidR="00EF233D">
              <w:rPr>
                <w:rFonts w:ascii="Times New Roman" w:hAnsi="Times New Roman"/>
                <w:color w:val="000000"/>
                <w:sz w:val="24"/>
                <w:szCs w:val="24"/>
              </w:rPr>
              <w:t xml:space="preserve">, </w:t>
            </w:r>
            <w:r w:rsidRPr="00283AAA">
              <w:rPr>
                <w:rFonts w:ascii="Times New Roman" w:hAnsi="Times New Roman"/>
                <w:color w:val="000000"/>
                <w:sz w:val="24"/>
                <w:szCs w:val="24"/>
              </w:rPr>
              <w:t>nie będą miały wpływu na finanse publiczne, zarówno w zakresie dochodów budżetu państwa, jak i jednostek samorządu terytorialnego</w:t>
            </w:r>
            <w:r w:rsidR="00EF233D">
              <w:rPr>
                <w:rFonts w:ascii="Times New Roman" w:hAnsi="Times New Roman"/>
                <w:color w:val="000000"/>
                <w:sz w:val="24"/>
                <w:szCs w:val="24"/>
              </w:rPr>
              <w:t xml:space="preserve"> (JST)</w:t>
            </w:r>
            <w:r w:rsidRPr="00283AAA">
              <w:rPr>
                <w:rFonts w:ascii="Times New Roman" w:hAnsi="Times New Roman"/>
                <w:color w:val="000000"/>
                <w:sz w:val="24"/>
                <w:szCs w:val="24"/>
              </w:rPr>
              <w:t xml:space="preserve">. Kwalifikowany Fundusz Inwestycyjny (KFI) stanowi wyspecjalizowany wehikuł inwestycyjny, przeznaczony wyłącznie dla wąskiego kręgu inwestorów profesjonalnych, a jego skala – z uwagi na charakter rynku </w:t>
            </w:r>
            <w:proofErr w:type="spellStart"/>
            <w:r w:rsidRPr="00283AAA">
              <w:rPr>
                <w:rFonts w:ascii="Times New Roman" w:hAnsi="Times New Roman"/>
                <w:color w:val="000000"/>
                <w:sz w:val="24"/>
                <w:szCs w:val="24"/>
              </w:rPr>
              <w:t>private</w:t>
            </w:r>
            <w:proofErr w:type="spellEnd"/>
            <w:r w:rsidRPr="00283AAA">
              <w:rPr>
                <w:rFonts w:ascii="Times New Roman" w:hAnsi="Times New Roman"/>
                <w:color w:val="000000"/>
                <w:sz w:val="24"/>
                <w:szCs w:val="24"/>
              </w:rPr>
              <w:t xml:space="preserve"> equity oraz wymogi regulacyjne – będzie w skali kraju ograniczona. </w:t>
            </w:r>
            <w:r w:rsidR="00EF233D">
              <w:rPr>
                <w:rFonts w:ascii="Times New Roman" w:hAnsi="Times New Roman"/>
                <w:color w:val="000000"/>
                <w:sz w:val="24"/>
                <w:szCs w:val="24"/>
              </w:rPr>
              <w:t xml:space="preserve">Z uwagi na </w:t>
            </w:r>
            <w:r w:rsidR="00794696">
              <w:rPr>
                <w:rFonts w:ascii="Times New Roman" w:hAnsi="Times New Roman"/>
                <w:color w:val="000000"/>
                <w:sz w:val="24"/>
                <w:szCs w:val="24"/>
              </w:rPr>
              <w:t>cel regulacji</w:t>
            </w:r>
            <w:r w:rsidR="00EF233D">
              <w:rPr>
                <w:rFonts w:ascii="Times New Roman" w:hAnsi="Times New Roman"/>
                <w:color w:val="000000"/>
                <w:sz w:val="24"/>
                <w:szCs w:val="24"/>
              </w:rPr>
              <w:t xml:space="preserve"> proponowane </w:t>
            </w:r>
            <w:r w:rsidR="00794696">
              <w:rPr>
                <w:rFonts w:ascii="Times New Roman" w:hAnsi="Times New Roman"/>
                <w:color w:val="000000"/>
                <w:sz w:val="24"/>
                <w:szCs w:val="24"/>
              </w:rPr>
              <w:t xml:space="preserve">rozwiązania </w:t>
            </w:r>
            <w:r w:rsidR="00EF233D">
              <w:rPr>
                <w:rFonts w:ascii="Times New Roman" w:hAnsi="Times New Roman"/>
                <w:color w:val="000000"/>
                <w:sz w:val="24"/>
                <w:szCs w:val="24"/>
              </w:rPr>
              <w:t xml:space="preserve">będą stanowić wystarczające </w:t>
            </w:r>
            <w:r w:rsidR="00794696">
              <w:rPr>
                <w:rFonts w:ascii="Times New Roman" w:hAnsi="Times New Roman"/>
                <w:color w:val="000000"/>
                <w:sz w:val="24"/>
                <w:szCs w:val="24"/>
              </w:rPr>
              <w:t>zabezpiecz</w:t>
            </w:r>
            <w:r w:rsidR="00EF233D">
              <w:rPr>
                <w:rFonts w:ascii="Times New Roman" w:hAnsi="Times New Roman"/>
                <w:color w:val="000000"/>
                <w:sz w:val="24"/>
                <w:szCs w:val="24"/>
              </w:rPr>
              <w:t>enie</w:t>
            </w:r>
            <w:r w:rsidR="00794696">
              <w:rPr>
                <w:rFonts w:ascii="Times New Roman" w:hAnsi="Times New Roman"/>
                <w:color w:val="000000"/>
                <w:sz w:val="24"/>
                <w:szCs w:val="24"/>
              </w:rPr>
              <w:t xml:space="preserve"> przed</w:t>
            </w:r>
            <w:r w:rsidRPr="00283AAA">
              <w:rPr>
                <w:rFonts w:ascii="Times New Roman" w:hAnsi="Times New Roman"/>
                <w:color w:val="000000"/>
                <w:sz w:val="24"/>
                <w:szCs w:val="24"/>
              </w:rPr>
              <w:t xml:space="preserve"> masow</w:t>
            </w:r>
            <w:r w:rsidR="00794696">
              <w:rPr>
                <w:rFonts w:ascii="Times New Roman" w:hAnsi="Times New Roman"/>
                <w:color w:val="000000"/>
                <w:sz w:val="24"/>
                <w:szCs w:val="24"/>
              </w:rPr>
              <w:t>ym</w:t>
            </w:r>
            <w:r w:rsidRPr="00283AAA">
              <w:rPr>
                <w:rFonts w:ascii="Times New Roman" w:hAnsi="Times New Roman"/>
                <w:color w:val="000000"/>
                <w:sz w:val="24"/>
                <w:szCs w:val="24"/>
              </w:rPr>
              <w:t xml:space="preserve"> wykorzystani</w:t>
            </w:r>
            <w:r w:rsidR="00794696">
              <w:rPr>
                <w:rFonts w:ascii="Times New Roman" w:hAnsi="Times New Roman"/>
                <w:color w:val="000000"/>
                <w:sz w:val="24"/>
                <w:szCs w:val="24"/>
              </w:rPr>
              <w:t>em</w:t>
            </w:r>
            <w:r w:rsidRPr="00283AAA">
              <w:rPr>
                <w:rFonts w:ascii="Times New Roman" w:hAnsi="Times New Roman"/>
                <w:color w:val="000000"/>
                <w:sz w:val="24"/>
                <w:szCs w:val="24"/>
              </w:rPr>
              <w:t xml:space="preserve"> KFI </w:t>
            </w:r>
            <w:r w:rsidR="00794696">
              <w:rPr>
                <w:rFonts w:ascii="Times New Roman" w:hAnsi="Times New Roman"/>
                <w:color w:val="000000"/>
                <w:sz w:val="24"/>
                <w:szCs w:val="24"/>
              </w:rPr>
              <w:t xml:space="preserve">jako </w:t>
            </w:r>
            <w:r w:rsidRPr="00283AAA">
              <w:rPr>
                <w:rFonts w:ascii="Times New Roman" w:hAnsi="Times New Roman"/>
                <w:color w:val="000000"/>
                <w:sz w:val="24"/>
                <w:szCs w:val="24"/>
              </w:rPr>
              <w:t>substytucji powszechnych form lokowania kapitału.</w:t>
            </w:r>
          </w:p>
          <w:p w14:paraId="7D05021D" w14:textId="313C340D" w:rsidR="00283AAA" w:rsidRPr="00283AAA" w:rsidRDefault="00283AAA" w:rsidP="00283AAA">
            <w:pPr>
              <w:spacing w:after="120" w:line="240" w:lineRule="auto"/>
              <w:jc w:val="both"/>
              <w:rPr>
                <w:rFonts w:ascii="Times New Roman" w:hAnsi="Times New Roman"/>
                <w:color w:val="000000"/>
                <w:sz w:val="24"/>
                <w:szCs w:val="24"/>
              </w:rPr>
            </w:pPr>
            <w:r w:rsidRPr="00283AAA">
              <w:rPr>
                <w:rFonts w:ascii="Times New Roman" w:hAnsi="Times New Roman"/>
                <w:color w:val="000000"/>
                <w:sz w:val="24"/>
                <w:szCs w:val="24"/>
              </w:rPr>
              <w:t>W zakresie PCC projekt przewiduje wyłączenie opodatkowania wpłat inwestorów do KFI, analogicznie jak ma to miejsce w przypadku funduszy inwestycyjnych zamkniętych (FIZ), w których PCC nie występuje. Jednocześnie należy wskazać, że w praktyce rynkowej ASI – mimo formalnego objęcia podwyższeń kapitału</w:t>
            </w:r>
            <w:r w:rsidR="00286791">
              <w:rPr>
                <w:rFonts w:ascii="Times New Roman" w:hAnsi="Times New Roman"/>
                <w:color w:val="000000"/>
                <w:sz w:val="24"/>
                <w:szCs w:val="24"/>
              </w:rPr>
              <w:t xml:space="preserve"> w spółkach prawa handlowego</w:t>
            </w:r>
            <w:r w:rsidRPr="00283AAA">
              <w:rPr>
                <w:rFonts w:ascii="Times New Roman" w:hAnsi="Times New Roman"/>
                <w:color w:val="000000"/>
                <w:sz w:val="24"/>
                <w:szCs w:val="24"/>
              </w:rPr>
              <w:t xml:space="preserve"> PCC – efektywne obciążenie podatkiem jest marginalne, gdyż wpłaty inwestorów są w przeważającej mierze dokonywane w formie </w:t>
            </w:r>
            <w:r w:rsidRPr="00FD73C3">
              <w:rPr>
                <w:rFonts w:ascii="Times New Roman" w:hAnsi="Times New Roman"/>
                <w:i/>
                <w:iCs/>
                <w:color w:val="000000"/>
                <w:sz w:val="24"/>
                <w:szCs w:val="24"/>
              </w:rPr>
              <w:t>agio</w:t>
            </w:r>
            <w:r w:rsidRPr="00283AAA">
              <w:rPr>
                <w:rFonts w:ascii="Times New Roman" w:hAnsi="Times New Roman"/>
                <w:color w:val="000000"/>
                <w:sz w:val="24"/>
                <w:szCs w:val="24"/>
              </w:rPr>
              <w:t xml:space="preserve"> (często w relacji 1:100 lub wyższej), co znacząco ogranicza podstawę opodatkowania. W konsekwencji potencjalne „ubytki” z tytułu PCC mają charakter wyłącznie teoretyczny, a ich realny wpływ na dochody JST jest pomijalny.</w:t>
            </w:r>
          </w:p>
          <w:p w14:paraId="3CA39C5F" w14:textId="6DA5B6B4" w:rsidR="009311A4" w:rsidRDefault="00283AAA" w:rsidP="00283AAA">
            <w:pPr>
              <w:spacing w:after="120" w:line="240" w:lineRule="auto"/>
              <w:jc w:val="both"/>
              <w:rPr>
                <w:rFonts w:ascii="Times New Roman" w:hAnsi="Times New Roman"/>
                <w:color w:val="000000"/>
                <w:sz w:val="24"/>
                <w:szCs w:val="24"/>
              </w:rPr>
            </w:pPr>
            <w:r w:rsidRPr="00283AAA">
              <w:rPr>
                <w:rFonts w:ascii="Times New Roman" w:hAnsi="Times New Roman"/>
                <w:color w:val="000000"/>
                <w:sz w:val="24"/>
                <w:szCs w:val="24"/>
              </w:rPr>
              <w:t xml:space="preserve">W odniesieniu do PIT i CIT projekt nie wprowadza nowych preferencji podatkowych </w:t>
            </w:r>
            <w:r w:rsidRPr="00FD73C3">
              <w:rPr>
                <w:rFonts w:ascii="Times New Roman" w:hAnsi="Times New Roman"/>
                <w:i/>
                <w:iCs/>
                <w:color w:val="000000"/>
                <w:sz w:val="24"/>
                <w:szCs w:val="24"/>
              </w:rPr>
              <w:t>sensu stricto</w:t>
            </w:r>
            <w:r w:rsidRPr="00283AAA">
              <w:rPr>
                <w:rFonts w:ascii="Times New Roman" w:hAnsi="Times New Roman"/>
                <w:color w:val="000000"/>
                <w:sz w:val="24"/>
                <w:szCs w:val="24"/>
              </w:rPr>
              <w:t>, lecz utrzymuje zasadę opodatkowania na poziomie inwestora, analogicznie do istniejących rozwiązań w obszarze funduszy inwestycyjnych. Oznacza to przesunięcie momentu opodatkowania, a nie jego eliminację. W dłuższym horyzoncie rozwiązanie to sprzyja zwiększeniu skali inwestycji, wzrostowi wartości spółek portfelowych oraz wyższym wpływom podatkowym na etapie realizacji zysków przez inwestorów. Z tych względów projekt należy ocenić jako neutralny fiskalnie, zarówno w krótkim, jak i długim okresie, przy jednoczesnym pozytywnym wpływie na rozwój rynku kapitałowego i gospodarki.</w:t>
            </w:r>
          </w:p>
          <w:p w14:paraId="4AA6245F" w14:textId="1F88795B" w:rsidR="00017FDD" w:rsidRPr="00D05697" w:rsidRDefault="00017FDD" w:rsidP="00283AAA">
            <w:pPr>
              <w:spacing w:after="120" w:line="240" w:lineRule="auto"/>
              <w:jc w:val="both"/>
              <w:rPr>
                <w:rFonts w:ascii="Times New Roman" w:hAnsi="Times New Roman"/>
                <w:color w:val="000000"/>
                <w:sz w:val="24"/>
                <w:szCs w:val="24"/>
              </w:rPr>
            </w:pPr>
            <w:r>
              <w:rPr>
                <w:rFonts w:ascii="Times New Roman" w:hAnsi="Times New Roman"/>
                <w:color w:val="000000"/>
                <w:sz w:val="24"/>
                <w:szCs w:val="24"/>
              </w:rPr>
              <w:t>Ponadto p</w:t>
            </w:r>
            <w:r w:rsidRPr="00017FDD">
              <w:rPr>
                <w:rFonts w:ascii="Times New Roman" w:hAnsi="Times New Roman"/>
                <w:color w:val="000000"/>
                <w:sz w:val="24"/>
                <w:szCs w:val="24"/>
              </w:rPr>
              <w:t xml:space="preserve">rojektowana ustawa nie wpłynie na sposób ponoszenia kosztów nadzoru UKNF oraz nie spowoduje wzrostu tych kosztów. Koszty nadzoru nad rynkiem finansowym są pokrywane bez pośrednictwa budżetu państwa, bezpośrednio z przychodów UKNF, państwowej osoby prawnej działającej w oparciu o plan finansowy, a opłaty w zakresie zezwoleń, zgód oraz wpisu do rejestru stanowią jedno ze źródeł przychodów UKNF. Zgodnie z art. 19a ust. 7 ustawy z dnia 21 lipca 2006 r. o nadzorze nad rynkiem finansowym </w:t>
            </w:r>
            <w:r w:rsidR="00EF233D">
              <w:rPr>
                <w:rFonts w:ascii="Times New Roman" w:hAnsi="Times New Roman"/>
                <w:color w:val="000000"/>
                <w:sz w:val="24"/>
                <w:szCs w:val="24"/>
              </w:rPr>
              <w:t>(Dz. U.</w:t>
            </w:r>
            <w:r w:rsidR="00FD73C3" w:rsidRPr="00FD73C3">
              <w:rPr>
                <w:rFonts w:ascii="Times New Roman" w:hAnsi="Times New Roman"/>
                <w:color w:val="000000"/>
                <w:sz w:val="24"/>
                <w:szCs w:val="24"/>
              </w:rPr>
              <w:t xml:space="preserve"> z 2025 r. poz. 640</w:t>
            </w:r>
            <w:r w:rsidR="00FD73C3">
              <w:rPr>
                <w:rFonts w:ascii="Times New Roman" w:hAnsi="Times New Roman"/>
                <w:color w:val="000000"/>
                <w:sz w:val="24"/>
                <w:szCs w:val="24"/>
              </w:rPr>
              <w:t xml:space="preserve">, z </w:t>
            </w:r>
            <w:proofErr w:type="spellStart"/>
            <w:r w:rsidR="00FD73C3">
              <w:rPr>
                <w:rFonts w:ascii="Times New Roman" w:hAnsi="Times New Roman"/>
                <w:color w:val="000000"/>
                <w:sz w:val="24"/>
                <w:szCs w:val="24"/>
              </w:rPr>
              <w:t>późn</w:t>
            </w:r>
            <w:proofErr w:type="spellEnd"/>
            <w:r w:rsidR="00FD73C3">
              <w:rPr>
                <w:rFonts w:ascii="Times New Roman" w:hAnsi="Times New Roman"/>
                <w:color w:val="000000"/>
                <w:sz w:val="24"/>
                <w:szCs w:val="24"/>
              </w:rPr>
              <w:t>. zm.</w:t>
            </w:r>
            <w:r w:rsidR="00EF233D">
              <w:rPr>
                <w:rFonts w:ascii="Times New Roman" w:hAnsi="Times New Roman"/>
                <w:color w:val="000000"/>
                <w:sz w:val="24"/>
                <w:szCs w:val="24"/>
              </w:rPr>
              <w:t xml:space="preserve">) </w:t>
            </w:r>
            <w:r w:rsidRPr="00017FDD">
              <w:rPr>
                <w:rFonts w:ascii="Times New Roman" w:hAnsi="Times New Roman"/>
                <w:color w:val="000000"/>
                <w:sz w:val="24"/>
                <w:szCs w:val="24"/>
              </w:rPr>
              <w:t>wpłaty i opłaty na pokrycie kosztów nadzoru ustala się w oparciu o kwotę ustaloną w planie finansowym UKNF, a po zakończeniu roku obrotowego UKNF ustala się różnicę pomiędzy planowanymi a wykonanymi kosztami, którą uwzględnia się w rozliczeniu kosztów nadzoru w danym roku obrotowym.</w:t>
            </w:r>
          </w:p>
        </w:tc>
      </w:tr>
      <w:tr w:rsidR="00871A80" w:rsidRPr="00033B48" w14:paraId="6C8FC8E0" w14:textId="77777777" w:rsidTr="0053280C">
        <w:trPr>
          <w:trHeight w:val="345"/>
        </w:trPr>
        <w:tc>
          <w:tcPr>
            <w:tcW w:w="10661" w:type="dxa"/>
            <w:gridSpan w:val="29"/>
            <w:shd w:val="clear" w:color="auto" w:fill="99CCFF"/>
          </w:tcPr>
          <w:p w14:paraId="18DCE026" w14:textId="77777777" w:rsidR="00871A80" w:rsidRPr="00D05697" w:rsidRDefault="00871A80" w:rsidP="00871A80">
            <w:pPr>
              <w:numPr>
                <w:ilvl w:val="0"/>
                <w:numId w:val="3"/>
              </w:numPr>
              <w:spacing w:before="120" w:after="120" w:line="240" w:lineRule="auto"/>
              <w:jc w:val="both"/>
              <w:rPr>
                <w:rFonts w:ascii="Times New Roman" w:hAnsi="Times New Roman"/>
                <w:b/>
                <w:color w:val="000000"/>
                <w:spacing w:val="-2"/>
                <w:sz w:val="24"/>
                <w:szCs w:val="24"/>
              </w:rPr>
            </w:pPr>
            <w:r w:rsidRPr="00D05697">
              <w:rPr>
                <w:rFonts w:ascii="Times New Roman" w:hAnsi="Times New Roman"/>
                <w:b/>
                <w:color w:val="000000"/>
                <w:spacing w:val="-2"/>
                <w:sz w:val="24"/>
                <w:szCs w:val="24"/>
              </w:rPr>
              <w:t xml:space="preserve">Wpływ na </w:t>
            </w:r>
            <w:r w:rsidRPr="00D05697">
              <w:rPr>
                <w:rFonts w:ascii="Times New Roman" w:hAnsi="Times New Roman"/>
                <w:b/>
                <w:color w:val="000000"/>
                <w:sz w:val="24"/>
                <w:szCs w:val="24"/>
              </w:rPr>
              <w:t xml:space="preserve">konkurencyjność gospodarki i przedsiębiorczość, w tym funkcjonowanie przedsiębiorców oraz na rodzinę, obywateli i gospodarstwa domowe </w:t>
            </w:r>
          </w:p>
        </w:tc>
      </w:tr>
      <w:tr w:rsidR="00871A80" w:rsidRPr="00033B48" w14:paraId="7D48754E" w14:textId="77777777" w:rsidTr="0053280C">
        <w:trPr>
          <w:trHeight w:val="142"/>
        </w:trPr>
        <w:tc>
          <w:tcPr>
            <w:tcW w:w="10661" w:type="dxa"/>
            <w:gridSpan w:val="29"/>
            <w:shd w:val="clear" w:color="auto" w:fill="FFFFFF"/>
          </w:tcPr>
          <w:p w14:paraId="631A269E" w14:textId="77777777" w:rsidR="00871A80" w:rsidRPr="00D05697" w:rsidRDefault="00871A80" w:rsidP="00871A80">
            <w:pPr>
              <w:spacing w:line="240" w:lineRule="auto"/>
              <w:jc w:val="center"/>
              <w:rPr>
                <w:rFonts w:ascii="Times New Roman" w:hAnsi="Times New Roman"/>
                <w:color w:val="000000"/>
                <w:spacing w:val="-2"/>
                <w:sz w:val="24"/>
                <w:szCs w:val="24"/>
              </w:rPr>
            </w:pPr>
            <w:r w:rsidRPr="00D05697">
              <w:rPr>
                <w:rFonts w:ascii="Times New Roman" w:hAnsi="Times New Roman"/>
                <w:color w:val="000000"/>
                <w:spacing w:val="-2"/>
                <w:sz w:val="24"/>
                <w:szCs w:val="24"/>
              </w:rPr>
              <w:t>Skutki</w:t>
            </w:r>
          </w:p>
        </w:tc>
      </w:tr>
      <w:tr w:rsidR="00871A80" w:rsidRPr="00033B48" w14:paraId="7B37F23E" w14:textId="77777777" w:rsidTr="0053280C">
        <w:trPr>
          <w:trHeight w:val="142"/>
        </w:trPr>
        <w:tc>
          <w:tcPr>
            <w:tcW w:w="3753" w:type="dxa"/>
            <w:gridSpan w:val="7"/>
            <w:shd w:val="clear" w:color="auto" w:fill="FFFFFF"/>
          </w:tcPr>
          <w:p w14:paraId="5FC91F7B" w14:textId="77777777"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Czas w latach od wejścia w życie zmian</w:t>
            </w:r>
          </w:p>
        </w:tc>
        <w:tc>
          <w:tcPr>
            <w:tcW w:w="912" w:type="dxa"/>
            <w:gridSpan w:val="2"/>
            <w:shd w:val="clear" w:color="auto" w:fill="FFFFFF"/>
          </w:tcPr>
          <w:p w14:paraId="41C98C1F" w14:textId="77777777" w:rsidR="00871A80" w:rsidRPr="00D05697" w:rsidRDefault="00871A80" w:rsidP="00871A80">
            <w:pPr>
              <w:spacing w:line="240" w:lineRule="auto"/>
              <w:jc w:val="center"/>
              <w:rPr>
                <w:rFonts w:ascii="Times New Roman" w:hAnsi="Times New Roman"/>
                <w:color w:val="000000"/>
                <w:sz w:val="24"/>
                <w:szCs w:val="24"/>
              </w:rPr>
            </w:pPr>
            <w:r w:rsidRPr="00D05697">
              <w:rPr>
                <w:rFonts w:ascii="Times New Roman" w:hAnsi="Times New Roman"/>
                <w:color w:val="000000"/>
                <w:sz w:val="24"/>
                <w:szCs w:val="24"/>
              </w:rPr>
              <w:t>0</w:t>
            </w:r>
          </w:p>
        </w:tc>
        <w:tc>
          <w:tcPr>
            <w:tcW w:w="916" w:type="dxa"/>
            <w:gridSpan w:val="5"/>
            <w:shd w:val="clear" w:color="auto" w:fill="FFFFFF"/>
          </w:tcPr>
          <w:p w14:paraId="6C116451" w14:textId="77777777" w:rsidR="00871A80" w:rsidRPr="00D05697" w:rsidRDefault="00871A80" w:rsidP="00871A80">
            <w:pPr>
              <w:spacing w:line="240" w:lineRule="auto"/>
              <w:jc w:val="center"/>
              <w:rPr>
                <w:rFonts w:ascii="Times New Roman" w:hAnsi="Times New Roman"/>
                <w:color w:val="000000"/>
                <w:sz w:val="24"/>
                <w:szCs w:val="24"/>
              </w:rPr>
            </w:pPr>
            <w:r w:rsidRPr="00D05697">
              <w:rPr>
                <w:rFonts w:ascii="Times New Roman" w:hAnsi="Times New Roman"/>
                <w:color w:val="000000"/>
                <w:sz w:val="24"/>
                <w:szCs w:val="24"/>
              </w:rPr>
              <w:t>1</w:t>
            </w:r>
          </w:p>
        </w:tc>
        <w:tc>
          <w:tcPr>
            <w:tcW w:w="916" w:type="dxa"/>
            <w:gridSpan w:val="4"/>
            <w:shd w:val="clear" w:color="auto" w:fill="FFFFFF"/>
          </w:tcPr>
          <w:p w14:paraId="72425635" w14:textId="77777777" w:rsidR="00871A80" w:rsidRPr="00D05697" w:rsidRDefault="00871A80" w:rsidP="00871A80">
            <w:pPr>
              <w:spacing w:line="240" w:lineRule="auto"/>
              <w:jc w:val="center"/>
              <w:rPr>
                <w:rFonts w:ascii="Times New Roman" w:hAnsi="Times New Roman"/>
                <w:color w:val="000000"/>
                <w:sz w:val="24"/>
                <w:szCs w:val="24"/>
              </w:rPr>
            </w:pPr>
            <w:r w:rsidRPr="00D05697">
              <w:rPr>
                <w:rFonts w:ascii="Times New Roman" w:hAnsi="Times New Roman"/>
                <w:color w:val="000000"/>
                <w:sz w:val="24"/>
                <w:szCs w:val="24"/>
              </w:rPr>
              <w:t>2</w:t>
            </w:r>
          </w:p>
        </w:tc>
        <w:tc>
          <w:tcPr>
            <w:tcW w:w="912" w:type="dxa"/>
            <w:gridSpan w:val="3"/>
            <w:shd w:val="clear" w:color="auto" w:fill="FFFFFF"/>
          </w:tcPr>
          <w:p w14:paraId="75F226E9" w14:textId="77777777" w:rsidR="00871A80" w:rsidRPr="00D05697" w:rsidRDefault="00871A80" w:rsidP="00871A80">
            <w:pPr>
              <w:spacing w:line="240" w:lineRule="auto"/>
              <w:jc w:val="center"/>
              <w:rPr>
                <w:rFonts w:ascii="Times New Roman" w:hAnsi="Times New Roman"/>
                <w:color w:val="000000"/>
                <w:sz w:val="24"/>
                <w:szCs w:val="24"/>
              </w:rPr>
            </w:pPr>
            <w:r w:rsidRPr="00D05697">
              <w:rPr>
                <w:rFonts w:ascii="Times New Roman" w:hAnsi="Times New Roman"/>
                <w:color w:val="000000"/>
                <w:sz w:val="24"/>
                <w:szCs w:val="24"/>
              </w:rPr>
              <w:t>3</w:t>
            </w:r>
          </w:p>
        </w:tc>
        <w:tc>
          <w:tcPr>
            <w:tcW w:w="916" w:type="dxa"/>
            <w:gridSpan w:val="4"/>
            <w:shd w:val="clear" w:color="auto" w:fill="FFFFFF"/>
          </w:tcPr>
          <w:p w14:paraId="65CBBBFE" w14:textId="77777777" w:rsidR="00871A80" w:rsidRPr="00D05697" w:rsidRDefault="00871A80" w:rsidP="00871A80">
            <w:pPr>
              <w:spacing w:line="240" w:lineRule="auto"/>
              <w:jc w:val="center"/>
              <w:rPr>
                <w:rFonts w:ascii="Times New Roman" w:hAnsi="Times New Roman"/>
                <w:color w:val="000000"/>
                <w:sz w:val="24"/>
                <w:szCs w:val="24"/>
              </w:rPr>
            </w:pPr>
            <w:r w:rsidRPr="00D05697">
              <w:rPr>
                <w:rFonts w:ascii="Times New Roman" w:hAnsi="Times New Roman"/>
                <w:color w:val="000000"/>
                <w:sz w:val="24"/>
                <w:szCs w:val="24"/>
              </w:rPr>
              <w:t>5</w:t>
            </w:r>
          </w:p>
        </w:tc>
        <w:tc>
          <w:tcPr>
            <w:tcW w:w="912" w:type="dxa"/>
            <w:gridSpan w:val="3"/>
            <w:shd w:val="clear" w:color="auto" w:fill="FFFFFF"/>
          </w:tcPr>
          <w:p w14:paraId="53F7E925" w14:textId="77777777" w:rsidR="00871A80" w:rsidRPr="00D05697" w:rsidRDefault="00871A80" w:rsidP="00871A80">
            <w:pPr>
              <w:spacing w:line="240" w:lineRule="auto"/>
              <w:jc w:val="center"/>
              <w:rPr>
                <w:rFonts w:ascii="Times New Roman" w:hAnsi="Times New Roman"/>
                <w:color w:val="000000"/>
                <w:sz w:val="24"/>
                <w:szCs w:val="24"/>
              </w:rPr>
            </w:pPr>
            <w:r w:rsidRPr="00D05697">
              <w:rPr>
                <w:rFonts w:ascii="Times New Roman" w:hAnsi="Times New Roman"/>
                <w:color w:val="000000"/>
                <w:sz w:val="24"/>
                <w:szCs w:val="24"/>
              </w:rPr>
              <w:t>10</w:t>
            </w:r>
          </w:p>
        </w:tc>
        <w:tc>
          <w:tcPr>
            <w:tcW w:w="1424" w:type="dxa"/>
            <w:shd w:val="clear" w:color="auto" w:fill="FFFFFF"/>
          </w:tcPr>
          <w:p w14:paraId="68B82387" w14:textId="77777777" w:rsidR="00871A80" w:rsidRPr="00D05697" w:rsidRDefault="00871A80" w:rsidP="00871A80">
            <w:pPr>
              <w:spacing w:line="240" w:lineRule="auto"/>
              <w:jc w:val="center"/>
              <w:rPr>
                <w:rFonts w:ascii="Times New Roman" w:hAnsi="Times New Roman"/>
                <w:i/>
                <w:color w:val="000000"/>
                <w:spacing w:val="-2"/>
                <w:sz w:val="24"/>
                <w:szCs w:val="24"/>
              </w:rPr>
            </w:pPr>
            <w:r w:rsidRPr="00D05697">
              <w:rPr>
                <w:rFonts w:ascii="Times New Roman" w:hAnsi="Times New Roman"/>
                <w:i/>
                <w:color w:val="000000"/>
                <w:spacing w:val="-2"/>
                <w:sz w:val="24"/>
                <w:szCs w:val="24"/>
              </w:rPr>
              <w:t>Łącznie</w:t>
            </w:r>
            <w:r w:rsidRPr="00D05697" w:rsidDel="0073273A">
              <w:rPr>
                <w:rFonts w:ascii="Times New Roman" w:hAnsi="Times New Roman"/>
                <w:i/>
                <w:color w:val="000000"/>
                <w:spacing w:val="-2"/>
                <w:sz w:val="24"/>
                <w:szCs w:val="24"/>
              </w:rPr>
              <w:t xml:space="preserve"> </w:t>
            </w:r>
            <w:r w:rsidRPr="00D05697">
              <w:rPr>
                <w:rFonts w:ascii="Times New Roman" w:hAnsi="Times New Roman"/>
                <w:i/>
                <w:color w:val="000000"/>
                <w:spacing w:val="-2"/>
                <w:sz w:val="24"/>
                <w:szCs w:val="24"/>
              </w:rPr>
              <w:t>(0-10)</w:t>
            </w:r>
          </w:p>
        </w:tc>
      </w:tr>
      <w:tr w:rsidR="00871A80" w:rsidRPr="00033B48" w14:paraId="472925D3" w14:textId="77777777" w:rsidTr="0053280C">
        <w:trPr>
          <w:trHeight w:val="142"/>
        </w:trPr>
        <w:tc>
          <w:tcPr>
            <w:tcW w:w="1538" w:type="dxa"/>
            <w:vMerge w:val="restart"/>
            <w:shd w:val="clear" w:color="auto" w:fill="FFFFFF"/>
          </w:tcPr>
          <w:p w14:paraId="2C552C8F" w14:textId="77777777" w:rsidR="00871A80" w:rsidRPr="00D05697" w:rsidRDefault="00871A80" w:rsidP="00871A80">
            <w:pPr>
              <w:rPr>
                <w:rFonts w:ascii="Times New Roman" w:hAnsi="Times New Roman"/>
                <w:color w:val="000000"/>
                <w:sz w:val="24"/>
                <w:szCs w:val="24"/>
              </w:rPr>
            </w:pPr>
            <w:r w:rsidRPr="00D05697">
              <w:rPr>
                <w:rFonts w:ascii="Times New Roman" w:hAnsi="Times New Roman"/>
                <w:color w:val="000000"/>
                <w:sz w:val="24"/>
                <w:szCs w:val="24"/>
              </w:rPr>
              <w:lastRenderedPageBreak/>
              <w:t>W ujęciu pieniężnym</w:t>
            </w:r>
          </w:p>
          <w:p w14:paraId="5A9B437D" w14:textId="77777777" w:rsidR="00871A80" w:rsidRPr="00D05697" w:rsidRDefault="00871A80" w:rsidP="00871A80">
            <w:pPr>
              <w:rPr>
                <w:rFonts w:ascii="Times New Roman" w:hAnsi="Times New Roman"/>
                <w:spacing w:val="-2"/>
                <w:sz w:val="24"/>
                <w:szCs w:val="24"/>
              </w:rPr>
            </w:pPr>
            <w:r w:rsidRPr="00D05697">
              <w:rPr>
                <w:rFonts w:ascii="Times New Roman" w:hAnsi="Times New Roman"/>
                <w:spacing w:val="-2"/>
                <w:sz w:val="24"/>
                <w:szCs w:val="24"/>
              </w:rPr>
              <w:t xml:space="preserve">(w mln zł, </w:t>
            </w:r>
          </w:p>
          <w:p w14:paraId="1178EE93" w14:textId="77777777"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spacing w:val="-2"/>
                <w:sz w:val="24"/>
                <w:szCs w:val="24"/>
              </w:rPr>
              <w:t>ceny stałe z …… r.)</w:t>
            </w:r>
          </w:p>
        </w:tc>
        <w:tc>
          <w:tcPr>
            <w:tcW w:w="2215" w:type="dxa"/>
            <w:gridSpan w:val="6"/>
            <w:shd w:val="clear" w:color="auto" w:fill="FFFFFF"/>
          </w:tcPr>
          <w:p w14:paraId="676540E9" w14:textId="77777777"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duże przedsiębiorstwa</w:t>
            </w:r>
          </w:p>
        </w:tc>
        <w:tc>
          <w:tcPr>
            <w:tcW w:w="912" w:type="dxa"/>
            <w:gridSpan w:val="2"/>
            <w:shd w:val="clear" w:color="auto" w:fill="FFFFFF"/>
          </w:tcPr>
          <w:p w14:paraId="32781DBC" w14:textId="77777777" w:rsidR="00871A80" w:rsidRPr="00D05697" w:rsidRDefault="00871A80" w:rsidP="00871A80">
            <w:pPr>
              <w:spacing w:line="240" w:lineRule="auto"/>
              <w:rPr>
                <w:rFonts w:ascii="Times New Roman" w:hAnsi="Times New Roman"/>
                <w:color w:val="000000"/>
                <w:sz w:val="24"/>
                <w:szCs w:val="24"/>
              </w:rPr>
            </w:pPr>
          </w:p>
        </w:tc>
        <w:tc>
          <w:tcPr>
            <w:tcW w:w="916" w:type="dxa"/>
            <w:gridSpan w:val="5"/>
            <w:shd w:val="clear" w:color="auto" w:fill="FFFFFF"/>
          </w:tcPr>
          <w:p w14:paraId="45198F23" w14:textId="77777777" w:rsidR="00871A80" w:rsidRPr="00D05697" w:rsidRDefault="00871A80" w:rsidP="00871A80">
            <w:pPr>
              <w:spacing w:line="240" w:lineRule="auto"/>
              <w:rPr>
                <w:rFonts w:ascii="Times New Roman" w:hAnsi="Times New Roman"/>
                <w:color w:val="000000"/>
                <w:sz w:val="24"/>
                <w:szCs w:val="24"/>
              </w:rPr>
            </w:pPr>
          </w:p>
        </w:tc>
        <w:tc>
          <w:tcPr>
            <w:tcW w:w="916" w:type="dxa"/>
            <w:gridSpan w:val="4"/>
            <w:shd w:val="clear" w:color="auto" w:fill="FFFFFF"/>
          </w:tcPr>
          <w:p w14:paraId="00950364" w14:textId="77777777" w:rsidR="00871A80" w:rsidRPr="00D05697" w:rsidRDefault="00871A80" w:rsidP="00871A80">
            <w:pPr>
              <w:spacing w:line="240" w:lineRule="auto"/>
              <w:rPr>
                <w:rFonts w:ascii="Times New Roman" w:hAnsi="Times New Roman"/>
                <w:color w:val="000000"/>
                <w:sz w:val="24"/>
                <w:szCs w:val="24"/>
              </w:rPr>
            </w:pPr>
          </w:p>
        </w:tc>
        <w:tc>
          <w:tcPr>
            <w:tcW w:w="912" w:type="dxa"/>
            <w:gridSpan w:val="3"/>
            <w:shd w:val="clear" w:color="auto" w:fill="FFFFFF"/>
          </w:tcPr>
          <w:p w14:paraId="6FAFC65A" w14:textId="77777777" w:rsidR="00871A80" w:rsidRPr="00D05697" w:rsidRDefault="00871A80" w:rsidP="00871A80">
            <w:pPr>
              <w:spacing w:line="240" w:lineRule="auto"/>
              <w:rPr>
                <w:rFonts w:ascii="Times New Roman" w:hAnsi="Times New Roman"/>
                <w:color w:val="000000"/>
                <w:sz w:val="24"/>
                <w:szCs w:val="24"/>
              </w:rPr>
            </w:pPr>
          </w:p>
        </w:tc>
        <w:tc>
          <w:tcPr>
            <w:tcW w:w="916" w:type="dxa"/>
            <w:gridSpan w:val="4"/>
            <w:shd w:val="clear" w:color="auto" w:fill="FFFFFF"/>
          </w:tcPr>
          <w:p w14:paraId="45595F49" w14:textId="77777777" w:rsidR="00871A80" w:rsidRPr="00D05697" w:rsidRDefault="00871A80" w:rsidP="00871A80">
            <w:pPr>
              <w:spacing w:line="240" w:lineRule="auto"/>
              <w:rPr>
                <w:rFonts w:ascii="Times New Roman" w:hAnsi="Times New Roman"/>
                <w:color w:val="000000"/>
                <w:sz w:val="24"/>
                <w:szCs w:val="24"/>
              </w:rPr>
            </w:pPr>
          </w:p>
        </w:tc>
        <w:tc>
          <w:tcPr>
            <w:tcW w:w="912" w:type="dxa"/>
            <w:gridSpan w:val="3"/>
            <w:shd w:val="clear" w:color="auto" w:fill="FFFFFF"/>
          </w:tcPr>
          <w:p w14:paraId="10A94AD0" w14:textId="77777777" w:rsidR="00871A80" w:rsidRPr="00D05697" w:rsidRDefault="00871A80" w:rsidP="00871A80">
            <w:pPr>
              <w:spacing w:line="240" w:lineRule="auto"/>
              <w:rPr>
                <w:rFonts w:ascii="Times New Roman" w:hAnsi="Times New Roman"/>
                <w:color w:val="000000"/>
                <w:sz w:val="24"/>
                <w:szCs w:val="24"/>
              </w:rPr>
            </w:pPr>
          </w:p>
        </w:tc>
        <w:tc>
          <w:tcPr>
            <w:tcW w:w="1424" w:type="dxa"/>
            <w:shd w:val="clear" w:color="auto" w:fill="FFFFFF"/>
          </w:tcPr>
          <w:p w14:paraId="49A7D87E" w14:textId="77777777" w:rsidR="00871A80" w:rsidRPr="00D05697" w:rsidRDefault="00871A80" w:rsidP="00871A80">
            <w:pPr>
              <w:spacing w:line="240" w:lineRule="auto"/>
              <w:rPr>
                <w:rFonts w:ascii="Times New Roman" w:hAnsi="Times New Roman"/>
                <w:color w:val="000000"/>
                <w:spacing w:val="-2"/>
                <w:sz w:val="24"/>
                <w:szCs w:val="24"/>
              </w:rPr>
            </w:pPr>
          </w:p>
        </w:tc>
      </w:tr>
      <w:tr w:rsidR="00871A80" w:rsidRPr="00033B48" w14:paraId="18C1F569" w14:textId="77777777" w:rsidTr="0053280C">
        <w:trPr>
          <w:trHeight w:val="142"/>
        </w:trPr>
        <w:tc>
          <w:tcPr>
            <w:tcW w:w="1538" w:type="dxa"/>
            <w:vMerge/>
            <w:shd w:val="clear" w:color="auto" w:fill="FFFFFF"/>
          </w:tcPr>
          <w:p w14:paraId="109CF782" w14:textId="77777777" w:rsidR="00871A80" w:rsidRPr="00D05697" w:rsidRDefault="00871A80" w:rsidP="00871A80">
            <w:pPr>
              <w:spacing w:line="240" w:lineRule="auto"/>
              <w:rPr>
                <w:rFonts w:ascii="Times New Roman" w:hAnsi="Times New Roman"/>
                <w:color w:val="000000"/>
                <w:sz w:val="24"/>
                <w:szCs w:val="24"/>
              </w:rPr>
            </w:pPr>
          </w:p>
        </w:tc>
        <w:tc>
          <w:tcPr>
            <w:tcW w:w="2215" w:type="dxa"/>
            <w:gridSpan w:val="6"/>
            <w:shd w:val="clear" w:color="auto" w:fill="FFFFFF"/>
          </w:tcPr>
          <w:p w14:paraId="70CFE042" w14:textId="77777777"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sektor mikro-, małych i średnich przedsiębiorstw</w:t>
            </w:r>
          </w:p>
        </w:tc>
        <w:tc>
          <w:tcPr>
            <w:tcW w:w="912" w:type="dxa"/>
            <w:gridSpan w:val="2"/>
            <w:shd w:val="clear" w:color="auto" w:fill="FFFFFF"/>
          </w:tcPr>
          <w:p w14:paraId="71DB405B" w14:textId="77777777" w:rsidR="00871A80" w:rsidRPr="00D05697" w:rsidRDefault="00871A80" w:rsidP="00871A80">
            <w:pPr>
              <w:spacing w:line="240" w:lineRule="auto"/>
              <w:rPr>
                <w:rFonts w:ascii="Times New Roman" w:hAnsi="Times New Roman"/>
                <w:color w:val="000000"/>
                <w:sz w:val="24"/>
                <w:szCs w:val="24"/>
              </w:rPr>
            </w:pPr>
          </w:p>
        </w:tc>
        <w:tc>
          <w:tcPr>
            <w:tcW w:w="916" w:type="dxa"/>
            <w:gridSpan w:val="5"/>
            <w:shd w:val="clear" w:color="auto" w:fill="FFFFFF"/>
          </w:tcPr>
          <w:p w14:paraId="0340D0FC" w14:textId="77777777" w:rsidR="00871A80" w:rsidRPr="00D05697" w:rsidRDefault="00871A80" w:rsidP="00871A80">
            <w:pPr>
              <w:spacing w:line="240" w:lineRule="auto"/>
              <w:rPr>
                <w:rFonts w:ascii="Times New Roman" w:hAnsi="Times New Roman"/>
                <w:color w:val="000000"/>
                <w:sz w:val="24"/>
                <w:szCs w:val="24"/>
              </w:rPr>
            </w:pPr>
          </w:p>
        </w:tc>
        <w:tc>
          <w:tcPr>
            <w:tcW w:w="916" w:type="dxa"/>
            <w:gridSpan w:val="4"/>
            <w:shd w:val="clear" w:color="auto" w:fill="FFFFFF"/>
          </w:tcPr>
          <w:p w14:paraId="689DF2A4" w14:textId="77777777" w:rsidR="00871A80" w:rsidRPr="00D05697" w:rsidRDefault="00871A80" w:rsidP="00871A80">
            <w:pPr>
              <w:spacing w:line="240" w:lineRule="auto"/>
              <w:rPr>
                <w:rFonts w:ascii="Times New Roman" w:hAnsi="Times New Roman"/>
                <w:color w:val="000000"/>
                <w:sz w:val="24"/>
                <w:szCs w:val="24"/>
              </w:rPr>
            </w:pPr>
          </w:p>
        </w:tc>
        <w:tc>
          <w:tcPr>
            <w:tcW w:w="912" w:type="dxa"/>
            <w:gridSpan w:val="3"/>
            <w:shd w:val="clear" w:color="auto" w:fill="FFFFFF"/>
          </w:tcPr>
          <w:p w14:paraId="0E726609" w14:textId="77777777" w:rsidR="00871A80" w:rsidRPr="00D05697" w:rsidRDefault="00871A80" w:rsidP="00871A80">
            <w:pPr>
              <w:spacing w:line="240" w:lineRule="auto"/>
              <w:rPr>
                <w:rFonts w:ascii="Times New Roman" w:hAnsi="Times New Roman"/>
                <w:color w:val="000000"/>
                <w:sz w:val="24"/>
                <w:szCs w:val="24"/>
              </w:rPr>
            </w:pPr>
          </w:p>
        </w:tc>
        <w:tc>
          <w:tcPr>
            <w:tcW w:w="916" w:type="dxa"/>
            <w:gridSpan w:val="4"/>
            <w:shd w:val="clear" w:color="auto" w:fill="FFFFFF"/>
          </w:tcPr>
          <w:p w14:paraId="55C11354" w14:textId="77777777" w:rsidR="00871A80" w:rsidRPr="00D05697" w:rsidRDefault="00871A80" w:rsidP="00871A80">
            <w:pPr>
              <w:spacing w:line="240" w:lineRule="auto"/>
              <w:rPr>
                <w:rFonts w:ascii="Times New Roman" w:hAnsi="Times New Roman"/>
                <w:color w:val="000000"/>
                <w:sz w:val="24"/>
                <w:szCs w:val="24"/>
              </w:rPr>
            </w:pPr>
          </w:p>
        </w:tc>
        <w:tc>
          <w:tcPr>
            <w:tcW w:w="912" w:type="dxa"/>
            <w:gridSpan w:val="3"/>
            <w:shd w:val="clear" w:color="auto" w:fill="FFFFFF"/>
          </w:tcPr>
          <w:p w14:paraId="6B0F4FDC" w14:textId="77777777" w:rsidR="00871A80" w:rsidRPr="00D05697" w:rsidRDefault="00871A80" w:rsidP="00871A80">
            <w:pPr>
              <w:spacing w:line="240" w:lineRule="auto"/>
              <w:rPr>
                <w:rFonts w:ascii="Times New Roman" w:hAnsi="Times New Roman"/>
                <w:color w:val="000000"/>
                <w:sz w:val="24"/>
                <w:szCs w:val="24"/>
              </w:rPr>
            </w:pPr>
          </w:p>
        </w:tc>
        <w:tc>
          <w:tcPr>
            <w:tcW w:w="1424" w:type="dxa"/>
            <w:shd w:val="clear" w:color="auto" w:fill="FFFFFF"/>
          </w:tcPr>
          <w:p w14:paraId="45779CAA" w14:textId="77777777" w:rsidR="00871A80" w:rsidRPr="00D05697" w:rsidRDefault="00871A80" w:rsidP="00871A80">
            <w:pPr>
              <w:spacing w:line="240" w:lineRule="auto"/>
              <w:rPr>
                <w:rFonts w:ascii="Times New Roman" w:hAnsi="Times New Roman"/>
                <w:color w:val="000000"/>
                <w:spacing w:val="-2"/>
                <w:sz w:val="24"/>
                <w:szCs w:val="24"/>
              </w:rPr>
            </w:pPr>
          </w:p>
        </w:tc>
      </w:tr>
      <w:tr w:rsidR="00871A80" w:rsidRPr="00033B48" w14:paraId="476B2D08" w14:textId="77777777" w:rsidTr="0053280C">
        <w:trPr>
          <w:trHeight w:val="142"/>
        </w:trPr>
        <w:tc>
          <w:tcPr>
            <w:tcW w:w="1538" w:type="dxa"/>
            <w:vMerge/>
            <w:shd w:val="clear" w:color="auto" w:fill="FFFFFF"/>
          </w:tcPr>
          <w:p w14:paraId="63F073D7" w14:textId="77777777" w:rsidR="00871A80" w:rsidRPr="00D05697" w:rsidRDefault="00871A80" w:rsidP="00871A80">
            <w:pPr>
              <w:spacing w:line="240" w:lineRule="auto"/>
              <w:rPr>
                <w:rFonts w:ascii="Times New Roman" w:hAnsi="Times New Roman"/>
                <w:color w:val="000000"/>
                <w:sz w:val="24"/>
                <w:szCs w:val="24"/>
              </w:rPr>
            </w:pPr>
          </w:p>
        </w:tc>
        <w:tc>
          <w:tcPr>
            <w:tcW w:w="2215" w:type="dxa"/>
            <w:gridSpan w:val="6"/>
            <w:shd w:val="clear" w:color="auto" w:fill="FFFFFF"/>
          </w:tcPr>
          <w:p w14:paraId="1A98EFE0" w14:textId="77777777"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sz w:val="24"/>
                <w:szCs w:val="24"/>
              </w:rPr>
              <w:t>rodzina, obywatele oraz gospodarstwa domowe</w:t>
            </w:r>
          </w:p>
        </w:tc>
        <w:tc>
          <w:tcPr>
            <w:tcW w:w="912" w:type="dxa"/>
            <w:gridSpan w:val="2"/>
            <w:shd w:val="clear" w:color="auto" w:fill="FFFFFF"/>
          </w:tcPr>
          <w:p w14:paraId="78372602" w14:textId="77777777" w:rsidR="00871A80" w:rsidRPr="00D05697" w:rsidRDefault="00871A80" w:rsidP="00871A80">
            <w:pPr>
              <w:spacing w:line="240" w:lineRule="auto"/>
              <w:rPr>
                <w:rFonts w:ascii="Times New Roman" w:hAnsi="Times New Roman"/>
                <w:color w:val="000000"/>
                <w:sz w:val="24"/>
                <w:szCs w:val="24"/>
              </w:rPr>
            </w:pPr>
          </w:p>
        </w:tc>
        <w:tc>
          <w:tcPr>
            <w:tcW w:w="916" w:type="dxa"/>
            <w:gridSpan w:val="5"/>
            <w:shd w:val="clear" w:color="auto" w:fill="FFFFFF"/>
          </w:tcPr>
          <w:p w14:paraId="76BA1F6C" w14:textId="77777777" w:rsidR="00871A80" w:rsidRPr="00D05697" w:rsidRDefault="00871A80" w:rsidP="00871A80">
            <w:pPr>
              <w:spacing w:line="240" w:lineRule="auto"/>
              <w:rPr>
                <w:rFonts w:ascii="Times New Roman" w:hAnsi="Times New Roman"/>
                <w:color w:val="000000"/>
                <w:sz w:val="24"/>
                <w:szCs w:val="24"/>
              </w:rPr>
            </w:pPr>
          </w:p>
        </w:tc>
        <w:tc>
          <w:tcPr>
            <w:tcW w:w="916" w:type="dxa"/>
            <w:gridSpan w:val="4"/>
            <w:shd w:val="clear" w:color="auto" w:fill="FFFFFF"/>
          </w:tcPr>
          <w:p w14:paraId="5D546672" w14:textId="77777777" w:rsidR="00871A80" w:rsidRPr="00D05697" w:rsidRDefault="00871A80" w:rsidP="00871A80">
            <w:pPr>
              <w:spacing w:line="240" w:lineRule="auto"/>
              <w:rPr>
                <w:rFonts w:ascii="Times New Roman" w:hAnsi="Times New Roman"/>
                <w:color w:val="000000"/>
                <w:sz w:val="24"/>
                <w:szCs w:val="24"/>
              </w:rPr>
            </w:pPr>
          </w:p>
        </w:tc>
        <w:tc>
          <w:tcPr>
            <w:tcW w:w="912" w:type="dxa"/>
            <w:gridSpan w:val="3"/>
            <w:shd w:val="clear" w:color="auto" w:fill="FFFFFF"/>
          </w:tcPr>
          <w:p w14:paraId="09EB1921" w14:textId="77777777" w:rsidR="00871A80" w:rsidRPr="00D05697" w:rsidRDefault="00871A80" w:rsidP="00871A80">
            <w:pPr>
              <w:spacing w:line="240" w:lineRule="auto"/>
              <w:rPr>
                <w:rFonts w:ascii="Times New Roman" w:hAnsi="Times New Roman"/>
                <w:color w:val="000000"/>
                <w:sz w:val="24"/>
                <w:szCs w:val="24"/>
              </w:rPr>
            </w:pPr>
          </w:p>
        </w:tc>
        <w:tc>
          <w:tcPr>
            <w:tcW w:w="916" w:type="dxa"/>
            <w:gridSpan w:val="4"/>
            <w:shd w:val="clear" w:color="auto" w:fill="FFFFFF"/>
          </w:tcPr>
          <w:p w14:paraId="1B2FC82E" w14:textId="77777777" w:rsidR="00871A80" w:rsidRPr="00D05697" w:rsidRDefault="00871A80" w:rsidP="00871A80">
            <w:pPr>
              <w:spacing w:line="240" w:lineRule="auto"/>
              <w:rPr>
                <w:rFonts w:ascii="Times New Roman" w:hAnsi="Times New Roman"/>
                <w:color w:val="000000"/>
                <w:sz w:val="24"/>
                <w:szCs w:val="24"/>
              </w:rPr>
            </w:pPr>
          </w:p>
        </w:tc>
        <w:tc>
          <w:tcPr>
            <w:tcW w:w="912" w:type="dxa"/>
            <w:gridSpan w:val="3"/>
            <w:shd w:val="clear" w:color="auto" w:fill="FFFFFF"/>
          </w:tcPr>
          <w:p w14:paraId="131F413D" w14:textId="77777777" w:rsidR="00871A80" w:rsidRPr="00D05697" w:rsidRDefault="00871A80" w:rsidP="00871A80">
            <w:pPr>
              <w:spacing w:line="240" w:lineRule="auto"/>
              <w:rPr>
                <w:rFonts w:ascii="Times New Roman" w:hAnsi="Times New Roman"/>
                <w:color w:val="000000"/>
                <w:sz w:val="24"/>
                <w:szCs w:val="24"/>
              </w:rPr>
            </w:pPr>
          </w:p>
        </w:tc>
        <w:tc>
          <w:tcPr>
            <w:tcW w:w="1424" w:type="dxa"/>
            <w:shd w:val="clear" w:color="auto" w:fill="FFFFFF"/>
          </w:tcPr>
          <w:p w14:paraId="3116814D" w14:textId="77777777" w:rsidR="00871A80" w:rsidRPr="00D05697" w:rsidRDefault="00871A80" w:rsidP="00871A80">
            <w:pPr>
              <w:spacing w:line="240" w:lineRule="auto"/>
              <w:rPr>
                <w:rFonts w:ascii="Times New Roman" w:hAnsi="Times New Roman"/>
                <w:color w:val="000000"/>
                <w:spacing w:val="-2"/>
                <w:sz w:val="24"/>
                <w:szCs w:val="24"/>
              </w:rPr>
            </w:pPr>
          </w:p>
        </w:tc>
      </w:tr>
      <w:tr w:rsidR="00871A80" w:rsidRPr="00033B48" w14:paraId="7FC23372" w14:textId="77777777" w:rsidTr="0053280C">
        <w:trPr>
          <w:trHeight w:val="142"/>
        </w:trPr>
        <w:tc>
          <w:tcPr>
            <w:tcW w:w="1538" w:type="dxa"/>
            <w:vMerge/>
            <w:shd w:val="clear" w:color="auto" w:fill="FFFFFF"/>
          </w:tcPr>
          <w:p w14:paraId="75AB5F60" w14:textId="77777777" w:rsidR="00871A80" w:rsidRPr="00D05697" w:rsidRDefault="00871A80" w:rsidP="00871A80">
            <w:pPr>
              <w:spacing w:line="240" w:lineRule="auto"/>
              <w:rPr>
                <w:rFonts w:ascii="Times New Roman" w:hAnsi="Times New Roman"/>
                <w:color w:val="000000"/>
                <w:sz w:val="24"/>
                <w:szCs w:val="24"/>
              </w:rPr>
            </w:pPr>
          </w:p>
        </w:tc>
        <w:tc>
          <w:tcPr>
            <w:tcW w:w="2215" w:type="dxa"/>
            <w:gridSpan w:val="6"/>
            <w:shd w:val="clear" w:color="auto" w:fill="FFFFFF"/>
          </w:tcPr>
          <w:p w14:paraId="4A76CD0D" w14:textId="77777777"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D05697">
              <w:rPr>
                <w:rFonts w:ascii="Times New Roman" w:hAnsi="Times New Roman"/>
                <w:color w:val="000000"/>
                <w:sz w:val="24"/>
                <w:szCs w:val="24"/>
              </w:rPr>
              <w:instrText xml:space="preserve"> FORMTEXT </w:instrText>
            </w:r>
            <w:r w:rsidRPr="00D05697">
              <w:rPr>
                <w:rFonts w:ascii="Times New Roman" w:hAnsi="Times New Roman"/>
                <w:color w:val="000000"/>
                <w:sz w:val="24"/>
                <w:szCs w:val="24"/>
              </w:rPr>
            </w:r>
            <w:r w:rsidRPr="00D05697">
              <w:rPr>
                <w:rFonts w:ascii="Times New Roman" w:hAnsi="Times New Roman"/>
                <w:color w:val="000000"/>
                <w:sz w:val="24"/>
                <w:szCs w:val="24"/>
              </w:rPr>
              <w:fldChar w:fldCharType="separate"/>
            </w:r>
            <w:r w:rsidRPr="00D05697">
              <w:rPr>
                <w:rFonts w:ascii="Times New Roman" w:hAnsi="Times New Roman"/>
                <w:noProof/>
                <w:color w:val="000000"/>
                <w:sz w:val="24"/>
                <w:szCs w:val="24"/>
              </w:rPr>
              <w:t>(dodaj/usuń)</w:t>
            </w:r>
            <w:r w:rsidRPr="00D05697">
              <w:rPr>
                <w:rFonts w:ascii="Times New Roman" w:hAnsi="Times New Roman"/>
                <w:color w:val="000000"/>
                <w:sz w:val="24"/>
                <w:szCs w:val="24"/>
              </w:rPr>
              <w:fldChar w:fldCharType="end"/>
            </w:r>
          </w:p>
        </w:tc>
        <w:tc>
          <w:tcPr>
            <w:tcW w:w="912" w:type="dxa"/>
            <w:gridSpan w:val="2"/>
            <w:shd w:val="clear" w:color="auto" w:fill="FFFFFF"/>
          </w:tcPr>
          <w:p w14:paraId="4AA54A35" w14:textId="77777777" w:rsidR="00871A80" w:rsidRPr="00D05697" w:rsidRDefault="00871A80" w:rsidP="00871A80">
            <w:pPr>
              <w:spacing w:line="240" w:lineRule="auto"/>
              <w:rPr>
                <w:rFonts w:ascii="Times New Roman" w:hAnsi="Times New Roman"/>
                <w:color w:val="000000"/>
                <w:sz w:val="24"/>
                <w:szCs w:val="24"/>
              </w:rPr>
            </w:pPr>
          </w:p>
        </w:tc>
        <w:tc>
          <w:tcPr>
            <w:tcW w:w="916" w:type="dxa"/>
            <w:gridSpan w:val="5"/>
            <w:shd w:val="clear" w:color="auto" w:fill="FFFFFF"/>
          </w:tcPr>
          <w:p w14:paraId="421CAEF7" w14:textId="77777777" w:rsidR="00871A80" w:rsidRPr="00D05697" w:rsidRDefault="00871A80" w:rsidP="00871A80">
            <w:pPr>
              <w:spacing w:line="240" w:lineRule="auto"/>
              <w:rPr>
                <w:rFonts w:ascii="Times New Roman" w:hAnsi="Times New Roman"/>
                <w:color w:val="000000"/>
                <w:sz w:val="24"/>
                <w:szCs w:val="24"/>
              </w:rPr>
            </w:pPr>
          </w:p>
        </w:tc>
        <w:tc>
          <w:tcPr>
            <w:tcW w:w="916" w:type="dxa"/>
            <w:gridSpan w:val="4"/>
            <w:shd w:val="clear" w:color="auto" w:fill="FFFFFF"/>
          </w:tcPr>
          <w:p w14:paraId="61712028" w14:textId="77777777" w:rsidR="00871A80" w:rsidRPr="00D05697" w:rsidRDefault="00871A80" w:rsidP="00871A80">
            <w:pPr>
              <w:spacing w:line="240" w:lineRule="auto"/>
              <w:rPr>
                <w:rFonts w:ascii="Times New Roman" w:hAnsi="Times New Roman"/>
                <w:color w:val="000000"/>
                <w:sz w:val="24"/>
                <w:szCs w:val="24"/>
              </w:rPr>
            </w:pPr>
          </w:p>
        </w:tc>
        <w:tc>
          <w:tcPr>
            <w:tcW w:w="912" w:type="dxa"/>
            <w:gridSpan w:val="3"/>
            <w:shd w:val="clear" w:color="auto" w:fill="FFFFFF"/>
          </w:tcPr>
          <w:p w14:paraId="4BEB83FC" w14:textId="77777777" w:rsidR="00871A80" w:rsidRPr="00D05697" w:rsidRDefault="00871A80" w:rsidP="00871A80">
            <w:pPr>
              <w:spacing w:line="240" w:lineRule="auto"/>
              <w:rPr>
                <w:rFonts w:ascii="Times New Roman" w:hAnsi="Times New Roman"/>
                <w:color w:val="000000"/>
                <w:sz w:val="24"/>
                <w:szCs w:val="24"/>
              </w:rPr>
            </w:pPr>
          </w:p>
        </w:tc>
        <w:tc>
          <w:tcPr>
            <w:tcW w:w="916" w:type="dxa"/>
            <w:gridSpan w:val="4"/>
            <w:shd w:val="clear" w:color="auto" w:fill="FFFFFF"/>
          </w:tcPr>
          <w:p w14:paraId="25333224" w14:textId="77777777" w:rsidR="00871A80" w:rsidRPr="00D05697" w:rsidRDefault="00871A80" w:rsidP="00871A80">
            <w:pPr>
              <w:spacing w:line="240" w:lineRule="auto"/>
              <w:rPr>
                <w:rFonts w:ascii="Times New Roman" w:hAnsi="Times New Roman"/>
                <w:color w:val="000000"/>
                <w:sz w:val="24"/>
                <w:szCs w:val="24"/>
              </w:rPr>
            </w:pPr>
          </w:p>
        </w:tc>
        <w:tc>
          <w:tcPr>
            <w:tcW w:w="912" w:type="dxa"/>
            <w:gridSpan w:val="3"/>
            <w:shd w:val="clear" w:color="auto" w:fill="FFFFFF"/>
          </w:tcPr>
          <w:p w14:paraId="38174F84" w14:textId="77777777" w:rsidR="00871A80" w:rsidRPr="00D05697" w:rsidRDefault="00871A80" w:rsidP="00871A80">
            <w:pPr>
              <w:spacing w:line="240" w:lineRule="auto"/>
              <w:rPr>
                <w:rFonts w:ascii="Times New Roman" w:hAnsi="Times New Roman"/>
                <w:color w:val="000000"/>
                <w:sz w:val="24"/>
                <w:szCs w:val="24"/>
              </w:rPr>
            </w:pPr>
          </w:p>
        </w:tc>
        <w:tc>
          <w:tcPr>
            <w:tcW w:w="1424" w:type="dxa"/>
            <w:shd w:val="clear" w:color="auto" w:fill="FFFFFF"/>
          </w:tcPr>
          <w:p w14:paraId="71525CE2" w14:textId="77777777" w:rsidR="00871A80" w:rsidRPr="00D05697" w:rsidRDefault="00871A80" w:rsidP="00871A80">
            <w:pPr>
              <w:spacing w:line="240" w:lineRule="auto"/>
              <w:rPr>
                <w:rFonts w:ascii="Times New Roman" w:hAnsi="Times New Roman"/>
                <w:color w:val="000000"/>
                <w:spacing w:val="-2"/>
                <w:sz w:val="24"/>
                <w:szCs w:val="24"/>
              </w:rPr>
            </w:pPr>
          </w:p>
        </w:tc>
      </w:tr>
      <w:tr w:rsidR="00871A80" w:rsidRPr="00033B48" w14:paraId="69D6CD21" w14:textId="77777777" w:rsidTr="0053280C">
        <w:trPr>
          <w:trHeight w:val="142"/>
        </w:trPr>
        <w:tc>
          <w:tcPr>
            <w:tcW w:w="1538" w:type="dxa"/>
            <w:vMerge w:val="restart"/>
            <w:shd w:val="clear" w:color="auto" w:fill="FFFFFF"/>
          </w:tcPr>
          <w:p w14:paraId="583CAB9A" w14:textId="77777777"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W ujęciu niepieniężnym</w:t>
            </w:r>
          </w:p>
        </w:tc>
        <w:tc>
          <w:tcPr>
            <w:tcW w:w="2215" w:type="dxa"/>
            <w:gridSpan w:val="6"/>
            <w:shd w:val="clear" w:color="auto" w:fill="FFFFFF"/>
          </w:tcPr>
          <w:p w14:paraId="2A901148" w14:textId="77777777"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duże przedsiębiorstwa</w:t>
            </w:r>
          </w:p>
        </w:tc>
        <w:tc>
          <w:tcPr>
            <w:tcW w:w="6908" w:type="dxa"/>
            <w:gridSpan w:val="22"/>
            <w:shd w:val="clear" w:color="auto" w:fill="FFFFFF"/>
          </w:tcPr>
          <w:p w14:paraId="73F3C4EE" w14:textId="5C6623A1" w:rsidR="00871A80" w:rsidRPr="00D05697" w:rsidRDefault="008C308B" w:rsidP="00003244">
            <w:pPr>
              <w:spacing w:before="120" w:after="120" w:line="240" w:lineRule="auto"/>
              <w:jc w:val="both"/>
              <w:rPr>
                <w:rFonts w:ascii="Times New Roman" w:hAnsi="Times New Roman"/>
                <w:color w:val="000000"/>
                <w:spacing w:val="-2"/>
                <w:sz w:val="24"/>
                <w:szCs w:val="24"/>
              </w:rPr>
            </w:pPr>
            <w:r w:rsidRPr="008C308B">
              <w:rPr>
                <w:rFonts w:ascii="Times New Roman" w:hAnsi="Times New Roman"/>
                <w:color w:val="000000"/>
                <w:spacing w:val="-2"/>
                <w:sz w:val="24"/>
                <w:szCs w:val="24"/>
              </w:rPr>
              <w:t>Wejście w życie ustawy będzie miało korzystny wpływ na przedsiębiorstwa dzięki</w:t>
            </w:r>
            <w:r>
              <w:rPr>
                <w:rFonts w:ascii="Times New Roman" w:hAnsi="Times New Roman"/>
                <w:color w:val="000000"/>
                <w:spacing w:val="-2"/>
                <w:sz w:val="24"/>
                <w:szCs w:val="24"/>
              </w:rPr>
              <w:t xml:space="preserve"> </w:t>
            </w:r>
            <w:r w:rsidR="00003244">
              <w:rPr>
                <w:rFonts w:ascii="Times New Roman" w:hAnsi="Times New Roman"/>
                <w:color w:val="000000"/>
                <w:spacing w:val="-2"/>
                <w:sz w:val="24"/>
                <w:szCs w:val="24"/>
              </w:rPr>
              <w:t xml:space="preserve">większej </w:t>
            </w:r>
            <w:r w:rsidRPr="008C308B">
              <w:rPr>
                <w:rFonts w:ascii="Times New Roman" w:hAnsi="Times New Roman"/>
                <w:color w:val="000000"/>
                <w:spacing w:val="-2"/>
                <w:sz w:val="24"/>
                <w:szCs w:val="24"/>
              </w:rPr>
              <w:t>dostępnoś</w:t>
            </w:r>
            <w:r w:rsidR="00003244">
              <w:rPr>
                <w:rFonts w:ascii="Times New Roman" w:hAnsi="Times New Roman"/>
                <w:color w:val="000000"/>
                <w:spacing w:val="-2"/>
                <w:sz w:val="24"/>
                <w:szCs w:val="24"/>
              </w:rPr>
              <w:t>ci</w:t>
            </w:r>
            <w:r w:rsidRPr="008C308B">
              <w:rPr>
                <w:rFonts w:ascii="Times New Roman" w:hAnsi="Times New Roman"/>
                <w:color w:val="000000"/>
                <w:spacing w:val="-2"/>
                <w:sz w:val="24"/>
                <w:szCs w:val="24"/>
              </w:rPr>
              <w:t xml:space="preserve"> długoterminowego kapitału prywatnego finansującego rozwój, innowacje oraz ekspansję rynkową. KFI umożliwi funduszom inwestycyjnym sprawniejsze i bardziej przewidywalne inwestowanie w podmioty niepubliczne, co przełoży się na poprawę warunków finansowania przedsiębiorstw na różnych etapach rozwoju.</w:t>
            </w:r>
          </w:p>
        </w:tc>
      </w:tr>
      <w:tr w:rsidR="00871A80" w:rsidRPr="00033B48" w14:paraId="0ADDF159" w14:textId="77777777" w:rsidTr="0053280C">
        <w:trPr>
          <w:trHeight w:val="142"/>
        </w:trPr>
        <w:tc>
          <w:tcPr>
            <w:tcW w:w="1538" w:type="dxa"/>
            <w:vMerge/>
            <w:shd w:val="clear" w:color="auto" w:fill="FFFFFF"/>
          </w:tcPr>
          <w:p w14:paraId="70884FC4" w14:textId="77777777" w:rsidR="00871A80" w:rsidRPr="00D05697" w:rsidRDefault="00871A80" w:rsidP="00871A80">
            <w:pPr>
              <w:spacing w:line="240" w:lineRule="auto"/>
              <w:rPr>
                <w:rFonts w:ascii="Times New Roman" w:hAnsi="Times New Roman"/>
                <w:color w:val="000000"/>
                <w:sz w:val="24"/>
                <w:szCs w:val="24"/>
              </w:rPr>
            </w:pPr>
          </w:p>
        </w:tc>
        <w:tc>
          <w:tcPr>
            <w:tcW w:w="2215" w:type="dxa"/>
            <w:gridSpan w:val="6"/>
            <w:shd w:val="clear" w:color="auto" w:fill="FFFFFF"/>
          </w:tcPr>
          <w:p w14:paraId="3868F7CF" w14:textId="77777777"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sektor mikro-, małych i średnich przedsiębiorstw</w:t>
            </w:r>
          </w:p>
        </w:tc>
        <w:tc>
          <w:tcPr>
            <w:tcW w:w="6908" w:type="dxa"/>
            <w:gridSpan w:val="22"/>
            <w:shd w:val="clear" w:color="auto" w:fill="FFFFFF"/>
          </w:tcPr>
          <w:p w14:paraId="2DF77F5D" w14:textId="336E5CA2" w:rsidR="00871A80" w:rsidRPr="00D05697" w:rsidRDefault="008C308B" w:rsidP="00003244">
            <w:pPr>
              <w:spacing w:before="120" w:after="120" w:line="240" w:lineRule="auto"/>
              <w:jc w:val="both"/>
              <w:rPr>
                <w:rFonts w:ascii="Times New Roman" w:hAnsi="Times New Roman"/>
                <w:color w:val="000000"/>
                <w:spacing w:val="-2"/>
                <w:sz w:val="24"/>
                <w:szCs w:val="24"/>
              </w:rPr>
            </w:pPr>
            <w:r w:rsidRPr="008C308B">
              <w:rPr>
                <w:rFonts w:ascii="Times New Roman" w:hAnsi="Times New Roman"/>
                <w:color w:val="000000"/>
                <w:spacing w:val="-2"/>
                <w:sz w:val="24"/>
                <w:szCs w:val="24"/>
              </w:rPr>
              <w:t>Wpływ – jak w przypadku dużych przedsiębiorstw.</w:t>
            </w:r>
          </w:p>
        </w:tc>
      </w:tr>
      <w:tr w:rsidR="00871A80" w:rsidRPr="00033B48" w14:paraId="4F4BDD92" w14:textId="77777777" w:rsidTr="0053280C">
        <w:trPr>
          <w:trHeight w:val="596"/>
        </w:trPr>
        <w:tc>
          <w:tcPr>
            <w:tcW w:w="1538" w:type="dxa"/>
            <w:vMerge/>
            <w:shd w:val="clear" w:color="auto" w:fill="FFFFFF"/>
          </w:tcPr>
          <w:p w14:paraId="7F809FA5" w14:textId="77777777" w:rsidR="00871A80" w:rsidRPr="00D05697" w:rsidRDefault="00871A80" w:rsidP="00871A80">
            <w:pPr>
              <w:spacing w:line="240" w:lineRule="auto"/>
              <w:rPr>
                <w:rFonts w:ascii="Times New Roman" w:hAnsi="Times New Roman"/>
                <w:color w:val="000000"/>
                <w:sz w:val="24"/>
                <w:szCs w:val="24"/>
              </w:rPr>
            </w:pPr>
          </w:p>
        </w:tc>
        <w:tc>
          <w:tcPr>
            <w:tcW w:w="2215" w:type="dxa"/>
            <w:gridSpan w:val="6"/>
            <w:shd w:val="clear" w:color="auto" w:fill="FFFFFF"/>
          </w:tcPr>
          <w:p w14:paraId="0479859D" w14:textId="77777777" w:rsidR="00871A80" w:rsidRPr="00D05697" w:rsidRDefault="00871A80" w:rsidP="00871A80">
            <w:pPr>
              <w:tabs>
                <w:tab w:val="right" w:pos="1936"/>
              </w:tabs>
              <w:spacing w:line="240" w:lineRule="auto"/>
              <w:rPr>
                <w:rFonts w:ascii="Times New Roman" w:hAnsi="Times New Roman"/>
                <w:color w:val="000000"/>
                <w:sz w:val="24"/>
                <w:szCs w:val="24"/>
              </w:rPr>
            </w:pPr>
            <w:r w:rsidRPr="00D05697">
              <w:rPr>
                <w:rFonts w:ascii="Times New Roman" w:hAnsi="Times New Roman"/>
                <w:sz w:val="24"/>
                <w:szCs w:val="24"/>
              </w:rPr>
              <w:t>rodzina, obywatele oraz gospodarstwa domowe</w:t>
            </w:r>
            <w:r w:rsidRPr="00D05697">
              <w:rPr>
                <w:rFonts w:ascii="Times New Roman" w:hAnsi="Times New Roman"/>
                <w:color w:val="000000"/>
                <w:sz w:val="24"/>
                <w:szCs w:val="24"/>
              </w:rPr>
              <w:t xml:space="preserve"> </w:t>
            </w:r>
          </w:p>
        </w:tc>
        <w:tc>
          <w:tcPr>
            <w:tcW w:w="6908" w:type="dxa"/>
            <w:gridSpan w:val="22"/>
            <w:shd w:val="clear" w:color="auto" w:fill="FFFFFF"/>
          </w:tcPr>
          <w:p w14:paraId="45079780" w14:textId="75C9BC21" w:rsidR="009B3202" w:rsidRPr="0051406F" w:rsidRDefault="008C308B" w:rsidP="00003244">
            <w:pPr>
              <w:spacing w:before="120" w:after="120" w:line="240" w:lineRule="auto"/>
              <w:jc w:val="both"/>
              <w:rPr>
                <w:rFonts w:ascii="Times New Roman" w:hAnsi="Times New Roman"/>
                <w:color w:val="000000"/>
                <w:spacing w:val="-2"/>
                <w:sz w:val="24"/>
                <w:szCs w:val="24"/>
              </w:rPr>
            </w:pPr>
            <w:r w:rsidRPr="008C308B">
              <w:rPr>
                <w:rFonts w:ascii="Times New Roman" w:hAnsi="Times New Roman"/>
                <w:color w:val="000000"/>
                <w:spacing w:val="-2"/>
                <w:sz w:val="24"/>
                <w:szCs w:val="24"/>
              </w:rPr>
              <w:t xml:space="preserve">Wejście w życie ustawy będzie miało </w:t>
            </w:r>
            <w:r w:rsidR="00003244" w:rsidRPr="00003244">
              <w:rPr>
                <w:rFonts w:ascii="Times New Roman" w:hAnsi="Times New Roman"/>
                <w:color w:val="000000"/>
                <w:spacing w:val="-2"/>
                <w:sz w:val="24"/>
                <w:szCs w:val="24"/>
              </w:rPr>
              <w:t xml:space="preserve">korzystny wpływ </w:t>
            </w:r>
            <w:r w:rsidRPr="008C308B">
              <w:rPr>
                <w:rFonts w:ascii="Times New Roman" w:hAnsi="Times New Roman"/>
                <w:color w:val="000000"/>
                <w:spacing w:val="-2"/>
                <w:sz w:val="24"/>
                <w:szCs w:val="24"/>
              </w:rPr>
              <w:t>na sytuację ekonomiczną i społeczną</w:t>
            </w:r>
            <w:r w:rsidR="002577E8">
              <w:rPr>
                <w:rFonts w:ascii="Times New Roman" w:hAnsi="Times New Roman"/>
                <w:color w:val="000000"/>
                <w:spacing w:val="-2"/>
                <w:sz w:val="24"/>
                <w:szCs w:val="24"/>
              </w:rPr>
              <w:t xml:space="preserve"> rodzin</w:t>
            </w:r>
            <w:r w:rsidRPr="008C308B">
              <w:rPr>
                <w:rFonts w:ascii="Times New Roman" w:hAnsi="Times New Roman"/>
                <w:color w:val="000000"/>
                <w:spacing w:val="-2"/>
                <w:sz w:val="24"/>
                <w:szCs w:val="24"/>
              </w:rPr>
              <w:t>.</w:t>
            </w:r>
            <w:r>
              <w:rPr>
                <w:rFonts w:ascii="Times New Roman" w:hAnsi="Times New Roman"/>
                <w:color w:val="000000"/>
                <w:spacing w:val="-2"/>
                <w:sz w:val="24"/>
                <w:szCs w:val="24"/>
              </w:rPr>
              <w:t xml:space="preserve"> </w:t>
            </w:r>
            <w:r w:rsidRPr="008C308B">
              <w:rPr>
                <w:rFonts w:ascii="Times New Roman" w:hAnsi="Times New Roman"/>
                <w:color w:val="000000"/>
                <w:spacing w:val="-2"/>
                <w:sz w:val="24"/>
                <w:szCs w:val="24"/>
              </w:rPr>
              <w:t xml:space="preserve">Likwidacja barier regulacyjnych </w:t>
            </w:r>
            <w:r w:rsidR="00003244" w:rsidRPr="008C308B">
              <w:rPr>
                <w:rFonts w:ascii="Times New Roman" w:hAnsi="Times New Roman"/>
                <w:color w:val="000000"/>
                <w:spacing w:val="-2"/>
                <w:sz w:val="24"/>
                <w:szCs w:val="24"/>
              </w:rPr>
              <w:t xml:space="preserve">będzie </w:t>
            </w:r>
            <w:r w:rsidRPr="008C308B">
              <w:rPr>
                <w:rFonts w:ascii="Times New Roman" w:hAnsi="Times New Roman"/>
                <w:color w:val="000000"/>
                <w:spacing w:val="-2"/>
                <w:sz w:val="24"/>
                <w:szCs w:val="24"/>
              </w:rPr>
              <w:t xml:space="preserve">sprzyjać powstawaniu nowych struktur inwestycyjnych w kraju oraz zatrzymaniu kapitału </w:t>
            </w:r>
            <w:r w:rsidR="002577E8">
              <w:rPr>
                <w:rFonts w:ascii="Times New Roman" w:hAnsi="Times New Roman"/>
                <w:color w:val="000000"/>
                <w:spacing w:val="-2"/>
                <w:sz w:val="24"/>
                <w:szCs w:val="24"/>
              </w:rPr>
              <w:t xml:space="preserve">i osób posiadających odpowiednie kwalifikacje </w:t>
            </w:r>
            <w:r w:rsidRPr="008C308B">
              <w:rPr>
                <w:rFonts w:ascii="Times New Roman" w:hAnsi="Times New Roman"/>
                <w:color w:val="000000"/>
                <w:spacing w:val="-2"/>
                <w:sz w:val="24"/>
                <w:szCs w:val="24"/>
              </w:rPr>
              <w:t>w Polsce, co w dłuższym okresie pozytywnie wpłyn</w:t>
            </w:r>
            <w:r w:rsidR="00003244">
              <w:rPr>
                <w:rFonts w:ascii="Times New Roman" w:hAnsi="Times New Roman"/>
                <w:color w:val="000000"/>
                <w:spacing w:val="-2"/>
                <w:sz w:val="24"/>
                <w:szCs w:val="24"/>
              </w:rPr>
              <w:t>ie</w:t>
            </w:r>
            <w:r w:rsidRPr="008C308B">
              <w:rPr>
                <w:rFonts w:ascii="Times New Roman" w:hAnsi="Times New Roman"/>
                <w:color w:val="000000"/>
                <w:spacing w:val="-2"/>
                <w:sz w:val="24"/>
                <w:szCs w:val="24"/>
              </w:rPr>
              <w:t xml:space="preserve"> na spójność gospodarczą i rozwój rynku kapitałowego.</w:t>
            </w:r>
            <w:r w:rsidR="00D044B9">
              <w:rPr>
                <w:rFonts w:ascii="Times New Roman" w:hAnsi="Times New Roman"/>
                <w:color w:val="000000"/>
                <w:spacing w:val="-2"/>
                <w:sz w:val="24"/>
                <w:szCs w:val="24"/>
              </w:rPr>
              <w:t xml:space="preserve"> </w:t>
            </w:r>
            <w:r w:rsidR="00D044B9" w:rsidRPr="00D044B9">
              <w:rPr>
                <w:rFonts w:ascii="Times New Roman" w:hAnsi="Times New Roman"/>
                <w:color w:val="000000"/>
                <w:spacing w:val="-2"/>
                <w:sz w:val="24"/>
                <w:szCs w:val="24"/>
              </w:rPr>
              <w:t>Projekt nie wprowadza obowiązków ani kosztów dla obywateli, rodzin ani gospodarstw domowych. Oddziaływanie na te grupy ma charakter pośredni, przez wsparcie wzrostu gospodarczego, innowacyjności i zatrudnienia.</w:t>
            </w:r>
            <w:r w:rsidR="002577E8">
              <w:rPr>
                <w:rFonts w:ascii="Times New Roman" w:hAnsi="Times New Roman"/>
                <w:color w:val="000000"/>
                <w:spacing w:val="-2"/>
                <w:sz w:val="24"/>
                <w:szCs w:val="24"/>
              </w:rPr>
              <w:t xml:space="preserve"> </w:t>
            </w:r>
            <w:r w:rsidR="002577E8" w:rsidRPr="002577E8">
              <w:rPr>
                <w:rFonts w:ascii="Times New Roman" w:hAnsi="Times New Roman"/>
                <w:color w:val="000000"/>
                <w:spacing w:val="-2"/>
                <w:sz w:val="24"/>
                <w:szCs w:val="24"/>
              </w:rPr>
              <w:t xml:space="preserve">Brak szczególnych skutków w przypadku </w:t>
            </w:r>
            <w:r w:rsidR="002E1298">
              <w:rPr>
                <w:rFonts w:ascii="Times New Roman" w:hAnsi="Times New Roman"/>
                <w:color w:val="000000"/>
                <w:spacing w:val="-2"/>
                <w:sz w:val="24"/>
                <w:szCs w:val="24"/>
              </w:rPr>
              <w:t>osób niepełnosprawnych</w:t>
            </w:r>
            <w:r w:rsidR="002577E8" w:rsidRPr="002577E8">
              <w:rPr>
                <w:rFonts w:ascii="Times New Roman" w:hAnsi="Times New Roman"/>
                <w:color w:val="000000"/>
                <w:spacing w:val="-2"/>
                <w:sz w:val="24"/>
                <w:szCs w:val="24"/>
              </w:rPr>
              <w:t xml:space="preserve"> i osób starszych.</w:t>
            </w:r>
          </w:p>
        </w:tc>
      </w:tr>
      <w:tr w:rsidR="00871A80" w:rsidRPr="00033B48" w14:paraId="25C02250" w14:textId="77777777" w:rsidTr="0053280C">
        <w:trPr>
          <w:trHeight w:val="240"/>
        </w:trPr>
        <w:tc>
          <w:tcPr>
            <w:tcW w:w="1538" w:type="dxa"/>
            <w:vMerge/>
            <w:shd w:val="clear" w:color="auto" w:fill="FFFFFF"/>
          </w:tcPr>
          <w:p w14:paraId="2C7FFC3D" w14:textId="77777777" w:rsidR="00871A80" w:rsidRPr="00D05697" w:rsidRDefault="00871A80" w:rsidP="00871A80">
            <w:pPr>
              <w:spacing w:line="240" w:lineRule="auto"/>
              <w:rPr>
                <w:rFonts w:ascii="Times New Roman" w:hAnsi="Times New Roman"/>
                <w:color w:val="000000"/>
                <w:sz w:val="24"/>
                <w:szCs w:val="24"/>
              </w:rPr>
            </w:pPr>
          </w:p>
        </w:tc>
        <w:tc>
          <w:tcPr>
            <w:tcW w:w="2215" w:type="dxa"/>
            <w:gridSpan w:val="6"/>
            <w:shd w:val="clear" w:color="auto" w:fill="FFFFFF"/>
          </w:tcPr>
          <w:p w14:paraId="44FC6D9A" w14:textId="77777777" w:rsidR="00871A80" w:rsidRPr="00D05697" w:rsidRDefault="00871A80" w:rsidP="00871A80">
            <w:pPr>
              <w:tabs>
                <w:tab w:val="right" w:pos="1936"/>
              </w:tabs>
              <w:rPr>
                <w:rFonts w:ascii="Times New Roman" w:hAnsi="Times New Roman"/>
                <w:sz w:val="24"/>
                <w:szCs w:val="24"/>
              </w:rPr>
            </w:pPr>
            <w:r w:rsidRPr="00D05697">
              <w:rPr>
                <w:rFonts w:ascii="Times New Roman" w:hAnsi="Times New Roman"/>
                <w:color w:val="000000"/>
                <w:sz w:val="24"/>
                <w:szCs w:val="24"/>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D05697">
              <w:rPr>
                <w:rFonts w:ascii="Times New Roman" w:hAnsi="Times New Roman"/>
                <w:color w:val="000000"/>
                <w:sz w:val="24"/>
                <w:szCs w:val="24"/>
              </w:rPr>
              <w:instrText xml:space="preserve"> FORMTEXT </w:instrText>
            </w:r>
            <w:r w:rsidRPr="00D05697">
              <w:rPr>
                <w:rFonts w:ascii="Times New Roman" w:hAnsi="Times New Roman"/>
                <w:color w:val="000000"/>
                <w:sz w:val="24"/>
                <w:szCs w:val="24"/>
              </w:rPr>
            </w:r>
            <w:r w:rsidRPr="00D05697">
              <w:rPr>
                <w:rFonts w:ascii="Times New Roman" w:hAnsi="Times New Roman"/>
                <w:color w:val="000000"/>
                <w:sz w:val="24"/>
                <w:szCs w:val="24"/>
              </w:rPr>
              <w:fldChar w:fldCharType="separate"/>
            </w:r>
            <w:r w:rsidRPr="00D05697">
              <w:rPr>
                <w:rFonts w:ascii="Times New Roman" w:hAnsi="Times New Roman"/>
                <w:noProof/>
                <w:color w:val="000000"/>
                <w:sz w:val="24"/>
                <w:szCs w:val="24"/>
              </w:rPr>
              <w:t>(dodaj/usuń)</w:t>
            </w:r>
            <w:r w:rsidRPr="00D05697">
              <w:rPr>
                <w:rFonts w:ascii="Times New Roman" w:hAnsi="Times New Roman"/>
                <w:color w:val="000000"/>
                <w:sz w:val="24"/>
                <w:szCs w:val="24"/>
              </w:rPr>
              <w:fldChar w:fldCharType="end"/>
            </w:r>
          </w:p>
        </w:tc>
        <w:tc>
          <w:tcPr>
            <w:tcW w:w="6908" w:type="dxa"/>
            <w:gridSpan w:val="22"/>
            <w:shd w:val="clear" w:color="auto" w:fill="FFFFFF"/>
          </w:tcPr>
          <w:p w14:paraId="230584B0" w14:textId="77777777" w:rsidR="00871A80" w:rsidRPr="00D05697" w:rsidRDefault="00871A80" w:rsidP="00871A80">
            <w:pPr>
              <w:tabs>
                <w:tab w:val="left" w:pos="3000"/>
              </w:tabs>
              <w:rPr>
                <w:rFonts w:ascii="Times New Roman" w:hAnsi="Times New Roman"/>
                <w:color w:val="000000"/>
                <w:spacing w:val="-2"/>
                <w:sz w:val="24"/>
                <w:szCs w:val="24"/>
              </w:rPr>
            </w:pPr>
          </w:p>
        </w:tc>
      </w:tr>
      <w:tr w:rsidR="00871A80" w:rsidRPr="00033B48" w14:paraId="12E407C9" w14:textId="77777777" w:rsidTr="0053280C">
        <w:trPr>
          <w:trHeight w:val="142"/>
        </w:trPr>
        <w:tc>
          <w:tcPr>
            <w:tcW w:w="1538" w:type="dxa"/>
            <w:vMerge w:val="restart"/>
            <w:shd w:val="clear" w:color="auto" w:fill="FFFFFF"/>
          </w:tcPr>
          <w:p w14:paraId="56F130C0" w14:textId="77777777"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Niemierzalne</w:t>
            </w:r>
          </w:p>
        </w:tc>
        <w:tc>
          <w:tcPr>
            <w:tcW w:w="2215" w:type="dxa"/>
            <w:gridSpan w:val="6"/>
            <w:shd w:val="clear" w:color="auto" w:fill="FFFFFF"/>
          </w:tcPr>
          <w:p w14:paraId="7DE81FD8" w14:textId="77777777"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D05697">
              <w:rPr>
                <w:rFonts w:ascii="Times New Roman" w:hAnsi="Times New Roman"/>
                <w:color w:val="000000"/>
                <w:sz w:val="24"/>
                <w:szCs w:val="24"/>
              </w:rPr>
              <w:instrText xml:space="preserve"> FORMTEXT </w:instrText>
            </w:r>
            <w:r w:rsidRPr="00D05697">
              <w:rPr>
                <w:rFonts w:ascii="Times New Roman" w:hAnsi="Times New Roman"/>
                <w:color w:val="000000"/>
                <w:sz w:val="24"/>
                <w:szCs w:val="24"/>
              </w:rPr>
            </w:r>
            <w:r w:rsidRPr="00D05697">
              <w:rPr>
                <w:rFonts w:ascii="Times New Roman" w:hAnsi="Times New Roman"/>
                <w:color w:val="000000"/>
                <w:sz w:val="24"/>
                <w:szCs w:val="24"/>
              </w:rPr>
              <w:fldChar w:fldCharType="separate"/>
            </w:r>
            <w:r w:rsidRPr="00D05697">
              <w:rPr>
                <w:rFonts w:ascii="Times New Roman" w:hAnsi="Times New Roman"/>
                <w:noProof/>
                <w:color w:val="000000"/>
                <w:sz w:val="24"/>
                <w:szCs w:val="24"/>
              </w:rPr>
              <w:t>(dodaj/usuń)</w:t>
            </w:r>
            <w:r w:rsidRPr="00D05697">
              <w:rPr>
                <w:rFonts w:ascii="Times New Roman" w:hAnsi="Times New Roman"/>
                <w:color w:val="000000"/>
                <w:sz w:val="24"/>
                <w:szCs w:val="24"/>
              </w:rPr>
              <w:fldChar w:fldCharType="end"/>
            </w:r>
          </w:p>
        </w:tc>
        <w:tc>
          <w:tcPr>
            <w:tcW w:w="6908" w:type="dxa"/>
            <w:gridSpan w:val="22"/>
            <w:shd w:val="clear" w:color="auto" w:fill="FFFFFF"/>
          </w:tcPr>
          <w:p w14:paraId="4D1AA977" w14:textId="77777777" w:rsidR="00871A80" w:rsidRPr="00D05697" w:rsidRDefault="00871A80" w:rsidP="00871A80">
            <w:pPr>
              <w:spacing w:line="240" w:lineRule="auto"/>
              <w:rPr>
                <w:rFonts w:ascii="Times New Roman" w:hAnsi="Times New Roman"/>
                <w:color w:val="000000"/>
                <w:spacing w:val="-2"/>
                <w:sz w:val="24"/>
                <w:szCs w:val="24"/>
              </w:rPr>
            </w:pPr>
          </w:p>
        </w:tc>
      </w:tr>
      <w:tr w:rsidR="00871A80" w:rsidRPr="00033B48" w14:paraId="4CD1F6E1" w14:textId="77777777" w:rsidTr="0053280C">
        <w:trPr>
          <w:trHeight w:val="142"/>
        </w:trPr>
        <w:tc>
          <w:tcPr>
            <w:tcW w:w="1538" w:type="dxa"/>
            <w:vMerge/>
            <w:shd w:val="clear" w:color="auto" w:fill="FFFFFF"/>
          </w:tcPr>
          <w:p w14:paraId="510B5D6B" w14:textId="77777777" w:rsidR="00871A80" w:rsidRPr="00D05697" w:rsidRDefault="00871A80" w:rsidP="00871A80">
            <w:pPr>
              <w:spacing w:line="240" w:lineRule="auto"/>
              <w:rPr>
                <w:rFonts w:ascii="Times New Roman" w:hAnsi="Times New Roman"/>
                <w:color w:val="000000"/>
                <w:sz w:val="24"/>
                <w:szCs w:val="24"/>
              </w:rPr>
            </w:pPr>
          </w:p>
        </w:tc>
        <w:tc>
          <w:tcPr>
            <w:tcW w:w="2215" w:type="dxa"/>
            <w:gridSpan w:val="6"/>
            <w:shd w:val="clear" w:color="auto" w:fill="FFFFFF"/>
          </w:tcPr>
          <w:p w14:paraId="3C0BC2F0" w14:textId="77777777"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D05697">
              <w:rPr>
                <w:rFonts w:ascii="Times New Roman" w:hAnsi="Times New Roman"/>
                <w:color w:val="000000"/>
                <w:sz w:val="24"/>
                <w:szCs w:val="24"/>
              </w:rPr>
              <w:instrText xml:space="preserve"> FORMTEXT </w:instrText>
            </w:r>
            <w:r w:rsidRPr="00D05697">
              <w:rPr>
                <w:rFonts w:ascii="Times New Roman" w:hAnsi="Times New Roman"/>
                <w:color w:val="000000"/>
                <w:sz w:val="24"/>
                <w:szCs w:val="24"/>
              </w:rPr>
            </w:r>
            <w:r w:rsidRPr="00D05697">
              <w:rPr>
                <w:rFonts w:ascii="Times New Roman" w:hAnsi="Times New Roman"/>
                <w:color w:val="000000"/>
                <w:sz w:val="24"/>
                <w:szCs w:val="24"/>
              </w:rPr>
              <w:fldChar w:fldCharType="separate"/>
            </w:r>
            <w:r w:rsidRPr="00D05697">
              <w:rPr>
                <w:rFonts w:ascii="Times New Roman" w:hAnsi="Times New Roman"/>
                <w:noProof/>
                <w:color w:val="000000"/>
                <w:sz w:val="24"/>
                <w:szCs w:val="24"/>
              </w:rPr>
              <w:t>(dodaj/usuń)</w:t>
            </w:r>
            <w:r w:rsidRPr="00D05697">
              <w:rPr>
                <w:rFonts w:ascii="Times New Roman" w:hAnsi="Times New Roman"/>
                <w:color w:val="000000"/>
                <w:sz w:val="24"/>
                <w:szCs w:val="24"/>
              </w:rPr>
              <w:fldChar w:fldCharType="end"/>
            </w:r>
          </w:p>
        </w:tc>
        <w:tc>
          <w:tcPr>
            <w:tcW w:w="6908" w:type="dxa"/>
            <w:gridSpan w:val="22"/>
            <w:shd w:val="clear" w:color="auto" w:fill="FFFFFF"/>
          </w:tcPr>
          <w:p w14:paraId="2A424EB3" w14:textId="77777777" w:rsidR="00871A80" w:rsidRPr="00D05697" w:rsidRDefault="00871A80" w:rsidP="00871A80">
            <w:pPr>
              <w:spacing w:line="240" w:lineRule="auto"/>
              <w:rPr>
                <w:rFonts w:ascii="Times New Roman" w:hAnsi="Times New Roman"/>
                <w:color w:val="000000"/>
                <w:spacing w:val="-2"/>
                <w:sz w:val="24"/>
                <w:szCs w:val="24"/>
              </w:rPr>
            </w:pPr>
          </w:p>
        </w:tc>
      </w:tr>
      <w:tr w:rsidR="00871A80" w:rsidRPr="00033B48" w14:paraId="77BF04AC" w14:textId="77777777" w:rsidTr="0053280C">
        <w:trPr>
          <w:trHeight w:val="1643"/>
        </w:trPr>
        <w:tc>
          <w:tcPr>
            <w:tcW w:w="2211" w:type="dxa"/>
            <w:gridSpan w:val="2"/>
            <w:shd w:val="clear" w:color="auto" w:fill="FFFFFF"/>
          </w:tcPr>
          <w:p w14:paraId="2DF8E504" w14:textId="77777777"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 xml:space="preserve">Dodatkowe informacje, w tym wskazanie źródeł danych i przyjętych do obliczeń założeń </w:t>
            </w:r>
          </w:p>
        </w:tc>
        <w:tc>
          <w:tcPr>
            <w:tcW w:w="8450" w:type="dxa"/>
            <w:gridSpan w:val="27"/>
            <w:shd w:val="clear" w:color="auto" w:fill="FFFFFF"/>
            <w:vAlign w:val="center"/>
          </w:tcPr>
          <w:p w14:paraId="50288177" w14:textId="77777777" w:rsidR="00C93E3B" w:rsidRDefault="00871A80" w:rsidP="00C93E3B">
            <w:pPr>
              <w:spacing w:before="120" w:after="120" w:line="240" w:lineRule="auto"/>
              <w:jc w:val="both"/>
              <w:rPr>
                <w:rFonts w:ascii="Times New Roman" w:hAnsi="Times New Roman"/>
                <w:color w:val="000000"/>
                <w:sz w:val="24"/>
                <w:szCs w:val="24"/>
              </w:rPr>
            </w:pPr>
            <w:r w:rsidRPr="00D05697">
              <w:rPr>
                <w:rFonts w:ascii="Times New Roman" w:hAnsi="Times New Roman"/>
                <w:color w:val="000000"/>
                <w:sz w:val="24"/>
                <w:szCs w:val="24"/>
              </w:rPr>
              <w:t>Zakłada się pozytywny wpływ na konkurencyjność gospodarki oraz wzrost konkurencji ze względu na likwidację barier regulacyjnych umożliwiających tworzenie elastycznych i prostych form inwestowania na rynku kapitałowym, a także zwiększenie możliwości pozyskania kapitału prywatnego w celu finansowania inwestycji</w:t>
            </w:r>
            <w:r w:rsidR="00C93E3B">
              <w:rPr>
                <w:rFonts w:ascii="Times New Roman" w:hAnsi="Times New Roman"/>
                <w:color w:val="000000"/>
                <w:sz w:val="24"/>
                <w:szCs w:val="24"/>
              </w:rPr>
              <w:t>.</w:t>
            </w:r>
          </w:p>
          <w:p w14:paraId="77EBE55A" w14:textId="509A7EC2" w:rsidR="004300C8" w:rsidRPr="004B1A87" w:rsidRDefault="004300C8" w:rsidP="00C93E3B">
            <w:pPr>
              <w:spacing w:before="120" w:after="120" w:line="240" w:lineRule="auto"/>
              <w:jc w:val="both"/>
              <w:rPr>
                <w:rFonts w:ascii="Times New Roman" w:hAnsi="Times New Roman"/>
                <w:color w:val="000000"/>
                <w:sz w:val="24"/>
                <w:szCs w:val="24"/>
              </w:rPr>
            </w:pPr>
            <w:r w:rsidRPr="004B1A87">
              <w:rPr>
                <w:rFonts w:ascii="Times New Roman" w:hAnsi="Times New Roman"/>
                <w:color w:val="000000"/>
                <w:sz w:val="24"/>
                <w:szCs w:val="24"/>
              </w:rPr>
              <w:t>Dla prywatnych inwestorów (w tym osób fizycznych działających jako inwestorzy kwalifikowani</w:t>
            </w:r>
            <w:r w:rsidR="002577E8">
              <w:rPr>
                <w:rFonts w:ascii="Times New Roman" w:hAnsi="Times New Roman"/>
                <w:color w:val="000000"/>
                <w:sz w:val="24"/>
                <w:szCs w:val="24"/>
              </w:rPr>
              <w:t xml:space="preserve">, a także w formie </w:t>
            </w:r>
            <w:r w:rsidRPr="002577E8">
              <w:rPr>
                <w:rFonts w:ascii="Times New Roman" w:hAnsi="Times New Roman"/>
                <w:i/>
                <w:iCs/>
                <w:color w:val="000000"/>
                <w:sz w:val="24"/>
                <w:szCs w:val="24"/>
              </w:rPr>
              <w:t xml:space="preserve">family </w:t>
            </w:r>
            <w:proofErr w:type="spellStart"/>
            <w:r w:rsidRPr="002577E8">
              <w:rPr>
                <w:rFonts w:ascii="Times New Roman" w:hAnsi="Times New Roman"/>
                <w:i/>
                <w:iCs/>
                <w:color w:val="000000"/>
                <w:sz w:val="24"/>
                <w:szCs w:val="24"/>
              </w:rPr>
              <w:t>offices</w:t>
            </w:r>
            <w:proofErr w:type="spellEnd"/>
            <w:r w:rsidRPr="004B1A87">
              <w:rPr>
                <w:rFonts w:ascii="Times New Roman" w:hAnsi="Times New Roman"/>
                <w:color w:val="000000"/>
                <w:sz w:val="24"/>
                <w:szCs w:val="24"/>
              </w:rPr>
              <w:t>) regulacja oznacza zwiększenie bezpieczeństwa prawnego, przewidywalności zasad inwestowania oraz dostęp do instrumentu zbliżonego do standardów funkcjonujących w innych państwach UE, co ograniczy potrzebę korzystania z zagranicznych struktur inwestycyjnych.</w:t>
            </w:r>
          </w:p>
          <w:p w14:paraId="1D3790E9" w14:textId="5166595C" w:rsidR="00871A80" w:rsidRPr="00D05697" w:rsidRDefault="004300C8" w:rsidP="00C93E3B">
            <w:pPr>
              <w:spacing w:before="120" w:after="120" w:line="240" w:lineRule="auto"/>
              <w:jc w:val="both"/>
              <w:rPr>
                <w:rFonts w:ascii="Times New Roman" w:hAnsi="Times New Roman"/>
                <w:color w:val="000000"/>
                <w:sz w:val="24"/>
                <w:szCs w:val="24"/>
              </w:rPr>
            </w:pPr>
            <w:r w:rsidRPr="004B1A87">
              <w:rPr>
                <w:rFonts w:ascii="Times New Roman" w:hAnsi="Times New Roman"/>
                <w:color w:val="000000"/>
                <w:sz w:val="24"/>
                <w:szCs w:val="24"/>
              </w:rPr>
              <w:t>Regulacja będzie również korzystna dla instytucji finansowych, w szczególności towarzystw funduszy inwestycyjnych, zarządzających alternatywnymi funduszami inwestycyjnymi oraz instytucjonalnych inwestorów długoterminowych (w tym funduszy emerytalnych i pracowniczych planów kapitałowych). KFI stworzy ramy prawne umożliwiające efektywne alokowanie kapitału w sektorze rynku prywatnego, przy jednoczesnym zachowaniu wymogów wynikających z ustawy o funduszach inwestycyjnych oraz dyrektywy AIFMD.</w:t>
            </w:r>
          </w:p>
        </w:tc>
      </w:tr>
      <w:tr w:rsidR="00871A80" w:rsidRPr="00033B48" w14:paraId="3D75E761" w14:textId="77777777" w:rsidTr="0053280C">
        <w:trPr>
          <w:trHeight w:val="342"/>
        </w:trPr>
        <w:tc>
          <w:tcPr>
            <w:tcW w:w="10661" w:type="dxa"/>
            <w:gridSpan w:val="29"/>
            <w:shd w:val="clear" w:color="auto" w:fill="99CCFF"/>
            <w:vAlign w:val="center"/>
          </w:tcPr>
          <w:p w14:paraId="76232601" w14:textId="77777777" w:rsidR="00871A80" w:rsidRPr="00D05697" w:rsidRDefault="00871A80" w:rsidP="00871A80">
            <w:pPr>
              <w:numPr>
                <w:ilvl w:val="0"/>
                <w:numId w:val="3"/>
              </w:numPr>
              <w:spacing w:before="60" w:after="60" w:line="240" w:lineRule="auto"/>
              <w:ind w:left="318" w:hanging="284"/>
              <w:jc w:val="both"/>
              <w:rPr>
                <w:rFonts w:ascii="Times New Roman" w:hAnsi="Times New Roman"/>
                <w:b/>
                <w:color w:val="000000"/>
                <w:sz w:val="24"/>
                <w:szCs w:val="24"/>
              </w:rPr>
            </w:pPr>
            <w:r w:rsidRPr="00D05697">
              <w:rPr>
                <w:rFonts w:ascii="Times New Roman" w:hAnsi="Times New Roman"/>
                <w:b/>
                <w:color w:val="000000"/>
                <w:sz w:val="24"/>
                <w:szCs w:val="24"/>
              </w:rPr>
              <w:t xml:space="preserve"> Zmiana obciążeń regulacyjnych (w tym obowiązków informacyjnych) wynikających z projektu</w:t>
            </w:r>
          </w:p>
        </w:tc>
      </w:tr>
      <w:tr w:rsidR="00871A80" w:rsidRPr="00033B48" w14:paraId="29C9B2D6" w14:textId="77777777" w:rsidTr="0053280C">
        <w:trPr>
          <w:trHeight w:val="151"/>
        </w:trPr>
        <w:tc>
          <w:tcPr>
            <w:tcW w:w="10661" w:type="dxa"/>
            <w:gridSpan w:val="29"/>
            <w:shd w:val="clear" w:color="auto" w:fill="FFFFFF"/>
          </w:tcPr>
          <w:p w14:paraId="6F3A472E" w14:textId="2926449D"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fldChar w:fldCharType="begin">
                <w:ffData>
                  <w:name w:val=""/>
                  <w:enabled/>
                  <w:calcOnExit w:val="0"/>
                  <w:checkBox>
                    <w:sizeAuto/>
                    <w:default w:val="0"/>
                  </w:checkBox>
                </w:ffData>
              </w:fldChar>
            </w:r>
            <w:r w:rsidRPr="00D05697">
              <w:rPr>
                <w:rFonts w:ascii="Times New Roman" w:hAnsi="Times New Roman"/>
                <w:color w:val="000000"/>
                <w:sz w:val="24"/>
                <w:szCs w:val="24"/>
              </w:rPr>
              <w:instrText xml:space="preserve"> FORMCHECKBOX </w:instrText>
            </w:r>
            <w:r w:rsidR="00DF4D5A">
              <w:rPr>
                <w:rFonts w:ascii="Times New Roman" w:hAnsi="Times New Roman"/>
                <w:color w:val="000000"/>
                <w:sz w:val="24"/>
                <w:szCs w:val="24"/>
              </w:rPr>
            </w:r>
            <w:r w:rsidR="00DF4D5A">
              <w:rPr>
                <w:rFonts w:ascii="Times New Roman" w:hAnsi="Times New Roman"/>
                <w:color w:val="000000"/>
                <w:sz w:val="24"/>
                <w:szCs w:val="24"/>
              </w:rPr>
              <w:fldChar w:fldCharType="separate"/>
            </w:r>
            <w:r w:rsidRPr="00D05697">
              <w:rPr>
                <w:rFonts w:ascii="Times New Roman" w:hAnsi="Times New Roman"/>
                <w:color w:val="000000"/>
                <w:sz w:val="24"/>
                <w:szCs w:val="24"/>
              </w:rPr>
              <w:fldChar w:fldCharType="end"/>
            </w:r>
            <w:r w:rsidRPr="00D05697">
              <w:rPr>
                <w:rFonts w:ascii="Times New Roman" w:hAnsi="Times New Roman"/>
                <w:color w:val="000000"/>
                <w:sz w:val="24"/>
                <w:szCs w:val="24"/>
              </w:rPr>
              <w:t xml:space="preserve"> </w:t>
            </w:r>
            <w:r w:rsidRPr="00D05697">
              <w:rPr>
                <w:rFonts w:ascii="Times New Roman" w:hAnsi="Times New Roman"/>
                <w:color w:val="000000"/>
                <w:spacing w:val="-2"/>
                <w:sz w:val="24"/>
                <w:szCs w:val="24"/>
              </w:rPr>
              <w:t>nie dotyczy</w:t>
            </w:r>
          </w:p>
        </w:tc>
      </w:tr>
      <w:tr w:rsidR="00871A80" w:rsidRPr="00033B48" w14:paraId="3A2588BA" w14:textId="77777777" w:rsidTr="0053280C">
        <w:trPr>
          <w:trHeight w:val="946"/>
        </w:trPr>
        <w:tc>
          <w:tcPr>
            <w:tcW w:w="4945" w:type="dxa"/>
            <w:gridSpan w:val="12"/>
            <w:shd w:val="clear" w:color="auto" w:fill="FFFFFF"/>
          </w:tcPr>
          <w:p w14:paraId="39DE90C9" w14:textId="77777777" w:rsidR="00871A80" w:rsidRPr="00D05697" w:rsidRDefault="00871A80" w:rsidP="00871A80">
            <w:pPr>
              <w:rPr>
                <w:rFonts w:ascii="Times New Roman" w:hAnsi="Times New Roman"/>
                <w:color w:val="000000"/>
                <w:spacing w:val="-2"/>
                <w:sz w:val="24"/>
                <w:szCs w:val="24"/>
              </w:rPr>
            </w:pPr>
            <w:r w:rsidRPr="00D05697">
              <w:rPr>
                <w:rFonts w:ascii="Times New Roman" w:hAnsi="Times New Roman"/>
                <w:color w:val="000000"/>
                <w:spacing w:val="-2"/>
                <w:sz w:val="24"/>
                <w:szCs w:val="24"/>
              </w:rPr>
              <w:lastRenderedPageBreak/>
              <w:t xml:space="preserve">Wprowadzane są obciążenia poza bezwzględnie wymaganymi przez UE </w:t>
            </w:r>
            <w:r w:rsidRPr="00D05697">
              <w:rPr>
                <w:rFonts w:ascii="Times New Roman" w:hAnsi="Times New Roman"/>
                <w:color w:val="000000"/>
                <w:sz w:val="24"/>
                <w:szCs w:val="24"/>
              </w:rPr>
              <w:t>(szczegóły w odwróconej tabeli zgodności).</w:t>
            </w:r>
          </w:p>
        </w:tc>
        <w:tc>
          <w:tcPr>
            <w:tcW w:w="5716" w:type="dxa"/>
            <w:gridSpan w:val="17"/>
            <w:shd w:val="clear" w:color="auto" w:fill="FFFFFF"/>
          </w:tcPr>
          <w:p w14:paraId="2A654F14" w14:textId="77777777"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fldChar w:fldCharType="begin">
                <w:ffData>
                  <w:name w:val="Wybór1"/>
                  <w:enabled/>
                  <w:calcOnExit w:val="0"/>
                  <w:checkBox>
                    <w:sizeAuto/>
                    <w:default w:val="0"/>
                  </w:checkBox>
                </w:ffData>
              </w:fldChar>
            </w:r>
            <w:r w:rsidRPr="00D05697">
              <w:rPr>
                <w:rFonts w:ascii="Times New Roman" w:hAnsi="Times New Roman"/>
                <w:color w:val="000000"/>
                <w:sz w:val="24"/>
                <w:szCs w:val="24"/>
              </w:rPr>
              <w:instrText xml:space="preserve"> FORMCHECKBOX </w:instrText>
            </w:r>
            <w:r w:rsidR="00DF4D5A">
              <w:rPr>
                <w:rFonts w:ascii="Times New Roman" w:hAnsi="Times New Roman"/>
                <w:color w:val="000000"/>
                <w:sz w:val="24"/>
                <w:szCs w:val="24"/>
              </w:rPr>
            </w:r>
            <w:r w:rsidR="00DF4D5A">
              <w:rPr>
                <w:rFonts w:ascii="Times New Roman" w:hAnsi="Times New Roman"/>
                <w:color w:val="000000"/>
                <w:sz w:val="24"/>
                <w:szCs w:val="24"/>
              </w:rPr>
              <w:fldChar w:fldCharType="separate"/>
            </w:r>
            <w:r w:rsidRPr="00D05697">
              <w:rPr>
                <w:rFonts w:ascii="Times New Roman" w:hAnsi="Times New Roman"/>
                <w:color w:val="000000"/>
                <w:sz w:val="24"/>
                <w:szCs w:val="24"/>
              </w:rPr>
              <w:fldChar w:fldCharType="end"/>
            </w:r>
            <w:r w:rsidRPr="00D05697">
              <w:rPr>
                <w:rFonts w:ascii="Times New Roman" w:hAnsi="Times New Roman"/>
                <w:color w:val="000000"/>
                <w:sz w:val="24"/>
                <w:szCs w:val="24"/>
              </w:rPr>
              <w:t xml:space="preserve"> tak</w:t>
            </w:r>
          </w:p>
          <w:p w14:paraId="0B9786DD" w14:textId="310139AE" w:rsidR="00871A80" w:rsidRPr="00D05697" w:rsidRDefault="00D05697" w:rsidP="00871A80">
            <w:pPr>
              <w:spacing w:line="240" w:lineRule="auto"/>
              <w:rPr>
                <w:rFonts w:ascii="Times New Roman" w:hAnsi="Times New Roman"/>
                <w:color w:val="000000"/>
                <w:sz w:val="24"/>
                <w:szCs w:val="24"/>
              </w:rPr>
            </w:pPr>
            <w:r>
              <w:rPr>
                <w:rFonts w:ascii="Times New Roman" w:hAnsi="Times New Roman"/>
                <w:color w:val="000000"/>
                <w:sz w:val="24"/>
                <w:szCs w:val="24"/>
              </w:rPr>
              <w:fldChar w:fldCharType="begin">
                <w:ffData>
                  <w:name w:val=""/>
                  <w:enabled/>
                  <w:calcOnExit w:val="0"/>
                  <w:checkBox>
                    <w:sizeAuto/>
                    <w:default w:val="1"/>
                  </w:checkBox>
                </w:ffData>
              </w:fldChar>
            </w:r>
            <w:r>
              <w:rPr>
                <w:rFonts w:ascii="Times New Roman" w:hAnsi="Times New Roman"/>
                <w:color w:val="000000"/>
                <w:sz w:val="24"/>
                <w:szCs w:val="24"/>
              </w:rPr>
              <w:instrText xml:space="preserve"> FORMCHECKBOX </w:instrText>
            </w:r>
            <w:r w:rsidR="00DF4D5A">
              <w:rPr>
                <w:rFonts w:ascii="Times New Roman" w:hAnsi="Times New Roman"/>
                <w:color w:val="000000"/>
                <w:sz w:val="24"/>
                <w:szCs w:val="24"/>
              </w:rPr>
            </w:r>
            <w:r w:rsidR="00DF4D5A">
              <w:rPr>
                <w:rFonts w:ascii="Times New Roman" w:hAnsi="Times New Roman"/>
                <w:color w:val="000000"/>
                <w:sz w:val="24"/>
                <w:szCs w:val="24"/>
              </w:rPr>
              <w:fldChar w:fldCharType="separate"/>
            </w:r>
            <w:r>
              <w:rPr>
                <w:rFonts w:ascii="Times New Roman" w:hAnsi="Times New Roman"/>
                <w:color w:val="000000"/>
                <w:sz w:val="24"/>
                <w:szCs w:val="24"/>
              </w:rPr>
              <w:fldChar w:fldCharType="end"/>
            </w:r>
            <w:r w:rsidR="00871A80" w:rsidRPr="00D05697">
              <w:rPr>
                <w:rFonts w:ascii="Times New Roman" w:hAnsi="Times New Roman"/>
                <w:color w:val="000000"/>
                <w:sz w:val="24"/>
                <w:szCs w:val="24"/>
              </w:rPr>
              <w:t xml:space="preserve"> nie</w:t>
            </w:r>
          </w:p>
          <w:p w14:paraId="4F1D8288" w14:textId="407B0A6A" w:rsidR="00871A80" w:rsidRPr="00D05697" w:rsidRDefault="001565E8" w:rsidP="00871A80">
            <w:pPr>
              <w:rPr>
                <w:rFonts w:ascii="Times New Roman" w:hAnsi="Times New Roman"/>
                <w:color w:val="000000"/>
                <w:sz w:val="24"/>
                <w:szCs w:val="24"/>
              </w:rPr>
            </w:pPr>
            <w:r w:rsidRPr="00D05697">
              <w:rPr>
                <w:rFonts w:ascii="Times New Roman" w:hAnsi="Times New Roman"/>
                <w:color w:val="000000"/>
                <w:sz w:val="24"/>
                <w:szCs w:val="24"/>
              </w:rPr>
              <w:fldChar w:fldCharType="begin">
                <w:ffData>
                  <w:name w:val=""/>
                  <w:enabled/>
                  <w:calcOnExit w:val="0"/>
                  <w:checkBox>
                    <w:sizeAuto/>
                    <w:default w:val="0"/>
                  </w:checkBox>
                </w:ffData>
              </w:fldChar>
            </w:r>
            <w:r w:rsidRPr="00D05697">
              <w:rPr>
                <w:rFonts w:ascii="Times New Roman" w:hAnsi="Times New Roman"/>
                <w:color w:val="000000"/>
                <w:sz w:val="24"/>
                <w:szCs w:val="24"/>
              </w:rPr>
              <w:instrText xml:space="preserve"> FORMCHECKBOX </w:instrText>
            </w:r>
            <w:r w:rsidR="00DF4D5A">
              <w:rPr>
                <w:rFonts w:ascii="Times New Roman" w:hAnsi="Times New Roman"/>
                <w:color w:val="000000"/>
                <w:sz w:val="24"/>
                <w:szCs w:val="24"/>
              </w:rPr>
            </w:r>
            <w:r w:rsidR="00DF4D5A">
              <w:rPr>
                <w:rFonts w:ascii="Times New Roman" w:hAnsi="Times New Roman"/>
                <w:color w:val="000000"/>
                <w:sz w:val="24"/>
                <w:szCs w:val="24"/>
              </w:rPr>
              <w:fldChar w:fldCharType="separate"/>
            </w:r>
            <w:r w:rsidRPr="00D05697">
              <w:rPr>
                <w:rFonts w:ascii="Times New Roman" w:hAnsi="Times New Roman"/>
                <w:color w:val="000000"/>
                <w:sz w:val="24"/>
                <w:szCs w:val="24"/>
              </w:rPr>
              <w:fldChar w:fldCharType="end"/>
            </w:r>
            <w:r w:rsidR="00871A80" w:rsidRPr="00D05697">
              <w:rPr>
                <w:rFonts w:ascii="Times New Roman" w:hAnsi="Times New Roman"/>
                <w:color w:val="000000"/>
                <w:sz w:val="24"/>
                <w:szCs w:val="24"/>
              </w:rPr>
              <w:t xml:space="preserve"> nie dotyczy</w:t>
            </w:r>
          </w:p>
        </w:tc>
      </w:tr>
      <w:tr w:rsidR="00871A80" w:rsidRPr="00033B48" w14:paraId="3E25E47A" w14:textId="77777777" w:rsidTr="0053280C">
        <w:trPr>
          <w:trHeight w:val="1245"/>
        </w:trPr>
        <w:tc>
          <w:tcPr>
            <w:tcW w:w="4945" w:type="dxa"/>
            <w:gridSpan w:val="12"/>
            <w:shd w:val="clear" w:color="auto" w:fill="FFFFFF"/>
          </w:tcPr>
          <w:p w14:paraId="4CFB21EF" w14:textId="77777777" w:rsidR="00871A80" w:rsidRPr="00D05697" w:rsidRDefault="00871A80" w:rsidP="00871A80">
            <w:pPr>
              <w:spacing w:line="240" w:lineRule="auto"/>
              <w:rPr>
                <w:rFonts w:ascii="Times New Roman" w:hAnsi="Times New Roman"/>
                <w:color w:val="000000"/>
                <w:spacing w:val="-2"/>
                <w:sz w:val="24"/>
                <w:szCs w:val="24"/>
              </w:rPr>
            </w:pPr>
            <w:r w:rsidRPr="00D05697">
              <w:rPr>
                <w:rFonts w:ascii="Times New Roman" w:hAnsi="Times New Roman"/>
                <w:color w:val="000000"/>
                <w:sz w:val="24"/>
                <w:szCs w:val="24"/>
              </w:rPr>
              <w:fldChar w:fldCharType="begin">
                <w:ffData>
                  <w:name w:val="Wybór1"/>
                  <w:enabled/>
                  <w:calcOnExit w:val="0"/>
                  <w:checkBox>
                    <w:sizeAuto/>
                    <w:default w:val="0"/>
                  </w:checkBox>
                </w:ffData>
              </w:fldChar>
            </w:r>
            <w:r w:rsidRPr="00D05697">
              <w:rPr>
                <w:rFonts w:ascii="Times New Roman" w:hAnsi="Times New Roman"/>
                <w:color w:val="000000"/>
                <w:sz w:val="24"/>
                <w:szCs w:val="24"/>
              </w:rPr>
              <w:instrText xml:space="preserve"> FORMCHECKBOX </w:instrText>
            </w:r>
            <w:r w:rsidR="00DF4D5A">
              <w:rPr>
                <w:rFonts w:ascii="Times New Roman" w:hAnsi="Times New Roman"/>
                <w:color w:val="000000"/>
                <w:sz w:val="24"/>
                <w:szCs w:val="24"/>
              </w:rPr>
            </w:r>
            <w:r w:rsidR="00DF4D5A">
              <w:rPr>
                <w:rFonts w:ascii="Times New Roman" w:hAnsi="Times New Roman"/>
                <w:color w:val="000000"/>
                <w:sz w:val="24"/>
                <w:szCs w:val="24"/>
              </w:rPr>
              <w:fldChar w:fldCharType="separate"/>
            </w:r>
            <w:r w:rsidRPr="00D05697">
              <w:rPr>
                <w:rFonts w:ascii="Times New Roman" w:hAnsi="Times New Roman"/>
                <w:color w:val="000000"/>
                <w:sz w:val="24"/>
                <w:szCs w:val="24"/>
              </w:rPr>
              <w:fldChar w:fldCharType="end"/>
            </w:r>
            <w:r w:rsidRPr="00D05697">
              <w:rPr>
                <w:rFonts w:ascii="Times New Roman" w:hAnsi="Times New Roman"/>
                <w:color w:val="000000"/>
                <w:sz w:val="24"/>
                <w:szCs w:val="24"/>
              </w:rPr>
              <w:t xml:space="preserve"> </w:t>
            </w:r>
            <w:r w:rsidRPr="00D05697">
              <w:rPr>
                <w:rFonts w:ascii="Times New Roman" w:hAnsi="Times New Roman"/>
                <w:color w:val="000000"/>
                <w:spacing w:val="-2"/>
                <w:sz w:val="24"/>
                <w:szCs w:val="24"/>
              </w:rPr>
              <w:t xml:space="preserve">zmniejszenie liczby dokumentów </w:t>
            </w:r>
          </w:p>
          <w:p w14:paraId="5951A9E9" w14:textId="77777777" w:rsidR="00871A80" w:rsidRPr="00D05697" w:rsidRDefault="00871A80" w:rsidP="00871A80">
            <w:pPr>
              <w:spacing w:line="240" w:lineRule="auto"/>
              <w:rPr>
                <w:rFonts w:ascii="Times New Roman" w:hAnsi="Times New Roman"/>
                <w:color w:val="000000"/>
                <w:spacing w:val="-2"/>
                <w:sz w:val="24"/>
                <w:szCs w:val="24"/>
              </w:rPr>
            </w:pPr>
            <w:r w:rsidRPr="00D05697">
              <w:rPr>
                <w:rFonts w:ascii="Times New Roman" w:hAnsi="Times New Roman"/>
                <w:color w:val="000000"/>
                <w:sz w:val="24"/>
                <w:szCs w:val="24"/>
              </w:rPr>
              <w:fldChar w:fldCharType="begin">
                <w:ffData>
                  <w:name w:val="Wybór1"/>
                  <w:enabled/>
                  <w:calcOnExit w:val="0"/>
                  <w:checkBox>
                    <w:sizeAuto/>
                    <w:default w:val="0"/>
                  </w:checkBox>
                </w:ffData>
              </w:fldChar>
            </w:r>
            <w:r w:rsidRPr="00D05697">
              <w:rPr>
                <w:rFonts w:ascii="Times New Roman" w:hAnsi="Times New Roman"/>
                <w:color w:val="000000"/>
                <w:sz w:val="24"/>
                <w:szCs w:val="24"/>
              </w:rPr>
              <w:instrText xml:space="preserve"> FORMCHECKBOX </w:instrText>
            </w:r>
            <w:r w:rsidR="00DF4D5A">
              <w:rPr>
                <w:rFonts w:ascii="Times New Roman" w:hAnsi="Times New Roman"/>
                <w:color w:val="000000"/>
                <w:sz w:val="24"/>
                <w:szCs w:val="24"/>
              </w:rPr>
            </w:r>
            <w:r w:rsidR="00DF4D5A">
              <w:rPr>
                <w:rFonts w:ascii="Times New Roman" w:hAnsi="Times New Roman"/>
                <w:color w:val="000000"/>
                <w:sz w:val="24"/>
                <w:szCs w:val="24"/>
              </w:rPr>
              <w:fldChar w:fldCharType="separate"/>
            </w:r>
            <w:r w:rsidRPr="00D05697">
              <w:rPr>
                <w:rFonts w:ascii="Times New Roman" w:hAnsi="Times New Roman"/>
                <w:color w:val="000000"/>
                <w:sz w:val="24"/>
                <w:szCs w:val="24"/>
              </w:rPr>
              <w:fldChar w:fldCharType="end"/>
            </w:r>
            <w:r w:rsidRPr="00D05697">
              <w:rPr>
                <w:rFonts w:ascii="Times New Roman" w:hAnsi="Times New Roman"/>
                <w:color w:val="000000"/>
                <w:sz w:val="24"/>
                <w:szCs w:val="24"/>
              </w:rPr>
              <w:t xml:space="preserve"> </w:t>
            </w:r>
            <w:r w:rsidRPr="00D05697">
              <w:rPr>
                <w:rFonts w:ascii="Times New Roman" w:hAnsi="Times New Roman"/>
                <w:color w:val="000000"/>
                <w:spacing w:val="-2"/>
                <w:sz w:val="24"/>
                <w:szCs w:val="24"/>
              </w:rPr>
              <w:t>zmniejszenie liczby procedur</w:t>
            </w:r>
          </w:p>
          <w:p w14:paraId="2CF0328D" w14:textId="1190E748" w:rsidR="00871A80" w:rsidRPr="00D05697" w:rsidRDefault="00D05697" w:rsidP="00871A80">
            <w:pPr>
              <w:spacing w:line="240" w:lineRule="auto"/>
              <w:rPr>
                <w:rFonts w:ascii="Times New Roman" w:hAnsi="Times New Roman"/>
                <w:color w:val="000000"/>
                <w:spacing w:val="-2"/>
                <w:sz w:val="24"/>
                <w:szCs w:val="24"/>
              </w:rPr>
            </w:pPr>
            <w:r>
              <w:rPr>
                <w:rFonts w:ascii="Times New Roman" w:hAnsi="Times New Roman"/>
                <w:color w:val="000000"/>
                <w:sz w:val="24"/>
                <w:szCs w:val="24"/>
              </w:rPr>
              <w:fldChar w:fldCharType="begin">
                <w:ffData>
                  <w:name w:val=""/>
                  <w:enabled/>
                  <w:calcOnExit w:val="0"/>
                  <w:checkBox>
                    <w:sizeAuto/>
                    <w:default w:val="1"/>
                  </w:checkBox>
                </w:ffData>
              </w:fldChar>
            </w:r>
            <w:r>
              <w:rPr>
                <w:rFonts w:ascii="Times New Roman" w:hAnsi="Times New Roman"/>
                <w:color w:val="000000"/>
                <w:sz w:val="24"/>
                <w:szCs w:val="24"/>
              </w:rPr>
              <w:instrText xml:space="preserve"> FORMCHECKBOX </w:instrText>
            </w:r>
            <w:r w:rsidR="00DF4D5A">
              <w:rPr>
                <w:rFonts w:ascii="Times New Roman" w:hAnsi="Times New Roman"/>
                <w:color w:val="000000"/>
                <w:sz w:val="24"/>
                <w:szCs w:val="24"/>
              </w:rPr>
            </w:r>
            <w:r w:rsidR="00DF4D5A">
              <w:rPr>
                <w:rFonts w:ascii="Times New Roman" w:hAnsi="Times New Roman"/>
                <w:color w:val="000000"/>
                <w:sz w:val="24"/>
                <w:szCs w:val="24"/>
              </w:rPr>
              <w:fldChar w:fldCharType="separate"/>
            </w:r>
            <w:r>
              <w:rPr>
                <w:rFonts w:ascii="Times New Roman" w:hAnsi="Times New Roman"/>
                <w:color w:val="000000"/>
                <w:sz w:val="24"/>
                <w:szCs w:val="24"/>
              </w:rPr>
              <w:fldChar w:fldCharType="end"/>
            </w:r>
            <w:r w:rsidR="00871A80" w:rsidRPr="00D05697">
              <w:rPr>
                <w:rFonts w:ascii="Times New Roman" w:hAnsi="Times New Roman"/>
                <w:color w:val="000000"/>
                <w:sz w:val="24"/>
                <w:szCs w:val="24"/>
              </w:rPr>
              <w:t xml:space="preserve"> </w:t>
            </w:r>
            <w:r w:rsidR="00871A80" w:rsidRPr="00D05697">
              <w:rPr>
                <w:rFonts w:ascii="Times New Roman" w:hAnsi="Times New Roman"/>
                <w:color w:val="000000"/>
                <w:spacing w:val="-2"/>
                <w:sz w:val="24"/>
                <w:szCs w:val="24"/>
              </w:rPr>
              <w:t>skrócenie czasu na załatwienie sprawy</w:t>
            </w:r>
          </w:p>
          <w:p w14:paraId="15D01C13" w14:textId="77777777" w:rsidR="00871A80" w:rsidRPr="00D05697" w:rsidRDefault="00871A80" w:rsidP="00871A80">
            <w:pPr>
              <w:rPr>
                <w:rFonts w:ascii="Times New Roman" w:hAnsi="Times New Roman"/>
                <w:b/>
                <w:color w:val="000000"/>
                <w:spacing w:val="-2"/>
                <w:sz w:val="24"/>
                <w:szCs w:val="24"/>
              </w:rPr>
            </w:pPr>
            <w:r w:rsidRPr="00D05697">
              <w:rPr>
                <w:rFonts w:ascii="Times New Roman" w:hAnsi="Times New Roman"/>
                <w:color w:val="000000"/>
                <w:sz w:val="24"/>
                <w:szCs w:val="24"/>
              </w:rPr>
              <w:fldChar w:fldCharType="begin">
                <w:ffData>
                  <w:name w:val="Wybór1"/>
                  <w:enabled/>
                  <w:calcOnExit w:val="0"/>
                  <w:checkBox>
                    <w:sizeAuto/>
                    <w:default w:val="0"/>
                  </w:checkBox>
                </w:ffData>
              </w:fldChar>
            </w:r>
            <w:r w:rsidRPr="00D05697">
              <w:rPr>
                <w:rFonts w:ascii="Times New Roman" w:hAnsi="Times New Roman"/>
                <w:color w:val="000000"/>
                <w:sz w:val="24"/>
                <w:szCs w:val="24"/>
              </w:rPr>
              <w:instrText xml:space="preserve"> FORMCHECKBOX </w:instrText>
            </w:r>
            <w:r w:rsidR="00DF4D5A">
              <w:rPr>
                <w:rFonts w:ascii="Times New Roman" w:hAnsi="Times New Roman"/>
                <w:color w:val="000000"/>
                <w:sz w:val="24"/>
                <w:szCs w:val="24"/>
              </w:rPr>
            </w:r>
            <w:r w:rsidR="00DF4D5A">
              <w:rPr>
                <w:rFonts w:ascii="Times New Roman" w:hAnsi="Times New Roman"/>
                <w:color w:val="000000"/>
                <w:sz w:val="24"/>
                <w:szCs w:val="24"/>
              </w:rPr>
              <w:fldChar w:fldCharType="separate"/>
            </w:r>
            <w:r w:rsidRPr="00D05697">
              <w:rPr>
                <w:rFonts w:ascii="Times New Roman" w:hAnsi="Times New Roman"/>
                <w:color w:val="000000"/>
                <w:sz w:val="24"/>
                <w:szCs w:val="24"/>
              </w:rPr>
              <w:fldChar w:fldCharType="end"/>
            </w:r>
            <w:r w:rsidRPr="00D05697">
              <w:rPr>
                <w:rFonts w:ascii="Times New Roman" w:hAnsi="Times New Roman"/>
                <w:color w:val="000000"/>
                <w:sz w:val="24"/>
                <w:szCs w:val="24"/>
              </w:rPr>
              <w:t xml:space="preserve"> </w:t>
            </w:r>
            <w:r w:rsidRPr="00D05697">
              <w:rPr>
                <w:rFonts w:ascii="Times New Roman" w:hAnsi="Times New Roman"/>
                <w:color w:val="000000"/>
                <w:spacing w:val="-2"/>
                <w:sz w:val="24"/>
                <w:szCs w:val="24"/>
              </w:rPr>
              <w:t>inne:</w:t>
            </w:r>
            <w:r w:rsidRPr="00D05697">
              <w:rPr>
                <w:rFonts w:ascii="Times New Roman" w:hAnsi="Times New Roman"/>
                <w:color w:val="000000"/>
                <w:sz w:val="24"/>
                <w:szCs w:val="24"/>
              </w:rPr>
              <w:t xml:space="preserve"> </w:t>
            </w:r>
            <w:r w:rsidRPr="00D05697">
              <w:rPr>
                <w:rFonts w:ascii="Times New Roman" w:hAnsi="Times New Roman"/>
                <w:color w:val="000000"/>
                <w:sz w:val="24"/>
                <w:szCs w:val="24"/>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D05697">
              <w:rPr>
                <w:rFonts w:ascii="Times New Roman" w:hAnsi="Times New Roman"/>
                <w:color w:val="000000"/>
                <w:sz w:val="24"/>
                <w:szCs w:val="24"/>
              </w:rPr>
              <w:instrText xml:space="preserve"> FORMTEXT </w:instrText>
            </w:r>
            <w:r w:rsidRPr="00D05697">
              <w:rPr>
                <w:rFonts w:ascii="Times New Roman" w:hAnsi="Times New Roman"/>
                <w:color w:val="000000"/>
                <w:sz w:val="24"/>
                <w:szCs w:val="24"/>
              </w:rPr>
            </w:r>
            <w:r w:rsidRPr="00D05697">
              <w:rPr>
                <w:rFonts w:ascii="Times New Roman" w:hAnsi="Times New Roman"/>
                <w:color w:val="000000"/>
                <w:sz w:val="24"/>
                <w:szCs w:val="24"/>
              </w:rPr>
              <w:fldChar w:fldCharType="separate"/>
            </w:r>
            <w:r w:rsidRPr="00D05697">
              <w:rPr>
                <w:rFonts w:ascii="Times New Roman" w:hAnsi="Times New Roman"/>
                <w:noProof/>
                <w:color w:val="000000"/>
                <w:sz w:val="24"/>
                <w:szCs w:val="24"/>
              </w:rPr>
              <w:t> </w:t>
            </w:r>
            <w:r w:rsidRPr="00D05697">
              <w:rPr>
                <w:rFonts w:ascii="Times New Roman" w:hAnsi="Times New Roman"/>
                <w:noProof/>
                <w:color w:val="000000"/>
                <w:sz w:val="24"/>
                <w:szCs w:val="24"/>
              </w:rPr>
              <w:t> </w:t>
            </w:r>
            <w:r w:rsidRPr="00D05697">
              <w:rPr>
                <w:rFonts w:ascii="Times New Roman" w:hAnsi="Times New Roman"/>
                <w:noProof/>
                <w:color w:val="000000"/>
                <w:sz w:val="24"/>
                <w:szCs w:val="24"/>
              </w:rPr>
              <w:t> </w:t>
            </w:r>
            <w:r w:rsidRPr="00D05697">
              <w:rPr>
                <w:rFonts w:ascii="Times New Roman" w:hAnsi="Times New Roman"/>
                <w:noProof/>
                <w:color w:val="000000"/>
                <w:sz w:val="24"/>
                <w:szCs w:val="24"/>
              </w:rPr>
              <w:t> </w:t>
            </w:r>
            <w:r w:rsidRPr="00D05697">
              <w:rPr>
                <w:rFonts w:ascii="Times New Roman" w:hAnsi="Times New Roman"/>
                <w:noProof/>
                <w:color w:val="000000"/>
                <w:sz w:val="24"/>
                <w:szCs w:val="24"/>
              </w:rPr>
              <w:t> </w:t>
            </w:r>
            <w:r w:rsidRPr="00D05697">
              <w:rPr>
                <w:rFonts w:ascii="Times New Roman" w:hAnsi="Times New Roman"/>
                <w:color w:val="000000"/>
                <w:sz w:val="24"/>
                <w:szCs w:val="24"/>
              </w:rPr>
              <w:fldChar w:fldCharType="end"/>
            </w:r>
          </w:p>
        </w:tc>
        <w:tc>
          <w:tcPr>
            <w:tcW w:w="5716" w:type="dxa"/>
            <w:gridSpan w:val="17"/>
            <w:shd w:val="clear" w:color="auto" w:fill="FFFFFF"/>
          </w:tcPr>
          <w:p w14:paraId="6BD1B800" w14:textId="77777777" w:rsidR="00871A80" w:rsidRPr="00D05697" w:rsidRDefault="00871A80" w:rsidP="00871A80">
            <w:pPr>
              <w:spacing w:line="240" w:lineRule="auto"/>
              <w:rPr>
                <w:rFonts w:ascii="Times New Roman" w:hAnsi="Times New Roman"/>
                <w:color w:val="000000"/>
                <w:spacing w:val="-2"/>
                <w:sz w:val="24"/>
                <w:szCs w:val="24"/>
              </w:rPr>
            </w:pPr>
            <w:r w:rsidRPr="00D05697">
              <w:rPr>
                <w:rFonts w:ascii="Times New Roman" w:hAnsi="Times New Roman"/>
                <w:color w:val="000000"/>
                <w:sz w:val="24"/>
                <w:szCs w:val="24"/>
              </w:rPr>
              <w:fldChar w:fldCharType="begin">
                <w:ffData>
                  <w:name w:val="Wybór1"/>
                  <w:enabled/>
                  <w:calcOnExit w:val="0"/>
                  <w:checkBox>
                    <w:sizeAuto/>
                    <w:default w:val="0"/>
                  </w:checkBox>
                </w:ffData>
              </w:fldChar>
            </w:r>
            <w:r w:rsidRPr="00D05697">
              <w:rPr>
                <w:rFonts w:ascii="Times New Roman" w:hAnsi="Times New Roman"/>
                <w:color w:val="000000"/>
                <w:sz w:val="24"/>
                <w:szCs w:val="24"/>
              </w:rPr>
              <w:instrText xml:space="preserve"> FORMCHECKBOX </w:instrText>
            </w:r>
            <w:r w:rsidR="00DF4D5A">
              <w:rPr>
                <w:rFonts w:ascii="Times New Roman" w:hAnsi="Times New Roman"/>
                <w:color w:val="000000"/>
                <w:sz w:val="24"/>
                <w:szCs w:val="24"/>
              </w:rPr>
            </w:r>
            <w:r w:rsidR="00DF4D5A">
              <w:rPr>
                <w:rFonts w:ascii="Times New Roman" w:hAnsi="Times New Roman"/>
                <w:color w:val="000000"/>
                <w:sz w:val="24"/>
                <w:szCs w:val="24"/>
              </w:rPr>
              <w:fldChar w:fldCharType="separate"/>
            </w:r>
            <w:r w:rsidRPr="00D05697">
              <w:rPr>
                <w:rFonts w:ascii="Times New Roman" w:hAnsi="Times New Roman"/>
                <w:color w:val="000000"/>
                <w:sz w:val="24"/>
                <w:szCs w:val="24"/>
              </w:rPr>
              <w:fldChar w:fldCharType="end"/>
            </w:r>
            <w:r w:rsidRPr="00D05697">
              <w:rPr>
                <w:rFonts w:ascii="Times New Roman" w:hAnsi="Times New Roman"/>
                <w:color w:val="000000"/>
                <w:sz w:val="24"/>
                <w:szCs w:val="24"/>
              </w:rPr>
              <w:t xml:space="preserve"> </w:t>
            </w:r>
            <w:r w:rsidRPr="00D05697">
              <w:rPr>
                <w:rFonts w:ascii="Times New Roman" w:hAnsi="Times New Roman"/>
                <w:color w:val="000000"/>
                <w:spacing w:val="-2"/>
                <w:sz w:val="24"/>
                <w:szCs w:val="24"/>
              </w:rPr>
              <w:t>zwiększenie liczby dokumentów</w:t>
            </w:r>
          </w:p>
          <w:p w14:paraId="678CD38E" w14:textId="77777777" w:rsidR="00871A80" w:rsidRPr="00D05697" w:rsidRDefault="00871A80" w:rsidP="00871A80">
            <w:pPr>
              <w:spacing w:line="240" w:lineRule="auto"/>
              <w:rPr>
                <w:rFonts w:ascii="Times New Roman" w:hAnsi="Times New Roman"/>
                <w:color w:val="000000"/>
                <w:spacing w:val="-2"/>
                <w:sz w:val="24"/>
                <w:szCs w:val="24"/>
              </w:rPr>
            </w:pPr>
            <w:r w:rsidRPr="00D05697">
              <w:rPr>
                <w:rFonts w:ascii="Times New Roman" w:hAnsi="Times New Roman"/>
                <w:color w:val="000000"/>
                <w:sz w:val="24"/>
                <w:szCs w:val="24"/>
              </w:rPr>
              <w:fldChar w:fldCharType="begin">
                <w:ffData>
                  <w:name w:val="Wybór1"/>
                  <w:enabled/>
                  <w:calcOnExit w:val="0"/>
                  <w:checkBox>
                    <w:sizeAuto/>
                    <w:default w:val="0"/>
                  </w:checkBox>
                </w:ffData>
              </w:fldChar>
            </w:r>
            <w:r w:rsidRPr="00D05697">
              <w:rPr>
                <w:rFonts w:ascii="Times New Roman" w:hAnsi="Times New Roman"/>
                <w:color w:val="000000"/>
                <w:sz w:val="24"/>
                <w:szCs w:val="24"/>
              </w:rPr>
              <w:instrText xml:space="preserve"> FORMCHECKBOX </w:instrText>
            </w:r>
            <w:r w:rsidR="00DF4D5A">
              <w:rPr>
                <w:rFonts w:ascii="Times New Roman" w:hAnsi="Times New Roman"/>
                <w:color w:val="000000"/>
                <w:sz w:val="24"/>
                <w:szCs w:val="24"/>
              </w:rPr>
            </w:r>
            <w:r w:rsidR="00DF4D5A">
              <w:rPr>
                <w:rFonts w:ascii="Times New Roman" w:hAnsi="Times New Roman"/>
                <w:color w:val="000000"/>
                <w:sz w:val="24"/>
                <w:szCs w:val="24"/>
              </w:rPr>
              <w:fldChar w:fldCharType="separate"/>
            </w:r>
            <w:r w:rsidRPr="00D05697">
              <w:rPr>
                <w:rFonts w:ascii="Times New Roman" w:hAnsi="Times New Roman"/>
                <w:color w:val="000000"/>
                <w:sz w:val="24"/>
                <w:szCs w:val="24"/>
              </w:rPr>
              <w:fldChar w:fldCharType="end"/>
            </w:r>
            <w:r w:rsidRPr="00D05697">
              <w:rPr>
                <w:rFonts w:ascii="Times New Roman" w:hAnsi="Times New Roman"/>
                <w:color w:val="000000"/>
                <w:sz w:val="24"/>
                <w:szCs w:val="24"/>
              </w:rPr>
              <w:t xml:space="preserve"> </w:t>
            </w:r>
            <w:r w:rsidRPr="00D05697">
              <w:rPr>
                <w:rFonts w:ascii="Times New Roman" w:hAnsi="Times New Roman"/>
                <w:color w:val="000000"/>
                <w:spacing w:val="-2"/>
                <w:sz w:val="24"/>
                <w:szCs w:val="24"/>
              </w:rPr>
              <w:t>zwiększenie liczby procedur</w:t>
            </w:r>
          </w:p>
          <w:p w14:paraId="209CDCA8" w14:textId="77777777" w:rsidR="00871A80" w:rsidRPr="00D05697" w:rsidRDefault="00871A80" w:rsidP="00871A80">
            <w:pPr>
              <w:spacing w:line="240" w:lineRule="auto"/>
              <w:rPr>
                <w:rFonts w:ascii="Times New Roman" w:hAnsi="Times New Roman"/>
                <w:color w:val="000000"/>
                <w:spacing w:val="-2"/>
                <w:sz w:val="24"/>
                <w:szCs w:val="24"/>
              </w:rPr>
            </w:pPr>
            <w:r w:rsidRPr="00D05697">
              <w:rPr>
                <w:rFonts w:ascii="Times New Roman" w:hAnsi="Times New Roman"/>
                <w:color w:val="000000"/>
                <w:sz w:val="24"/>
                <w:szCs w:val="24"/>
              </w:rPr>
              <w:fldChar w:fldCharType="begin">
                <w:ffData>
                  <w:name w:val="Wybór1"/>
                  <w:enabled/>
                  <w:calcOnExit w:val="0"/>
                  <w:checkBox>
                    <w:sizeAuto/>
                    <w:default w:val="0"/>
                  </w:checkBox>
                </w:ffData>
              </w:fldChar>
            </w:r>
            <w:r w:rsidRPr="00D05697">
              <w:rPr>
                <w:rFonts w:ascii="Times New Roman" w:hAnsi="Times New Roman"/>
                <w:color w:val="000000"/>
                <w:sz w:val="24"/>
                <w:szCs w:val="24"/>
              </w:rPr>
              <w:instrText xml:space="preserve"> FORMCHECKBOX </w:instrText>
            </w:r>
            <w:r w:rsidR="00DF4D5A">
              <w:rPr>
                <w:rFonts w:ascii="Times New Roman" w:hAnsi="Times New Roman"/>
                <w:color w:val="000000"/>
                <w:sz w:val="24"/>
                <w:szCs w:val="24"/>
              </w:rPr>
            </w:r>
            <w:r w:rsidR="00DF4D5A">
              <w:rPr>
                <w:rFonts w:ascii="Times New Roman" w:hAnsi="Times New Roman"/>
                <w:color w:val="000000"/>
                <w:sz w:val="24"/>
                <w:szCs w:val="24"/>
              </w:rPr>
              <w:fldChar w:fldCharType="separate"/>
            </w:r>
            <w:r w:rsidRPr="00D05697">
              <w:rPr>
                <w:rFonts w:ascii="Times New Roman" w:hAnsi="Times New Roman"/>
                <w:color w:val="000000"/>
                <w:sz w:val="24"/>
                <w:szCs w:val="24"/>
              </w:rPr>
              <w:fldChar w:fldCharType="end"/>
            </w:r>
            <w:r w:rsidRPr="00D05697">
              <w:rPr>
                <w:rFonts w:ascii="Times New Roman" w:hAnsi="Times New Roman"/>
                <w:color w:val="000000"/>
                <w:sz w:val="24"/>
                <w:szCs w:val="24"/>
              </w:rPr>
              <w:t xml:space="preserve"> </w:t>
            </w:r>
            <w:r w:rsidRPr="00D05697">
              <w:rPr>
                <w:rFonts w:ascii="Times New Roman" w:hAnsi="Times New Roman"/>
                <w:color w:val="000000"/>
                <w:spacing w:val="-2"/>
                <w:sz w:val="24"/>
                <w:szCs w:val="24"/>
              </w:rPr>
              <w:t>wydłużenie czasu na załatwienie sprawy</w:t>
            </w:r>
          </w:p>
          <w:p w14:paraId="297D11F0" w14:textId="6F2E79B4"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fldChar w:fldCharType="begin">
                <w:ffData>
                  <w:name w:val="Wybór1"/>
                  <w:enabled/>
                  <w:calcOnExit w:val="0"/>
                  <w:checkBox>
                    <w:sizeAuto/>
                    <w:default w:val="0"/>
                  </w:checkBox>
                </w:ffData>
              </w:fldChar>
            </w:r>
            <w:r w:rsidRPr="00D05697">
              <w:rPr>
                <w:rFonts w:ascii="Times New Roman" w:hAnsi="Times New Roman"/>
                <w:color w:val="000000"/>
                <w:sz w:val="24"/>
                <w:szCs w:val="24"/>
              </w:rPr>
              <w:instrText xml:space="preserve"> FORMCHECKBOX </w:instrText>
            </w:r>
            <w:r w:rsidR="00DF4D5A">
              <w:rPr>
                <w:rFonts w:ascii="Times New Roman" w:hAnsi="Times New Roman"/>
                <w:color w:val="000000"/>
                <w:sz w:val="24"/>
                <w:szCs w:val="24"/>
              </w:rPr>
            </w:r>
            <w:r w:rsidR="00DF4D5A">
              <w:rPr>
                <w:rFonts w:ascii="Times New Roman" w:hAnsi="Times New Roman"/>
                <w:color w:val="000000"/>
                <w:sz w:val="24"/>
                <w:szCs w:val="24"/>
              </w:rPr>
              <w:fldChar w:fldCharType="separate"/>
            </w:r>
            <w:r w:rsidRPr="00D05697">
              <w:rPr>
                <w:rFonts w:ascii="Times New Roman" w:hAnsi="Times New Roman"/>
                <w:color w:val="000000"/>
                <w:sz w:val="24"/>
                <w:szCs w:val="24"/>
              </w:rPr>
              <w:fldChar w:fldCharType="end"/>
            </w:r>
            <w:r w:rsidRPr="00D05697">
              <w:rPr>
                <w:rFonts w:ascii="Times New Roman" w:hAnsi="Times New Roman"/>
                <w:color w:val="000000"/>
                <w:sz w:val="24"/>
                <w:szCs w:val="24"/>
              </w:rPr>
              <w:t xml:space="preserve"> </w:t>
            </w:r>
            <w:r w:rsidRPr="00D05697">
              <w:rPr>
                <w:rFonts w:ascii="Times New Roman" w:hAnsi="Times New Roman"/>
                <w:color w:val="000000"/>
                <w:spacing w:val="-2"/>
                <w:sz w:val="24"/>
                <w:szCs w:val="24"/>
              </w:rPr>
              <w:t>inne:</w:t>
            </w:r>
            <w:r w:rsidRPr="00D05697">
              <w:rPr>
                <w:rFonts w:ascii="Times New Roman" w:hAnsi="Times New Roman"/>
                <w:color w:val="000000"/>
                <w:sz w:val="24"/>
                <w:szCs w:val="24"/>
              </w:rPr>
              <w:t xml:space="preserve"> </w:t>
            </w:r>
            <w:r w:rsidRPr="00D05697">
              <w:rPr>
                <w:rFonts w:ascii="Times New Roman" w:hAnsi="Times New Roman"/>
                <w:color w:val="000000"/>
                <w:sz w:val="24"/>
                <w:szCs w:val="24"/>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D05697">
              <w:rPr>
                <w:rFonts w:ascii="Times New Roman" w:hAnsi="Times New Roman"/>
                <w:color w:val="000000"/>
                <w:sz w:val="24"/>
                <w:szCs w:val="24"/>
              </w:rPr>
              <w:instrText xml:space="preserve"> FORMTEXT </w:instrText>
            </w:r>
            <w:r w:rsidRPr="00D05697">
              <w:rPr>
                <w:rFonts w:ascii="Times New Roman" w:hAnsi="Times New Roman"/>
                <w:color w:val="000000"/>
                <w:sz w:val="24"/>
                <w:szCs w:val="24"/>
              </w:rPr>
            </w:r>
            <w:r w:rsidRPr="00D05697">
              <w:rPr>
                <w:rFonts w:ascii="Times New Roman" w:hAnsi="Times New Roman"/>
                <w:color w:val="000000"/>
                <w:sz w:val="24"/>
                <w:szCs w:val="24"/>
              </w:rPr>
              <w:fldChar w:fldCharType="separate"/>
            </w:r>
            <w:r w:rsidRPr="00D05697">
              <w:rPr>
                <w:rFonts w:ascii="Times New Roman" w:hAnsi="Times New Roman"/>
                <w:noProof/>
                <w:color w:val="000000"/>
                <w:sz w:val="24"/>
                <w:szCs w:val="24"/>
              </w:rPr>
              <w:t> </w:t>
            </w:r>
            <w:r w:rsidRPr="00D05697">
              <w:rPr>
                <w:rFonts w:ascii="Times New Roman" w:hAnsi="Times New Roman"/>
                <w:noProof/>
                <w:color w:val="000000"/>
                <w:sz w:val="24"/>
                <w:szCs w:val="24"/>
              </w:rPr>
              <w:t> </w:t>
            </w:r>
            <w:r w:rsidRPr="00D05697">
              <w:rPr>
                <w:rFonts w:ascii="Times New Roman" w:hAnsi="Times New Roman"/>
                <w:noProof/>
                <w:color w:val="000000"/>
                <w:sz w:val="24"/>
                <w:szCs w:val="24"/>
              </w:rPr>
              <w:t> </w:t>
            </w:r>
            <w:r w:rsidRPr="00D05697">
              <w:rPr>
                <w:rFonts w:ascii="Times New Roman" w:hAnsi="Times New Roman"/>
                <w:noProof/>
                <w:color w:val="000000"/>
                <w:sz w:val="24"/>
                <w:szCs w:val="24"/>
              </w:rPr>
              <w:t> </w:t>
            </w:r>
            <w:r w:rsidRPr="00D05697">
              <w:rPr>
                <w:rFonts w:ascii="Times New Roman" w:hAnsi="Times New Roman"/>
                <w:noProof/>
                <w:color w:val="000000"/>
                <w:sz w:val="24"/>
                <w:szCs w:val="24"/>
              </w:rPr>
              <w:t> </w:t>
            </w:r>
            <w:r w:rsidRPr="00D05697">
              <w:rPr>
                <w:rFonts w:ascii="Times New Roman" w:hAnsi="Times New Roman"/>
                <w:color w:val="000000"/>
                <w:sz w:val="24"/>
                <w:szCs w:val="24"/>
              </w:rPr>
              <w:fldChar w:fldCharType="end"/>
            </w:r>
          </w:p>
        </w:tc>
      </w:tr>
      <w:tr w:rsidR="00871A80" w:rsidRPr="00033B48" w14:paraId="2533FC27" w14:textId="77777777" w:rsidTr="0053280C">
        <w:trPr>
          <w:trHeight w:val="870"/>
        </w:trPr>
        <w:tc>
          <w:tcPr>
            <w:tcW w:w="4945" w:type="dxa"/>
            <w:gridSpan w:val="12"/>
            <w:shd w:val="clear" w:color="auto" w:fill="FFFFFF"/>
          </w:tcPr>
          <w:p w14:paraId="4EBAF050" w14:textId="77777777"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pacing w:val="-2"/>
                <w:sz w:val="24"/>
                <w:szCs w:val="24"/>
              </w:rPr>
              <w:t xml:space="preserve">Wprowadzane obciążenia są przystosowane do ich elektronizacji. </w:t>
            </w:r>
          </w:p>
        </w:tc>
        <w:tc>
          <w:tcPr>
            <w:tcW w:w="5716" w:type="dxa"/>
            <w:gridSpan w:val="17"/>
            <w:shd w:val="clear" w:color="auto" w:fill="FFFFFF"/>
          </w:tcPr>
          <w:p w14:paraId="74A21EA7" w14:textId="3E5ED287" w:rsidR="00871A80" w:rsidRPr="00D05697" w:rsidRDefault="00421B90" w:rsidP="00871A80">
            <w:pPr>
              <w:spacing w:line="240" w:lineRule="auto"/>
              <w:rPr>
                <w:rFonts w:ascii="Times New Roman" w:hAnsi="Times New Roman"/>
                <w:color w:val="000000"/>
                <w:sz w:val="24"/>
                <w:szCs w:val="24"/>
              </w:rPr>
            </w:pPr>
            <w:r>
              <w:rPr>
                <w:rFonts w:ascii="Times New Roman" w:hAnsi="Times New Roman"/>
                <w:color w:val="000000"/>
                <w:sz w:val="24"/>
                <w:szCs w:val="24"/>
              </w:rPr>
              <w:fldChar w:fldCharType="begin">
                <w:ffData>
                  <w:name w:val=""/>
                  <w:enabled/>
                  <w:calcOnExit w:val="0"/>
                  <w:checkBox>
                    <w:sizeAuto/>
                    <w:default w:val="1"/>
                  </w:checkBox>
                </w:ffData>
              </w:fldChar>
            </w:r>
            <w:r>
              <w:rPr>
                <w:rFonts w:ascii="Times New Roman" w:hAnsi="Times New Roman"/>
                <w:color w:val="000000"/>
                <w:sz w:val="24"/>
                <w:szCs w:val="24"/>
              </w:rPr>
              <w:instrText xml:space="preserve"> FORMCHECKBOX </w:instrText>
            </w:r>
            <w:r w:rsidR="00DF4D5A">
              <w:rPr>
                <w:rFonts w:ascii="Times New Roman" w:hAnsi="Times New Roman"/>
                <w:color w:val="000000"/>
                <w:sz w:val="24"/>
                <w:szCs w:val="24"/>
              </w:rPr>
            </w:r>
            <w:r w:rsidR="00DF4D5A">
              <w:rPr>
                <w:rFonts w:ascii="Times New Roman" w:hAnsi="Times New Roman"/>
                <w:color w:val="000000"/>
                <w:sz w:val="24"/>
                <w:szCs w:val="24"/>
              </w:rPr>
              <w:fldChar w:fldCharType="separate"/>
            </w:r>
            <w:r>
              <w:rPr>
                <w:rFonts w:ascii="Times New Roman" w:hAnsi="Times New Roman"/>
                <w:color w:val="000000"/>
                <w:sz w:val="24"/>
                <w:szCs w:val="24"/>
              </w:rPr>
              <w:fldChar w:fldCharType="end"/>
            </w:r>
            <w:r w:rsidR="00871A80" w:rsidRPr="00D05697">
              <w:rPr>
                <w:rFonts w:ascii="Times New Roman" w:hAnsi="Times New Roman"/>
                <w:color w:val="000000"/>
                <w:sz w:val="24"/>
                <w:szCs w:val="24"/>
              </w:rPr>
              <w:t xml:space="preserve"> tak</w:t>
            </w:r>
          </w:p>
          <w:p w14:paraId="0A7ED499" w14:textId="77777777"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fldChar w:fldCharType="begin">
                <w:ffData>
                  <w:name w:val="Wybór1"/>
                  <w:enabled/>
                  <w:calcOnExit w:val="0"/>
                  <w:checkBox>
                    <w:sizeAuto/>
                    <w:default w:val="0"/>
                  </w:checkBox>
                </w:ffData>
              </w:fldChar>
            </w:r>
            <w:r w:rsidRPr="00D05697">
              <w:rPr>
                <w:rFonts w:ascii="Times New Roman" w:hAnsi="Times New Roman"/>
                <w:color w:val="000000"/>
                <w:sz w:val="24"/>
                <w:szCs w:val="24"/>
              </w:rPr>
              <w:instrText xml:space="preserve"> FORMCHECKBOX </w:instrText>
            </w:r>
            <w:r w:rsidR="00DF4D5A">
              <w:rPr>
                <w:rFonts w:ascii="Times New Roman" w:hAnsi="Times New Roman"/>
                <w:color w:val="000000"/>
                <w:sz w:val="24"/>
                <w:szCs w:val="24"/>
              </w:rPr>
            </w:r>
            <w:r w:rsidR="00DF4D5A">
              <w:rPr>
                <w:rFonts w:ascii="Times New Roman" w:hAnsi="Times New Roman"/>
                <w:color w:val="000000"/>
                <w:sz w:val="24"/>
                <w:szCs w:val="24"/>
              </w:rPr>
              <w:fldChar w:fldCharType="separate"/>
            </w:r>
            <w:r w:rsidRPr="00D05697">
              <w:rPr>
                <w:rFonts w:ascii="Times New Roman" w:hAnsi="Times New Roman"/>
                <w:color w:val="000000"/>
                <w:sz w:val="24"/>
                <w:szCs w:val="24"/>
              </w:rPr>
              <w:fldChar w:fldCharType="end"/>
            </w:r>
            <w:r w:rsidRPr="00D05697">
              <w:rPr>
                <w:rFonts w:ascii="Times New Roman" w:hAnsi="Times New Roman"/>
                <w:color w:val="000000"/>
                <w:sz w:val="24"/>
                <w:szCs w:val="24"/>
              </w:rPr>
              <w:t xml:space="preserve"> nie</w:t>
            </w:r>
          </w:p>
          <w:p w14:paraId="4CA30642" w14:textId="7E2BEFA6" w:rsidR="00871A80" w:rsidRPr="00D05697" w:rsidRDefault="00421B90" w:rsidP="00871A80">
            <w:pPr>
              <w:spacing w:line="240" w:lineRule="auto"/>
              <w:rPr>
                <w:rFonts w:ascii="Times New Roman" w:hAnsi="Times New Roman"/>
                <w:color w:val="000000"/>
                <w:sz w:val="24"/>
                <w:szCs w:val="24"/>
              </w:rPr>
            </w:pPr>
            <w:r>
              <w:rPr>
                <w:rFonts w:ascii="Times New Roman" w:hAnsi="Times New Roman"/>
                <w:color w:val="000000"/>
                <w:sz w:val="24"/>
                <w:szCs w:val="24"/>
              </w:rPr>
              <w:fldChar w:fldCharType="begin">
                <w:ffData>
                  <w:name w:val=""/>
                  <w:enabled/>
                  <w:calcOnExit w:val="0"/>
                  <w:checkBox>
                    <w:sizeAuto/>
                    <w:default w:val="0"/>
                  </w:checkBox>
                </w:ffData>
              </w:fldChar>
            </w:r>
            <w:r>
              <w:rPr>
                <w:rFonts w:ascii="Times New Roman" w:hAnsi="Times New Roman"/>
                <w:color w:val="000000"/>
                <w:sz w:val="24"/>
                <w:szCs w:val="24"/>
              </w:rPr>
              <w:instrText xml:space="preserve"> FORMCHECKBOX </w:instrText>
            </w:r>
            <w:r w:rsidR="00DF4D5A">
              <w:rPr>
                <w:rFonts w:ascii="Times New Roman" w:hAnsi="Times New Roman"/>
                <w:color w:val="000000"/>
                <w:sz w:val="24"/>
                <w:szCs w:val="24"/>
              </w:rPr>
            </w:r>
            <w:r w:rsidR="00DF4D5A">
              <w:rPr>
                <w:rFonts w:ascii="Times New Roman" w:hAnsi="Times New Roman"/>
                <w:color w:val="000000"/>
                <w:sz w:val="24"/>
                <w:szCs w:val="24"/>
              </w:rPr>
              <w:fldChar w:fldCharType="separate"/>
            </w:r>
            <w:r>
              <w:rPr>
                <w:rFonts w:ascii="Times New Roman" w:hAnsi="Times New Roman"/>
                <w:color w:val="000000"/>
                <w:sz w:val="24"/>
                <w:szCs w:val="24"/>
              </w:rPr>
              <w:fldChar w:fldCharType="end"/>
            </w:r>
            <w:r w:rsidR="00871A80" w:rsidRPr="00D05697">
              <w:rPr>
                <w:rFonts w:ascii="Times New Roman" w:hAnsi="Times New Roman"/>
                <w:color w:val="000000"/>
                <w:sz w:val="24"/>
                <w:szCs w:val="24"/>
              </w:rPr>
              <w:t xml:space="preserve"> nie dotyczy</w:t>
            </w:r>
          </w:p>
        </w:tc>
      </w:tr>
      <w:tr w:rsidR="00871A80" w:rsidRPr="00033B48" w14:paraId="5CBF8154" w14:textId="77777777" w:rsidTr="0053280C">
        <w:trPr>
          <w:trHeight w:val="630"/>
        </w:trPr>
        <w:tc>
          <w:tcPr>
            <w:tcW w:w="10661" w:type="dxa"/>
            <w:gridSpan w:val="29"/>
            <w:shd w:val="clear" w:color="auto" w:fill="FFFFFF"/>
          </w:tcPr>
          <w:p w14:paraId="16206DE0" w14:textId="77777777" w:rsidR="00DE3ABE" w:rsidRDefault="00871A80" w:rsidP="009016B4">
            <w:pPr>
              <w:spacing w:before="120" w:after="120" w:line="240" w:lineRule="auto"/>
              <w:jc w:val="both"/>
              <w:rPr>
                <w:rFonts w:ascii="Times New Roman" w:hAnsi="Times New Roman"/>
                <w:color w:val="000000"/>
                <w:sz w:val="24"/>
                <w:szCs w:val="24"/>
              </w:rPr>
            </w:pPr>
            <w:r w:rsidRPr="00D05697">
              <w:rPr>
                <w:rFonts w:ascii="Times New Roman" w:hAnsi="Times New Roman"/>
                <w:color w:val="000000"/>
                <w:sz w:val="24"/>
                <w:szCs w:val="24"/>
              </w:rPr>
              <w:t xml:space="preserve">Komentarz: </w:t>
            </w:r>
          </w:p>
          <w:p w14:paraId="6E1417B0" w14:textId="26244DAD" w:rsidR="009B3202" w:rsidRDefault="00DE3ABE" w:rsidP="009016B4">
            <w:pPr>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 xml:space="preserve">Dzięki </w:t>
            </w:r>
            <w:r w:rsidR="00C96E88">
              <w:rPr>
                <w:rFonts w:ascii="Times New Roman" w:hAnsi="Times New Roman"/>
                <w:color w:val="000000"/>
                <w:sz w:val="24"/>
                <w:szCs w:val="24"/>
              </w:rPr>
              <w:t>dodaniu nowych przepisów w ustawie o funduszach inwestycyjnych, możliw</w:t>
            </w:r>
            <w:r>
              <w:rPr>
                <w:rFonts w:ascii="Times New Roman" w:hAnsi="Times New Roman"/>
                <w:color w:val="000000"/>
                <w:sz w:val="24"/>
                <w:szCs w:val="24"/>
              </w:rPr>
              <w:t>e będzie</w:t>
            </w:r>
            <w:r w:rsidR="00C96E88">
              <w:rPr>
                <w:rFonts w:ascii="Times New Roman" w:hAnsi="Times New Roman"/>
                <w:color w:val="000000"/>
                <w:sz w:val="24"/>
                <w:szCs w:val="24"/>
              </w:rPr>
              <w:t xml:space="preserve"> tworzenie w Polsce funduszy typu UCITS ETF oraz </w:t>
            </w:r>
            <w:r w:rsidR="00421B90" w:rsidRPr="00421B90">
              <w:rPr>
                <w:rFonts w:ascii="Times New Roman" w:hAnsi="Times New Roman"/>
                <w:color w:val="000000"/>
                <w:sz w:val="24"/>
                <w:szCs w:val="24"/>
              </w:rPr>
              <w:t>nowej kategorii alternatywnego funduszu inwestycyjnego</w:t>
            </w:r>
            <w:r w:rsidR="00421B90">
              <w:rPr>
                <w:rFonts w:ascii="Times New Roman" w:hAnsi="Times New Roman"/>
                <w:color w:val="000000"/>
                <w:sz w:val="24"/>
                <w:szCs w:val="24"/>
              </w:rPr>
              <w:t>. Przepisy te będą formułowane w sposób umożliwiający skrócenie czasu na utworzenie wskazanych funduszy przy wykorzystaniu środków komunikacji elektronicznej.</w:t>
            </w:r>
          </w:p>
          <w:p w14:paraId="3A83032A" w14:textId="36E2DEB6" w:rsidR="00280DCC" w:rsidRPr="004B1A87" w:rsidRDefault="00280DCC" w:rsidP="00280DCC">
            <w:pPr>
              <w:spacing w:before="120" w:after="120" w:line="240" w:lineRule="auto"/>
              <w:jc w:val="both"/>
              <w:rPr>
                <w:rFonts w:ascii="Times New Roman" w:hAnsi="Times New Roman"/>
                <w:color w:val="000000"/>
                <w:sz w:val="24"/>
                <w:szCs w:val="24"/>
              </w:rPr>
            </w:pPr>
            <w:r w:rsidRPr="004B1A87">
              <w:rPr>
                <w:rFonts w:ascii="Times New Roman" w:hAnsi="Times New Roman"/>
                <w:color w:val="000000"/>
                <w:sz w:val="24"/>
                <w:szCs w:val="24"/>
              </w:rPr>
              <w:t>W odniesieniu do towarzystw funduszy inwestycyjnych oraz zarządzających alternatywnymi funduszami inwestycyjnymi projekt nie zwiększa zakresu obowiązków wynikających z ustawy o funduszach inwestycyjnych ani dyrektywy AIFMD, lecz wprowadza nową, wyspecjalizowaną kategorię funduszu (KFI), umożliwiającą prowadzenie działalności inwestycyjnej w ramach już istniejącego reżimu regulacyjnego. W praktyce oznacza to zmniejszenie obciążeń pośrednich, polegających dotychczas na konieczności stosowania konstrukcji prawnych niedostosowanych do działalności inwestycyjnej (np. ASI opartych na Kodeksie spółek handlowych) lub lokowania struktur inwestycyjnych poza terytorium RP.</w:t>
            </w:r>
          </w:p>
          <w:p w14:paraId="4F1D3B92" w14:textId="6472ECC6" w:rsidR="00280DCC" w:rsidRPr="004B1A87" w:rsidRDefault="00280DCC" w:rsidP="00280DCC">
            <w:pPr>
              <w:spacing w:before="120" w:after="120" w:line="240" w:lineRule="auto"/>
              <w:jc w:val="both"/>
              <w:rPr>
                <w:rFonts w:ascii="Times New Roman" w:hAnsi="Times New Roman"/>
                <w:color w:val="000000"/>
                <w:sz w:val="24"/>
                <w:szCs w:val="24"/>
              </w:rPr>
            </w:pPr>
            <w:r w:rsidRPr="004B1A87">
              <w:rPr>
                <w:rFonts w:ascii="Times New Roman" w:hAnsi="Times New Roman"/>
                <w:color w:val="000000"/>
                <w:sz w:val="24"/>
                <w:szCs w:val="24"/>
              </w:rPr>
              <w:t>Dla inwestorów profesjonalnych projekt nie wprowadza nowych obowiązków regulacyjnych ani informacyjnych, a jednocześnie zwiększa przejrzystość zasad funkcjonowania funduszy rynku prywatnego. Dla spółek portfelowych (przedsiębiorstw) regulacja nie powoduje bezpośrednich nowych obciążeń administracyjnych – wpływ ma charakter pośredni i polega na poprawie dostępu do finansowania kapitałowego. Projekt przewiduje również możliwość wykorzystania środków komunikacji elektronicznej w procesach tworzenia funduszy i w relacjach regulacyjnych, co przyczyni się do skrócenia czasu i uproszczenia procedur.</w:t>
            </w:r>
          </w:p>
          <w:p w14:paraId="6FBDBB18" w14:textId="67C67462" w:rsidR="00280DCC" w:rsidRPr="00D05697" w:rsidRDefault="00280DCC" w:rsidP="009016B4">
            <w:pPr>
              <w:spacing w:before="120" w:after="120" w:line="240" w:lineRule="auto"/>
              <w:jc w:val="both"/>
              <w:rPr>
                <w:rFonts w:ascii="Times New Roman" w:hAnsi="Times New Roman"/>
                <w:color w:val="000000"/>
                <w:sz w:val="24"/>
                <w:szCs w:val="24"/>
              </w:rPr>
            </w:pPr>
            <w:r w:rsidRPr="004B1A87">
              <w:rPr>
                <w:rFonts w:ascii="Times New Roman" w:hAnsi="Times New Roman"/>
                <w:color w:val="000000"/>
                <w:sz w:val="24"/>
                <w:szCs w:val="24"/>
              </w:rPr>
              <w:t xml:space="preserve">W odniesieniu do Komisji Nadzoru Finansowego, projekt nie powoduje istotnego wzrostu obciążeń nadzorczych. Nadzór nad KFI będzie sprawowany w ramach istniejących kompetencji KNF wynikających z ustawy o funduszach inwestycyjnych oraz </w:t>
            </w:r>
            <w:r w:rsidR="00B752E9">
              <w:rPr>
                <w:rFonts w:ascii="Times New Roman" w:hAnsi="Times New Roman"/>
                <w:color w:val="000000"/>
                <w:sz w:val="24"/>
                <w:szCs w:val="24"/>
              </w:rPr>
              <w:t xml:space="preserve">dyrektywy </w:t>
            </w:r>
            <w:r w:rsidRPr="004B1A87">
              <w:rPr>
                <w:rFonts w:ascii="Times New Roman" w:hAnsi="Times New Roman"/>
                <w:color w:val="000000"/>
                <w:sz w:val="24"/>
                <w:szCs w:val="24"/>
              </w:rPr>
              <w:t xml:space="preserve">AIFMD, bez tworzenia dodatkowych obowiązków informacyjnych o charakterze systemowym. </w:t>
            </w:r>
            <w:r w:rsidR="006F3A26">
              <w:rPr>
                <w:rFonts w:ascii="Times New Roman" w:hAnsi="Times New Roman"/>
                <w:color w:val="000000"/>
                <w:sz w:val="24"/>
                <w:szCs w:val="24"/>
              </w:rPr>
              <w:t>W</w:t>
            </w:r>
            <w:r w:rsidRPr="004B1A87">
              <w:rPr>
                <w:rFonts w:ascii="Times New Roman" w:hAnsi="Times New Roman"/>
                <w:color w:val="000000"/>
                <w:sz w:val="24"/>
                <w:szCs w:val="24"/>
              </w:rPr>
              <w:t xml:space="preserve">prowadzenie nowej kategorii funduszu może wiązać się z koniecznością jednorazowego dostosowania procedur wewnętrznych oraz praktyki nadzorczej, </w:t>
            </w:r>
            <w:r w:rsidR="006F3A26">
              <w:rPr>
                <w:rFonts w:ascii="Times New Roman" w:hAnsi="Times New Roman"/>
                <w:color w:val="000000"/>
                <w:sz w:val="24"/>
                <w:szCs w:val="24"/>
              </w:rPr>
              <w:t xml:space="preserve">jednak </w:t>
            </w:r>
            <w:r w:rsidRPr="004B1A87">
              <w:rPr>
                <w:rFonts w:ascii="Times New Roman" w:hAnsi="Times New Roman"/>
                <w:color w:val="000000"/>
                <w:sz w:val="24"/>
                <w:szCs w:val="24"/>
              </w:rPr>
              <w:t xml:space="preserve">w dłuższej perspektywie </w:t>
            </w:r>
            <w:r w:rsidR="006F3A26">
              <w:rPr>
                <w:rFonts w:ascii="Times New Roman" w:hAnsi="Times New Roman"/>
                <w:color w:val="000000"/>
                <w:sz w:val="24"/>
                <w:szCs w:val="24"/>
              </w:rPr>
              <w:t xml:space="preserve">proponowana </w:t>
            </w:r>
            <w:r w:rsidRPr="004B1A87">
              <w:rPr>
                <w:rFonts w:ascii="Times New Roman" w:hAnsi="Times New Roman"/>
                <w:color w:val="000000"/>
                <w:sz w:val="24"/>
                <w:szCs w:val="24"/>
              </w:rPr>
              <w:t>regulacja może prowadzić do uproszczenia nadzoru, przez ograniczenie liczby struktur inwestycyjnych funkcjonujących poza reżimem funduszy inwestycyjnych lub w jurysdykcjach zagranicznych.</w:t>
            </w:r>
          </w:p>
        </w:tc>
      </w:tr>
      <w:tr w:rsidR="00871A80" w:rsidRPr="00033B48" w14:paraId="2FE19317" w14:textId="77777777" w:rsidTr="0053280C">
        <w:trPr>
          <w:trHeight w:val="142"/>
        </w:trPr>
        <w:tc>
          <w:tcPr>
            <w:tcW w:w="10661" w:type="dxa"/>
            <w:gridSpan w:val="29"/>
            <w:shd w:val="clear" w:color="auto" w:fill="99CCFF"/>
          </w:tcPr>
          <w:p w14:paraId="39D15CCA" w14:textId="77777777" w:rsidR="00871A80" w:rsidRPr="00D05697" w:rsidRDefault="00871A80" w:rsidP="00871A80">
            <w:pPr>
              <w:numPr>
                <w:ilvl w:val="0"/>
                <w:numId w:val="3"/>
              </w:numPr>
              <w:spacing w:before="60" w:after="60" w:line="240" w:lineRule="auto"/>
              <w:jc w:val="both"/>
              <w:rPr>
                <w:rFonts w:ascii="Times New Roman" w:hAnsi="Times New Roman"/>
                <w:b/>
                <w:color w:val="000000"/>
                <w:sz w:val="24"/>
                <w:szCs w:val="24"/>
              </w:rPr>
            </w:pPr>
            <w:r w:rsidRPr="00D05697">
              <w:rPr>
                <w:rFonts w:ascii="Times New Roman" w:hAnsi="Times New Roman"/>
                <w:b/>
                <w:color w:val="000000"/>
                <w:sz w:val="24"/>
                <w:szCs w:val="24"/>
              </w:rPr>
              <w:t xml:space="preserve">Wpływ na rynek pracy </w:t>
            </w:r>
          </w:p>
        </w:tc>
      </w:tr>
      <w:tr w:rsidR="00871A80" w:rsidRPr="00033B48" w14:paraId="5CB0616F" w14:textId="77777777" w:rsidTr="0053280C">
        <w:trPr>
          <w:trHeight w:val="142"/>
        </w:trPr>
        <w:tc>
          <w:tcPr>
            <w:tcW w:w="10661" w:type="dxa"/>
            <w:gridSpan w:val="29"/>
          </w:tcPr>
          <w:p w14:paraId="7BA3F9BA" w14:textId="1E2DA99F" w:rsidR="00871A80" w:rsidRPr="00D05697" w:rsidRDefault="00871A80" w:rsidP="009016B4">
            <w:pPr>
              <w:spacing w:before="120" w:after="120" w:line="240" w:lineRule="auto"/>
              <w:jc w:val="both"/>
              <w:rPr>
                <w:rFonts w:ascii="Times New Roman" w:hAnsi="Times New Roman"/>
                <w:color w:val="000000"/>
                <w:sz w:val="24"/>
                <w:szCs w:val="24"/>
              </w:rPr>
            </w:pPr>
            <w:r w:rsidRPr="00033B48">
              <w:rPr>
                <w:rFonts w:ascii="Times New Roman" w:hAnsi="Times New Roman"/>
                <w:color w:val="000000"/>
                <w:sz w:val="24"/>
                <w:szCs w:val="24"/>
              </w:rPr>
              <w:t xml:space="preserve">Wejście w życie ustawy nie wpłynie bezpośrednio na rynek pracy. Możliwe jest zwiększenie liczby miejsc pracy w przypadku powstania </w:t>
            </w:r>
            <w:r w:rsidR="00421B90">
              <w:rPr>
                <w:rFonts w:ascii="Times New Roman" w:hAnsi="Times New Roman"/>
                <w:color w:val="000000"/>
                <w:sz w:val="24"/>
                <w:szCs w:val="24"/>
              </w:rPr>
              <w:t>nowej kategorii alternatywnych funduszy inwestycyjnych</w:t>
            </w:r>
            <w:r w:rsidR="0053280C">
              <w:rPr>
                <w:rFonts w:ascii="Times New Roman" w:hAnsi="Times New Roman"/>
                <w:color w:val="000000"/>
                <w:sz w:val="24"/>
                <w:szCs w:val="24"/>
              </w:rPr>
              <w:t xml:space="preserve">, które będą finansowały rozwój </w:t>
            </w:r>
            <w:r w:rsidR="0053280C" w:rsidRPr="0053280C">
              <w:rPr>
                <w:rFonts w:ascii="Times New Roman" w:hAnsi="Times New Roman"/>
                <w:color w:val="000000"/>
                <w:sz w:val="24"/>
                <w:szCs w:val="24"/>
              </w:rPr>
              <w:t>mikro-, małych i średnich przedsiębiorstw</w:t>
            </w:r>
            <w:r w:rsidRPr="00033B48">
              <w:rPr>
                <w:rFonts w:ascii="Times New Roman" w:hAnsi="Times New Roman"/>
                <w:color w:val="000000"/>
                <w:sz w:val="24"/>
                <w:szCs w:val="24"/>
              </w:rPr>
              <w:t>.</w:t>
            </w:r>
          </w:p>
        </w:tc>
      </w:tr>
      <w:tr w:rsidR="00871A80" w:rsidRPr="00033B48" w14:paraId="351331DC" w14:textId="77777777" w:rsidTr="0053280C">
        <w:trPr>
          <w:trHeight w:val="142"/>
        </w:trPr>
        <w:tc>
          <w:tcPr>
            <w:tcW w:w="10661" w:type="dxa"/>
            <w:gridSpan w:val="29"/>
            <w:shd w:val="clear" w:color="auto" w:fill="99CCFF"/>
          </w:tcPr>
          <w:p w14:paraId="7596CBBE" w14:textId="77777777" w:rsidR="00871A80" w:rsidRPr="00D05697" w:rsidRDefault="00871A80" w:rsidP="00871A80">
            <w:pPr>
              <w:numPr>
                <w:ilvl w:val="0"/>
                <w:numId w:val="3"/>
              </w:numPr>
              <w:spacing w:before="60" w:after="60" w:line="240" w:lineRule="auto"/>
              <w:jc w:val="both"/>
              <w:rPr>
                <w:rFonts w:ascii="Times New Roman" w:hAnsi="Times New Roman"/>
                <w:b/>
                <w:color w:val="000000"/>
                <w:sz w:val="24"/>
                <w:szCs w:val="24"/>
              </w:rPr>
            </w:pPr>
            <w:r w:rsidRPr="00D05697">
              <w:rPr>
                <w:rFonts w:ascii="Times New Roman" w:hAnsi="Times New Roman"/>
                <w:b/>
                <w:color w:val="000000"/>
                <w:sz w:val="24"/>
                <w:szCs w:val="24"/>
              </w:rPr>
              <w:t>Wpływ na pozostałe obszary</w:t>
            </w:r>
          </w:p>
        </w:tc>
      </w:tr>
      <w:tr w:rsidR="00871A80" w:rsidRPr="00033B48" w14:paraId="27479947" w14:textId="77777777" w:rsidTr="0053280C">
        <w:trPr>
          <w:trHeight w:val="1031"/>
        </w:trPr>
        <w:tc>
          <w:tcPr>
            <w:tcW w:w="3418" w:type="dxa"/>
            <w:gridSpan w:val="5"/>
            <w:shd w:val="clear" w:color="auto" w:fill="FFFFFF"/>
          </w:tcPr>
          <w:p w14:paraId="3C6C85E3" w14:textId="77777777" w:rsidR="00871A80" w:rsidRPr="00D05697" w:rsidRDefault="00871A80" w:rsidP="00871A80">
            <w:pPr>
              <w:spacing w:line="240" w:lineRule="auto"/>
              <w:rPr>
                <w:rFonts w:ascii="Times New Roman" w:hAnsi="Times New Roman"/>
                <w:color w:val="000000"/>
                <w:sz w:val="24"/>
                <w:szCs w:val="24"/>
              </w:rPr>
            </w:pPr>
          </w:p>
          <w:p w14:paraId="2A591B73" w14:textId="77777777" w:rsidR="00871A80" w:rsidRPr="00D05697" w:rsidRDefault="00871A80" w:rsidP="00871A80">
            <w:pPr>
              <w:spacing w:line="240" w:lineRule="auto"/>
              <w:rPr>
                <w:rFonts w:ascii="Times New Roman" w:hAnsi="Times New Roman"/>
                <w:color w:val="000000"/>
                <w:spacing w:val="-2"/>
                <w:sz w:val="24"/>
                <w:szCs w:val="24"/>
              </w:rPr>
            </w:pPr>
            <w:r w:rsidRPr="00D05697">
              <w:rPr>
                <w:rFonts w:ascii="Times New Roman" w:hAnsi="Times New Roman"/>
                <w:color w:val="000000"/>
                <w:sz w:val="24"/>
                <w:szCs w:val="24"/>
              </w:rPr>
              <w:fldChar w:fldCharType="begin">
                <w:ffData>
                  <w:name w:val="Wybór1"/>
                  <w:enabled/>
                  <w:calcOnExit w:val="0"/>
                  <w:checkBox>
                    <w:sizeAuto/>
                    <w:default w:val="0"/>
                  </w:checkBox>
                </w:ffData>
              </w:fldChar>
            </w:r>
            <w:r w:rsidRPr="00D05697">
              <w:rPr>
                <w:rFonts w:ascii="Times New Roman" w:hAnsi="Times New Roman"/>
                <w:color w:val="000000"/>
                <w:sz w:val="24"/>
                <w:szCs w:val="24"/>
              </w:rPr>
              <w:instrText xml:space="preserve"> FORMCHECKBOX </w:instrText>
            </w:r>
            <w:r w:rsidR="00DF4D5A">
              <w:rPr>
                <w:rFonts w:ascii="Times New Roman" w:hAnsi="Times New Roman"/>
                <w:color w:val="000000"/>
                <w:sz w:val="24"/>
                <w:szCs w:val="24"/>
              </w:rPr>
            </w:r>
            <w:r w:rsidR="00DF4D5A">
              <w:rPr>
                <w:rFonts w:ascii="Times New Roman" w:hAnsi="Times New Roman"/>
                <w:color w:val="000000"/>
                <w:sz w:val="24"/>
                <w:szCs w:val="24"/>
              </w:rPr>
              <w:fldChar w:fldCharType="separate"/>
            </w:r>
            <w:r w:rsidRPr="00D05697">
              <w:rPr>
                <w:rFonts w:ascii="Times New Roman" w:hAnsi="Times New Roman"/>
                <w:color w:val="000000"/>
                <w:sz w:val="24"/>
                <w:szCs w:val="24"/>
              </w:rPr>
              <w:fldChar w:fldCharType="end"/>
            </w:r>
            <w:r w:rsidRPr="00D05697">
              <w:rPr>
                <w:rFonts w:ascii="Times New Roman" w:hAnsi="Times New Roman"/>
                <w:color w:val="000000"/>
                <w:sz w:val="24"/>
                <w:szCs w:val="24"/>
              </w:rPr>
              <w:t xml:space="preserve"> </w:t>
            </w:r>
            <w:r w:rsidRPr="00D05697">
              <w:rPr>
                <w:rFonts w:ascii="Times New Roman" w:hAnsi="Times New Roman"/>
                <w:color w:val="000000"/>
                <w:spacing w:val="-2"/>
                <w:sz w:val="24"/>
                <w:szCs w:val="24"/>
              </w:rPr>
              <w:t>środowisko naturalne</w:t>
            </w:r>
          </w:p>
          <w:p w14:paraId="377ED748" w14:textId="598E86EE" w:rsidR="00871A80" w:rsidRPr="00D05697" w:rsidRDefault="00421B90" w:rsidP="00871A80">
            <w:pPr>
              <w:spacing w:line="240" w:lineRule="auto"/>
              <w:rPr>
                <w:rFonts w:ascii="Times New Roman" w:hAnsi="Times New Roman"/>
                <w:color w:val="000000"/>
                <w:sz w:val="24"/>
                <w:szCs w:val="24"/>
              </w:rPr>
            </w:pPr>
            <w:r>
              <w:rPr>
                <w:rFonts w:ascii="Times New Roman" w:hAnsi="Times New Roman"/>
                <w:color w:val="000000"/>
                <w:sz w:val="24"/>
                <w:szCs w:val="24"/>
              </w:rPr>
              <w:fldChar w:fldCharType="begin">
                <w:ffData>
                  <w:name w:val=""/>
                  <w:enabled/>
                  <w:calcOnExit w:val="0"/>
                  <w:checkBox>
                    <w:sizeAuto/>
                    <w:default w:val="1"/>
                  </w:checkBox>
                </w:ffData>
              </w:fldChar>
            </w:r>
            <w:r>
              <w:rPr>
                <w:rFonts w:ascii="Times New Roman" w:hAnsi="Times New Roman"/>
                <w:color w:val="000000"/>
                <w:sz w:val="24"/>
                <w:szCs w:val="24"/>
              </w:rPr>
              <w:instrText xml:space="preserve"> FORMCHECKBOX </w:instrText>
            </w:r>
            <w:r w:rsidR="00DF4D5A">
              <w:rPr>
                <w:rFonts w:ascii="Times New Roman" w:hAnsi="Times New Roman"/>
                <w:color w:val="000000"/>
                <w:sz w:val="24"/>
                <w:szCs w:val="24"/>
              </w:rPr>
            </w:r>
            <w:r w:rsidR="00DF4D5A">
              <w:rPr>
                <w:rFonts w:ascii="Times New Roman" w:hAnsi="Times New Roman"/>
                <w:color w:val="000000"/>
                <w:sz w:val="24"/>
                <w:szCs w:val="24"/>
              </w:rPr>
              <w:fldChar w:fldCharType="separate"/>
            </w:r>
            <w:r>
              <w:rPr>
                <w:rFonts w:ascii="Times New Roman" w:hAnsi="Times New Roman"/>
                <w:color w:val="000000"/>
                <w:sz w:val="24"/>
                <w:szCs w:val="24"/>
              </w:rPr>
              <w:fldChar w:fldCharType="end"/>
            </w:r>
            <w:r w:rsidR="00871A80" w:rsidRPr="00D05697">
              <w:rPr>
                <w:rFonts w:ascii="Times New Roman" w:hAnsi="Times New Roman"/>
                <w:color w:val="000000"/>
                <w:sz w:val="24"/>
                <w:szCs w:val="24"/>
              </w:rPr>
              <w:t xml:space="preserve"> sytuacja i rozwój regionalny</w:t>
            </w:r>
          </w:p>
          <w:p w14:paraId="1815AA18" w14:textId="77777777"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fldChar w:fldCharType="begin">
                <w:ffData>
                  <w:name w:val="Wybór1"/>
                  <w:enabled/>
                  <w:calcOnExit w:val="0"/>
                  <w:checkBox>
                    <w:sizeAuto/>
                    <w:default w:val="0"/>
                  </w:checkBox>
                </w:ffData>
              </w:fldChar>
            </w:r>
            <w:r w:rsidRPr="00D05697">
              <w:rPr>
                <w:rFonts w:ascii="Times New Roman" w:hAnsi="Times New Roman"/>
                <w:color w:val="000000"/>
                <w:sz w:val="24"/>
                <w:szCs w:val="24"/>
              </w:rPr>
              <w:instrText xml:space="preserve"> FORMCHECKBOX </w:instrText>
            </w:r>
            <w:r w:rsidR="00DF4D5A">
              <w:rPr>
                <w:rFonts w:ascii="Times New Roman" w:hAnsi="Times New Roman"/>
                <w:color w:val="000000"/>
                <w:sz w:val="24"/>
                <w:szCs w:val="24"/>
              </w:rPr>
            </w:r>
            <w:r w:rsidR="00DF4D5A">
              <w:rPr>
                <w:rFonts w:ascii="Times New Roman" w:hAnsi="Times New Roman"/>
                <w:color w:val="000000"/>
                <w:sz w:val="24"/>
                <w:szCs w:val="24"/>
              </w:rPr>
              <w:fldChar w:fldCharType="separate"/>
            </w:r>
            <w:r w:rsidRPr="00D05697">
              <w:rPr>
                <w:rFonts w:ascii="Times New Roman" w:hAnsi="Times New Roman"/>
                <w:color w:val="000000"/>
                <w:sz w:val="24"/>
                <w:szCs w:val="24"/>
              </w:rPr>
              <w:fldChar w:fldCharType="end"/>
            </w:r>
            <w:r w:rsidRPr="00D05697">
              <w:rPr>
                <w:rFonts w:ascii="Times New Roman" w:hAnsi="Times New Roman"/>
                <w:color w:val="000000"/>
                <w:sz w:val="24"/>
                <w:szCs w:val="24"/>
              </w:rPr>
              <w:t xml:space="preserve"> </w:t>
            </w:r>
            <w:r w:rsidRPr="00D05697">
              <w:rPr>
                <w:rFonts w:ascii="Times New Roman" w:hAnsi="Times New Roman"/>
                <w:spacing w:val="-2"/>
                <w:sz w:val="24"/>
                <w:szCs w:val="24"/>
              </w:rPr>
              <w:t>sądy powszechne, administracyjne lub wojskowe</w:t>
            </w:r>
          </w:p>
        </w:tc>
        <w:tc>
          <w:tcPr>
            <w:tcW w:w="3597" w:type="dxa"/>
            <w:gridSpan w:val="15"/>
            <w:shd w:val="clear" w:color="auto" w:fill="FFFFFF"/>
          </w:tcPr>
          <w:p w14:paraId="122B1265" w14:textId="77777777" w:rsidR="00871A80" w:rsidRPr="00D05697" w:rsidRDefault="00871A80" w:rsidP="00871A80">
            <w:pPr>
              <w:spacing w:line="240" w:lineRule="auto"/>
              <w:rPr>
                <w:rFonts w:ascii="Times New Roman" w:hAnsi="Times New Roman"/>
                <w:color w:val="000000"/>
                <w:sz w:val="24"/>
                <w:szCs w:val="24"/>
              </w:rPr>
            </w:pPr>
          </w:p>
          <w:p w14:paraId="196D5E99" w14:textId="77777777" w:rsidR="00871A80" w:rsidRPr="00D05697" w:rsidRDefault="00871A80" w:rsidP="00871A80">
            <w:pPr>
              <w:spacing w:line="240" w:lineRule="auto"/>
              <w:rPr>
                <w:rFonts w:ascii="Times New Roman" w:hAnsi="Times New Roman"/>
                <w:color w:val="000000"/>
                <w:spacing w:val="-2"/>
                <w:sz w:val="24"/>
                <w:szCs w:val="24"/>
              </w:rPr>
            </w:pPr>
            <w:r w:rsidRPr="00D05697">
              <w:rPr>
                <w:rFonts w:ascii="Times New Roman" w:hAnsi="Times New Roman"/>
                <w:color w:val="000000"/>
                <w:sz w:val="24"/>
                <w:szCs w:val="24"/>
              </w:rPr>
              <w:fldChar w:fldCharType="begin">
                <w:ffData>
                  <w:name w:val="Wybór1"/>
                  <w:enabled/>
                  <w:calcOnExit w:val="0"/>
                  <w:checkBox>
                    <w:sizeAuto/>
                    <w:default w:val="0"/>
                  </w:checkBox>
                </w:ffData>
              </w:fldChar>
            </w:r>
            <w:r w:rsidRPr="00D05697">
              <w:rPr>
                <w:rFonts w:ascii="Times New Roman" w:hAnsi="Times New Roman"/>
                <w:color w:val="000000"/>
                <w:sz w:val="24"/>
                <w:szCs w:val="24"/>
              </w:rPr>
              <w:instrText xml:space="preserve"> FORMCHECKBOX </w:instrText>
            </w:r>
            <w:r w:rsidR="00DF4D5A">
              <w:rPr>
                <w:rFonts w:ascii="Times New Roman" w:hAnsi="Times New Roman"/>
                <w:color w:val="000000"/>
                <w:sz w:val="24"/>
                <w:szCs w:val="24"/>
              </w:rPr>
            </w:r>
            <w:r w:rsidR="00DF4D5A">
              <w:rPr>
                <w:rFonts w:ascii="Times New Roman" w:hAnsi="Times New Roman"/>
                <w:color w:val="000000"/>
                <w:sz w:val="24"/>
                <w:szCs w:val="24"/>
              </w:rPr>
              <w:fldChar w:fldCharType="separate"/>
            </w:r>
            <w:r w:rsidRPr="00D05697">
              <w:rPr>
                <w:rFonts w:ascii="Times New Roman" w:hAnsi="Times New Roman"/>
                <w:color w:val="000000"/>
                <w:sz w:val="24"/>
                <w:szCs w:val="24"/>
              </w:rPr>
              <w:fldChar w:fldCharType="end"/>
            </w:r>
            <w:r w:rsidRPr="00D05697">
              <w:rPr>
                <w:rFonts w:ascii="Times New Roman" w:hAnsi="Times New Roman"/>
                <w:color w:val="000000"/>
                <w:sz w:val="24"/>
                <w:szCs w:val="24"/>
              </w:rPr>
              <w:t xml:space="preserve"> </w:t>
            </w:r>
            <w:r w:rsidRPr="00D05697">
              <w:rPr>
                <w:rFonts w:ascii="Times New Roman" w:hAnsi="Times New Roman"/>
                <w:color w:val="000000"/>
                <w:spacing w:val="-2"/>
                <w:sz w:val="24"/>
                <w:szCs w:val="24"/>
              </w:rPr>
              <w:t>demografia</w:t>
            </w:r>
          </w:p>
          <w:p w14:paraId="13D2C603" w14:textId="77777777"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fldChar w:fldCharType="begin">
                <w:ffData>
                  <w:name w:val=""/>
                  <w:enabled/>
                  <w:calcOnExit w:val="0"/>
                  <w:checkBox>
                    <w:sizeAuto/>
                    <w:default w:val="0"/>
                  </w:checkBox>
                </w:ffData>
              </w:fldChar>
            </w:r>
            <w:r w:rsidRPr="00D05697">
              <w:rPr>
                <w:rFonts w:ascii="Times New Roman" w:hAnsi="Times New Roman"/>
                <w:color w:val="000000"/>
                <w:sz w:val="24"/>
                <w:szCs w:val="24"/>
              </w:rPr>
              <w:instrText xml:space="preserve"> FORMCHECKBOX </w:instrText>
            </w:r>
            <w:r w:rsidR="00DF4D5A">
              <w:rPr>
                <w:rFonts w:ascii="Times New Roman" w:hAnsi="Times New Roman"/>
                <w:color w:val="000000"/>
                <w:sz w:val="24"/>
                <w:szCs w:val="24"/>
              </w:rPr>
            </w:r>
            <w:r w:rsidR="00DF4D5A">
              <w:rPr>
                <w:rFonts w:ascii="Times New Roman" w:hAnsi="Times New Roman"/>
                <w:color w:val="000000"/>
                <w:sz w:val="24"/>
                <w:szCs w:val="24"/>
              </w:rPr>
              <w:fldChar w:fldCharType="separate"/>
            </w:r>
            <w:r w:rsidRPr="00D05697">
              <w:rPr>
                <w:rFonts w:ascii="Times New Roman" w:hAnsi="Times New Roman"/>
                <w:color w:val="000000"/>
                <w:sz w:val="24"/>
                <w:szCs w:val="24"/>
              </w:rPr>
              <w:fldChar w:fldCharType="end"/>
            </w:r>
            <w:r w:rsidRPr="00D05697">
              <w:rPr>
                <w:rFonts w:ascii="Times New Roman" w:hAnsi="Times New Roman"/>
                <w:color w:val="000000"/>
                <w:sz w:val="24"/>
                <w:szCs w:val="24"/>
              </w:rPr>
              <w:t xml:space="preserve"> mienie państwowe</w:t>
            </w:r>
          </w:p>
          <w:p w14:paraId="18031DEF" w14:textId="77777777"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fldChar w:fldCharType="begin">
                <w:ffData>
                  <w:name w:val="Wybór1"/>
                  <w:enabled/>
                  <w:calcOnExit w:val="0"/>
                  <w:checkBox>
                    <w:sizeAuto/>
                    <w:default w:val="0"/>
                  </w:checkBox>
                </w:ffData>
              </w:fldChar>
            </w:r>
            <w:r w:rsidRPr="00D05697">
              <w:rPr>
                <w:rFonts w:ascii="Times New Roman" w:hAnsi="Times New Roman"/>
                <w:color w:val="000000"/>
                <w:sz w:val="24"/>
                <w:szCs w:val="24"/>
              </w:rPr>
              <w:instrText xml:space="preserve"> FORMCHECKBOX </w:instrText>
            </w:r>
            <w:r w:rsidR="00DF4D5A">
              <w:rPr>
                <w:rFonts w:ascii="Times New Roman" w:hAnsi="Times New Roman"/>
                <w:color w:val="000000"/>
                <w:sz w:val="24"/>
                <w:szCs w:val="24"/>
              </w:rPr>
            </w:r>
            <w:r w:rsidR="00DF4D5A">
              <w:rPr>
                <w:rFonts w:ascii="Times New Roman" w:hAnsi="Times New Roman"/>
                <w:color w:val="000000"/>
                <w:sz w:val="24"/>
                <w:szCs w:val="24"/>
              </w:rPr>
              <w:fldChar w:fldCharType="separate"/>
            </w:r>
            <w:r w:rsidRPr="00D05697">
              <w:rPr>
                <w:rFonts w:ascii="Times New Roman" w:hAnsi="Times New Roman"/>
                <w:color w:val="000000"/>
                <w:sz w:val="24"/>
                <w:szCs w:val="24"/>
              </w:rPr>
              <w:fldChar w:fldCharType="end"/>
            </w:r>
            <w:r w:rsidRPr="00D05697">
              <w:rPr>
                <w:rFonts w:ascii="Times New Roman" w:hAnsi="Times New Roman"/>
                <w:color w:val="000000"/>
                <w:sz w:val="24"/>
                <w:szCs w:val="24"/>
              </w:rPr>
              <w:t xml:space="preserve"> </w:t>
            </w:r>
            <w:r w:rsidRPr="00D05697">
              <w:rPr>
                <w:rFonts w:ascii="Times New Roman" w:hAnsi="Times New Roman"/>
                <w:color w:val="000000"/>
                <w:spacing w:val="-2"/>
                <w:sz w:val="24"/>
                <w:szCs w:val="24"/>
              </w:rPr>
              <w:t xml:space="preserve">inne: </w:t>
            </w:r>
            <w:r w:rsidRPr="00D05697">
              <w:rPr>
                <w:rFonts w:ascii="Times New Roman" w:hAnsi="Times New Roman"/>
                <w:color w:val="000000"/>
                <w:sz w:val="24"/>
                <w:szCs w:val="24"/>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D05697">
              <w:rPr>
                <w:rFonts w:ascii="Times New Roman" w:hAnsi="Times New Roman"/>
                <w:color w:val="000000"/>
                <w:sz w:val="24"/>
                <w:szCs w:val="24"/>
              </w:rPr>
              <w:instrText xml:space="preserve"> FORMTEXT </w:instrText>
            </w:r>
            <w:r w:rsidRPr="00D05697">
              <w:rPr>
                <w:rFonts w:ascii="Times New Roman" w:hAnsi="Times New Roman"/>
                <w:color w:val="000000"/>
                <w:sz w:val="24"/>
                <w:szCs w:val="24"/>
              </w:rPr>
            </w:r>
            <w:r w:rsidRPr="00D05697">
              <w:rPr>
                <w:rFonts w:ascii="Times New Roman" w:hAnsi="Times New Roman"/>
                <w:color w:val="000000"/>
                <w:sz w:val="24"/>
                <w:szCs w:val="24"/>
              </w:rPr>
              <w:fldChar w:fldCharType="separate"/>
            </w:r>
            <w:r w:rsidRPr="00D05697">
              <w:rPr>
                <w:rFonts w:ascii="Times New Roman" w:hAnsi="Times New Roman"/>
                <w:noProof/>
                <w:color w:val="000000"/>
                <w:sz w:val="24"/>
                <w:szCs w:val="24"/>
              </w:rPr>
              <w:t> </w:t>
            </w:r>
            <w:r w:rsidRPr="00D05697">
              <w:rPr>
                <w:rFonts w:ascii="Times New Roman" w:hAnsi="Times New Roman"/>
                <w:noProof/>
                <w:color w:val="000000"/>
                <w:sz w:val="24"/>
                <w:szCs w:val="24"/>
              </w:rPr>
              <w:t> </w:t>
            </w:r>
            <w:r w:rsidRPr="00D05697">
              <w:rPr>
                <w:rFonts w:ascii="Times New Roman" w:hAnsi="Times New Roman"/>
                <w:noProof/>
                <w:color w:val="000000"/>
                <w:sz w:val="24"/>
                <w:szCs w:val="24"/>
              </w:rPr>
              <w:t> </w:t>
            </w:r>
            <w:r w:rsidRPr="00D05697">
              <w:rPr>
                <w:rFonts w:ascii="Times New Roman" w:hAnsi="Times New Roman"/>
                <w:noProof/>
                <w:color w:val="000000"/>
                <w:sz w:val="24"/>
                <w:szCs w:val="24"/>
              </w:rPr>
              <w:t> </w:t>
            </w:r>
            <w:r w:rsidRPr="00D05697">
              <w:rPr>
                <w:rFonts w:ascii="Times New Roman" w:hAnsi="Times New Roman"/>
                <w:noProof/>
                <w:color w:val="000000"/>
                <w:sz w:val="24"/>
                <w:szCs w:val="24"/>
              </w:rPr>
              <w:t> </w:t>
            </w:r>
            <w:r w:rsidRPr="00D05697">
              <w:rPr>
                <w:rFonts w:ascii="Times New Roman" w:hAnsi="Times New Roman"/>
                <w:color w:val="000000"/>
                <w:sz w:val="24"/>
                <w:szCs w:val="24"/>
              </w:rPr>
              <w:fldChar w:fldCharType="end"/>
            </w:r>
          </w:p>
        </w:tc>
        <w:tc>
          <w:tcPr>
            <w:tcW w:w="3646" w:type="dxa"/>
            <w:gridSpan w:val="9"/>
            <w:shd w:val="clear" w:color="auto" w:fill="FFFFFF"/>
          </w:tcPr>
          <w:p w14:paraId="4AA0202E" w14:textId="77777777" w:rsidR="00871A80" w:rsidRPr="00D05697" w:rsidRDefault="00871A80" w:rsidP="00871A80">
            <w:pPr>
              <w:spacing w:line="240" w:lineRule="auto"/>
              <w:rPr>
                <w:rFonts w:ascii="Times New Roman" w:hAnsi="Times New Roman"/>
                <w:color w:val="000000"/>
                <w:sz w:val="24"/>
                <w:szCs w:val="24"/>
              </w:rPr>
            </w:pPr>
          </w:p>
          <w:p w14:paraId="7BFF740D" w14:textId="77777777" w:rsidR="00871A80" w:rsidRPr="00D05697" w:rsidRDefault="00871A80" w:rsidP="00871A80">
            <w:pPr>
              <w:spacing w:line="240" w:lineRule="auto"/>
              <w:rPr>
                <w:rFonts w:ascii="Times New Roman" w:hAnsi="Times New Roman"/>
                <w:color w:val="000000"/>
                <w:spacing w:val="-2"/>
                <w:sz w:val="24"/>
                <w:szCs w:val="24"/>
              </w:rPr>
            </w:pPr>
            <w:r w:rsidRPr="00D05697">
              <w:rPr>
                <w:rFonts w:ascii="Times New Roman" w:hAnsi="Times New Roman"/>
                <w:color w:val="000000"/>
                <w:sz w:val="24"/>
                <w:szCs w:val="24"/>
              </w:rPr>
              <w:fldChar w:fldCharType="begin">
                <w:ffData>
                  <w:name w:val="Wybór1"/>
                  <w:enabled/>
                  <w:calcOnExit w:val="0"/>
                  <w:checkBox>
                    <w:sizeAuto/>
                    <w:default w:val="0"/>
                  </w:checkBox>
                </w:ffData>
              </w:fldChar>
            </w:r>
            <w:r w:rsidRPr="00D05697">
              <w:rPr>
                <w:rFonts w:ascii="Times New Roman" w:hAnsi="Times New Roman"/>
                <w:color w:val="000000"/>
                <w:sz w:val="24"/>
                <w:szCs w:val="24"/>
              </w:rPr>
              <w:instrText xml:space="preserve"> FORMCHECKBOX </w:instrText>
            </w:r>
            <w:r w:rsidR="00DF4D5A">
              <w:rPr>
                <w:rFonts w:ascii="Times New Roman" w:hAnsi="Times New Roman"/>
                <w:color w:val="000000"/>
                <w:sz w:val="24"/>
                <w:szCs w:val="24"/>
              </w:rPr>
            </w:r>
            <w:r w:rsidR="00DF4D5A">
              <w:rPr>
                <w:rFonts w:ascii="Times New Roman" w:hAnsi="Times New Roman"/>
                <w:color w:val="000000"/>
                <w:sz w:val="24"/>
                <w:szCs w:val="24"/>
              </w:rPr>
              <w:fldChar w:fldCharType="separate"/>
            </w:r>
            <w:r w:rsidRPr="00D05697">
              <w:rPr>
                <w:rFonts w:ascii="Times New Roman" w:hAnsi="Times New Roman"/>
                <w:color w:val="000000"/>
                <w:sz w:val="24"/>
                <w:szCs w:val="24"/>
              </w:rPr>
              <w:fldChar w:fldCharType="end"/>
            </w:r>
            <w:r w:rsidRPr="00D05697">
              <w:rPr>
                <w:rFonts w:ascii="Times New Roman" w:hAnsi="Times New Roman"/>
                <w:color w:val="000000"/>
                <w:sz w:val="24"/>
                <w:szCs w:val="24"/>
              </w:rPr>
              <w:t xml:space="preserve"> </w:t>
            </w:r>
            <w:r w:rsidRPr="00D05697">
              <w:rPr>
                <w:rFonts w:ascii="Times New Roman" w:hAnsi="Times New Roman"/>
                <w:color w:val="000000"/>
                <w:spacing w:val="-2"/>
                <w:sz w:val="24"/>
                <w:szCs w:val="24"/>
              </w:rPr>
              <w:t>informatyzacja</w:t>
            </w:r>
          </w:p>
          <w:p w14:paraId="121413C8" w14:textId="77777777"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fldChar w:fldCharType="begin">
                <w:ffData>
                  <w:name w:val="Wybór1"/>
                  <w:enabled/>
                  <w:calcOnExit w:val="0"/>
                  <w:checkBox>
                    <w:sizeAuto/>
                    <w:default w:val="0"/>
                  </w:checkBox>
                </w:ffData>
              </w:fldChar>
            </w:r>
            <w:r w:rsidRPr="00D05697">
              <w:rPr>
                <w:rFonts w:ascii="Times New Roman" w:hAnsi="Times New Roman"/>
                <w:color w:val="000000"/>
                <w:sz w:val="24"/>
                <w:szCs w:val="24"/>
              </w:rPr>
              <w:instrText xml:space="preserve"> FORMCHECKBOX </w:instrText>
            </w:r>
            <w:r w:rsidR="00DF4D5A">
              <w:rPr>
                <w:rFonts w:ascii="Times New Roman" w:hAnsi="Times New Roman"/>
                <w:color w:val="000000"/>
                <w:sz w:val="24"/>
                <w:szCs w:val="24"/>
              </w:rPr>
            </w:r>
            <w:r w:rsidR="00DF4D5A">
              <w:rPr>
                <w:rFonts w:ascii="Times New Roman" w:hAnsi="Times New Roman"/>
                <w:color w:val="000000"/>
                <w:sz w:val="24"/>
                <w:szCs w:val="24"/>
              </w:rPr>
              <w:fldChar w:fldCharType="separate"/>
            </w:r>
            <w:r w:rsidRPr="00D05697">
              <w:rPr>
                <w:rFonts w:ascii="Times New Roman" w:hAnsi="Times New Roman"/>
                <w:color w:val="000000"/>
                <w:sz w:val="24"/>
                <w:szCs w:val="24"/>
              </w:rPr>
              <w:fldChar w:fldCharType="end"/>
            </w:r>
            <w:r w:rsidRPr="00D05697">
              <w:rPr>
                <w:rFonts w:ascii="Times New Roman" w:hAnsi="Times New Roman"/>
                <w:color w:val="000000"/>
                <w:sz w:val="24"/>
                <w:szCs w:val="24"/>
              </w:rPr>
              <w:t xml:space="preserve"> </w:t>
            </w:r>
            <w:r w:rsidRPr="00D05697">
              <w:rPr>
                <w:rFonts w:ascii="Times New Roman" w:hAnsi="Times New Roman"/>
                <w:color w:val="000000"/>
                <w:spacing w:val="-2"/>
                <w:sz w:val="24"/>
                <w:szCs w:val="24"/>
              </w:rPr>
              <w:t>zdrowie</w:t>
            </w:r>
          </w:p>
        </w:tc>
      </w:tr>
      <w:tr w:rsidR="00871A80" w:rsidRPr="00033B48" w14:paraId="06C69C3F" w14:textId="77777777" w:rsidTr="0053280C">
        <w:trPr>
          <w:trHeight w:val="712"/>
        </w:trPr>
        <w:tc>
          <w:tcPr>
            <w:tcW w:w="2211" w:type="dxa"/>
            <w:gridSpan w:val="2"/>
            <w:shd w:val="clear" w:color="auto" w:fill="FFFFFF"/>
            <w:vAlign w:val="center"/>
          </w:tcPr>
          <w:p w14:paraId="00D0066C" w14:textId="77777777" w:rsidR="00871A80" w:rsidRPr="00D05697" w:rsidRDefault="00871A80" w:rsidP="00871A80">
            <w:pPr>
              <w:spacing w:line="240" w:lineRule="auto"/>
              <w:rPr>
                <w:rFonts w:ascii="Times New Roman" w:hAnsi="Times New Roman"/>
                <w:color w:val="000000"/>
                <w:sz w:val="24"/>
                <w:szCs w:val="24"/>
              </w:rPr>
            </w:pPr>
            <w:r w:rsidRPr="00D05697">
              <w:rPr>
                <w:rFonts w:ascii="Times New Roman" w:hAnsi="Times New Roman"/>
                <w:color w:val="000000"/>
                <w:sz w:val="24"/>
                <w:szCs w:val="24"/>
              </w:rPr>
              <w:t>Omówienie wpływu</w:t>
            </w:r>
          </w:p>
        </w:tc>
        <w:tc>
          <w:tcPr>
            <w:tcW w:w="8450" w:type="dxa"/>
            <w:gridSpan w:val="27"/>
            <w:shd w:val="clear" w:color="auto" w:fill="FFFFFF"/>
            <w:vAlign w:val="center"/>
          </w:tcPr>
          <w:p w14:paraId="79AAE232" w14:textId="6517E1AC" w:rsidR="00AD5B30" w:rsidRDefault="009311A4" w:rsidP="009016B4">
            <w:pPr>
              <w:spacing w:before="120" w:after="120" w:line="240" w:lineRule="auto"/>
              <w:jc w:val="both"/>
            </w:pPr>
            <w:r w:rsidRPr="00D05697">
              <w:rPr>
                <w:rFonts w:ascii="Times New Roman" w:hAnsi="Times New Roman"/>
                <w:color w:val="000000"/>
                <w:sz w:val="24"/>
                <w:szCs w:val="24"/>
              </w:rPr>
              <w:t>Wejście w życie ustawy</w:t>
            </w:r>
            <w:r w:rsidR="009016B4">
              <w:rPr>
                <w:rFonts w:ascii="Times New Roman" w:hAnsi="Times New Roman"/>
                <w:color w:val="000000"/>
                <w:sz w:val="24"/>
                <w:szCs w:val="24"/>
              </w:rPr>
              <w:t xml:space="preserve"> </w:t>
            </w:r>
            <w:r w:rsidR="00871A80" w:rsidRPr="00033B48">
              <w:rPr>
                <w:rFonts w:ascii="Times New Roman" w:hAnsi="Times New Roman"/>
                <w:color w:val="000000"/>
                <w:spacing w:val="-2"/>
                <w:sz w:val="24"/>
                <w:szCs w:val="24"/>
              </w:rPr>
              <w:t>będzie miał</w:t>
            </w:r>
            <w:r w:rsidRPr="00D05697">
              <w:rPr>
                <w:rFonts w:ascii="Times New Roman" w:hAnsi="Times New Roman"/>
                <w:color w:val="000000"/>
                <w:spacing w:val="-2"/>
                <w:sz w:val="24"/>
                <w:szCs w:val="24"/>
              </w:rPr>
              <w:t>o</w:t>
            </w:r>
            <w:r w:rsidR="00871A80" w:rsidRPr="00033B48">
              <w:rPr>
                <w:rFonts w:ascii="Times New Roman" w:hAnsi="Times New Roman"/>
                <w:color w:val="000000"/>
                <w:spacing w:val="-2"/>
                <w:sz w:val="24"/>
                <w:szCs w:val="24"/>
              </w:rPr>
              <w:t xml:space="preserve"> korzystny wpływ przez zwiększenie możliwości inwestowania i</w:t>
            </w:r>
            <w:r w:rsidR="009016B4">
              <w:rPr>
                <w:rFonts w:ascii="Times New Roman" w:hAnsi="Times New Roman"/>
                <w:color w:val="000000"/>
                <w:spacing w:val="-2"/>
                <w:sz w:val="24"/>
                <w:szCs w:val="24"/>
              </w:rPr>
              <w:t xml:space="preserve"> </w:t>
            </w:r>
            <w:r w:rsidR="00871A80" w:rsidRPr="00033B48">
              <w:rPr>
                <w:rFonts w:ascii="Times New Roman" w:hAnsi="Times New Roman"/>
                <w:color w:val="000000"/>
                <w:sz w:val="24"/>
                <w:szCs w:val="24"/>
              </w:rPr>
              <w:t>likwidację barier regulacyjnych ograniczających rozwój krajowego rynku kapitałowego.</w:t>
            </w:r>
          </w:p>
          <w:p w14:paraId="3EBA810C" w14:textId="603973F3" w:rsidR="006C17BE" w:rsidRPr="004B1A87" w:rsidRDefault="00421B90" w:rsidP="008C308B">
            <w:pPr>
              <w:spacing w:before="120" w:after="120" w:line="240" w:lineRule="auto"/>
              <w:jc w:val="both"/>
              <w:rPr>
                <w:rFonts w:ascii="Times New Roman" w:hAnsi="Times New Roman"/>
                <w:color w:val="000000"/>
                <w:sz w:val="24"/>
                <w:szCs w:val="24"/>
              </w:rPr>
            </w:pPr>
            <w:r w:rsidRPr="00421B90">
              <w:rPr>
                <w:rFonts w:ascii="Times New Roman" w:hAnsi="Times New Roman"/>
                <w:color w:val="000000"/>
                <w:sz w:val="24"/>
                <w:szCs w:val="24"/>
              </w:rPr>
              <w:lastRenderedPageBreak/>
              <w:t>Możliw</w:t>
            </w:r>
            <w:r>
              <w:rPr>
                <w:rFonts w:ascii="Times New Roman" w:hAnsi="Times New Roman"/>
                <w:color w:val="000000"/>
                <w:sz w:val="24"/>
                <w:szCs w:val="24"/>
              </w:rPr>
              <w:t xml:space="preserve">a </w:t>
            </w:r>
            <w:r w:rsidR="00BA2967">
              <w:rPr>
                <w:rFonts w:ascii="Times New Roman" w:hAnsi="Times New Roman"/>
                <w:color w:val="000000"/>
                <w:sz w:val="24"/>
                <w:szCs w:val="24"/>
              </w:rPr>
              <w:t xml:space="preserve">będzie </w:t>
            </w:r>
            <w:r>
              <w:rPr>
                <w:rFonts w:ascii="Times New Roman" w:hAnsi="Times New Roman"/>
                <w:color w:val="000000"/>
                <w:sz w:val="24"/>
                <w:szCs w:val="24"/>
              </w:rPr>
              <w:t xml:space="preserve">poprawa sytuacji i rozwoju regionalnego w wyniku </w:t>
            </w:r>
            <w:r w:rsidRPr="00421B90">
              <w:rPr>
                <w:rFonts w:ascii="Times New Roman" w:hAnsi="Times New Roman"/>
                <w:color w:val="000000"/>
                <w:sz w:val="24"/>
                <w:szCs w:val="24"/>
              </w:rPr>
              <w:t>powstania nowej kategorii alternatywnych funduszy inwestycyjnych, które będą finansowały rozwój mikro-, małych i średnich przedsiębiorstw</w:t>
            </w:r>
            <w:r w:rsidR="00487EAB">
              <w:rPr>
                <w:rFonts w:ascii="Times New Roman" w:hAnsi="Times New Roman"/>
                <w:color w:val="000000"/>
                <w:sz w:val="24"/>
                <w:szCs w:val="24"/>
              </w:rPr>
              <w:t xml:space="preserve"> zlokalizowanych w poszczególnych regionach kraju</w:t>
            </w:r>
            <w:r w:rsidRPr="00421B90">
              <w:rPr>
                <w:rFonts w:ascii="Times New Roman" w:hAnsi="Times New Roman"/>
                <w:color w:val="000000"/>
                <w:sz w:val="24"/>
                <w:szCs w:val="24"/>
              </w:rPr>
              <w:t>.</w:t>
            </w:r>
          </w:p>
          <w:p w14:paraId="20415E2D" w14:textId="5611FA09" w:rsidR="006C17BE" w:rsidRPr="00D05697" w:rsidRDefault="006C17BE" w:rsidP="008C308B">
            <w:pPr>
              <w:spacing w:before="120" w:after="120" w:line="240" w:lineRule="auto"/>
              <w:jc w:val="both"/>
              <w:rPr>
                <w:rFonts w:ascii="Times New Roman" w:hAnsi="Times New Roman"/>
                <w:color w:val="000000"/>
                <w:spacing w:val="-2"/>
                <w:sz w:val="24"/>
                <w:szCs w:val="24"/>
              </w:rPr>
            </w:pPr>
            <w:r w:rsidRPr="004B1A87">
              <w:rPr>
                <w:rFonts w:ascii="Times New Roman" w:hAnsi="Times New Roman"/>
                <w:color w:val="000000"/>
                <w:sz w:val="24"/>
                <w:szCs w:val="24"/>
              </w:rPr>
              <w:t xml:space="preserve">Regulacja może również przyczynić się do wzmocnienia rozwoju regionalnego, ponieważ fundusze rynku prywatnego – w tym KFI – </w:t>
            </w:r>
            <w:r w:rsidR="008C12D1" w:rsidRPr="004B1A87">
              <w:rPr>
                <w:rFonts w:ascii="Times New Roman" w:hAnsi="Times New Roman"/>
                <w:color w:val="000000"/>
                <w:sz w:val="24"/>
                <w:szCs w:val="24"/>
              </w:rPr>
              <w:t>będą</w:t>
            </w:r>
            <w:r w:rsidRPr="004B1A87">
              <w:rPr>
                <w:rFonts w:ascii="Times New Roman" w:hAnsi="Times New Roman"/>
                <w:color w:val="000000"/>
                <w:sz w:val="24"/>
                <w:szCs w:val="24"/>
              </w:rPr>
              <w:t xml:space="preserve"> wspiera</w:t>
            </w:r>
            <w:r w:rsidR="008C12D1" w:rsidRPr="004B1A87">
              <w:rPr>
                <w:rFonts w:ascii="Times New Roman" w:hAnsi="Times New Roman"/>
                <w:color w:val="000000"/>
                <w:sz w:val="24"/>
                <w:szCs w:val="24"/>
              </w:rPr>
              <w:t>ły</w:t>
            </w:r>
            <w:r w:rsidRPr="004B1A87">
              <w:rPr>
                <w:rFonts w:ascii="Times New Roman" w:hAnsi="Times New Roman"/>
                <w:color w:val="000000"/>
                <w:sz w:val="24"/>
                <w:szCs w:val="24"/>
              </w:rPr>
              <w:t xml:space="preserve"> lokaln</w:t>
            </w:r>
            <w:r w:rsidR="00DE3ABE">
              <w:rPr>
                <w:rFonts w:ascii="Times New Roman" w:hAnsi="Times New Roman"/>
                <w:color w:val="000000"/>
                <w:sz w:val="24"/>
                <w:szCs w:val="24"/>
              </w:rPr>
              <w:t>ą sieć</w:t>
            </w:r>
            <w:r w:rsidRPr="004B1A87">
              <w:rPr>
                <w:rFonts w:ascii="Times New Roman" w:hAnsi="Times New Roman"/>
                <w:color w:val="000000"/>
                <w:sz w:val="24"/>
                <w:szCs w:val="24"/>
              </w:rPr>
              <w:t xml:space="preserve"> innowacji i przedsiębiorczości.</w:t>
            </w:r>
          </w:p>
        </w:tc>
      </w:tr>
      <w:tr w:rsidR="00871A80" w:rsidRPr="00033B48" w14:paraId="157FF018" w14:textId="77777777" w:rsidTr="0053280C">
        <w:trPr>
          <w:trHeight w:val="142"/>
        </w:trPr>
        <w:tc>
          <w:tcPr>
            <w:tcW w:w="10661" w:type="dxa"/>
            <w:gridSpan w:val="29"/>
            <w:shd w:val="clear" w:color="auto" w:fill="99CCFF"/>
          </w:tcPr>
          <w:p w14:paraId="0C64E3B3" w14:textId="77777777" w:rsidR="00871A80" w:rsidRPr="00D05697" w:rsidRDefault="00871A80" w:rsidP="00871A80">
            <w:pPr>
              <w:numPr>
                <w:ilvl w:val="0"/>
                <w:numId w:val="3"/>
              </w:numPr>
              <w:spacing w:before="60" w:after="60" w:line="240" w:lineRule="auto"/>
              <w:ind w:left="318" w:hanging="284"/>
              <w:jc w:val="both"/>
              <w:rPr>
                <w:rFonts w:ascii="Times New Roman" w:hAnsi="Times New Roman"/>
                <w:b/>
                <w:sz w:val="24"/>
                <w:szCs w:val="24"/>
              </w:rPr>
            </w:pPr>
            <w:r w:rsidRPr="00D05697">
              <w:rPr>
                <w:rFonts w:ascii="Times New Roman" w:hAnsi="Times New Roman"/>
                <w:b/>
                <w:spacing w:val="-2"/>
                <w:sz w:val="24"/>
                <w:szCs w:val="24"/>
              </w:rPr>
              <w:lastRenderedPageBreak/>
              <w:t>Planowane wykonanie przepisów aktu prawnego</w:t>
            </w:r>
          </w:p>
        </w:tc>
      </w:tr>
      <w:tr w:rsidR="00871A80" w:rsidRPr="00033B48" w14:paraId="33CE3E32" w14:textId="77777777" w:rsidTr="0053280C">
        <w:trPr>
          <w:trHeight w:val="142"/>
        </w:trPr>
        <w:tc>
          <w:tcPr>
            <w:tcW w:w="10661" w:type="dxa"/>
            <w:gridSpan w:val="29"/>
            <w:shd w:val="clear" w:color="auto" w:fill="FFFFFF"/>
          </w:tcPr>
          <w:p w14:paraId="3231992E" w14:textId="5E508414" w:rsidR="00871A80" w:rsidRPr="0073251B" w:rsidRDefault="00871A80" w:rsidP="009016B4">
            <w:pPr>
              <w:spacing w:before="120" w:after="120" w:line="240" w:lineRule="auto"/>
              <w:jc w:val="both"/>
              <w:rPr>
                <w:rFonts w:ascii="Times New Roman" w:hAnsi="Times New Roman"/>
                <w:spacing w:val="-2"/>
                <w:sz w:val="24"/>
                <w:szCs w:val="24"/>
              </w:rPr>
            </w:pPr>
            <w:r w:rsidRPr="00033B48">
              <w:rPr>
                <w:rFonts w:ascii="Times New Roman" w:hAnsi="Times New Roman"/>
                <w:spacing w:val="-2"/>
                <w:sz w:val="24"/>
                <w:szCs w:val="24"/>
              </w:rPr>
              <w:t>Wykonanie przepisów aktu prawnego nastąpi z dniem jego wejścia w życie.</w:t>
            </w:r>
          </w:p>
        </w:tc>
      </w:tr>
      <w:tr w:rsidR="00871A80" w:rsidRPr="00033B48" w14:paraId="29525CBE" w14:textId="77777777" w:rsidTr="0053280C">
        <w:trPr>
          <w:trHeight w:val="142"/>
        </w:trPr>
        <w:tc>
          <w:tcPr>
            <w:tcW w:w="10661" w:type="dxa"/>
            <w:gridSpan w:val="29"/>
            <w:shd w:val="clear" w:color="auto" w:fill="99CCFF"/>
          </w:tcPr>
          <w:p w14:paraId="0A34DEC2" w14:textId="77777777" w:rsidR="00871A80" w:rsidRPr="00D05697" w:rsidRDefault="00871A80" w:rsidP="00871A80">
            <w:pPr>
              <w:numPr>
                <w:ilvl w:val="0"/>
                <w:numId w:val="3"/>
              </w:numPr>
              <w:spacing w:before="60" w:after="60" w:line="240" w:lineRule="auto"/>
              <w:ind w:left="318" w:hanging="284"/>
              <w:jc w:val="both"/>
              <w:rPr>
                <w:rFonts w:ascii="Times New Roman" w:hAnsi="Times New Roman"/>
                <w:b/>
                <w:color w:val="000000"/>
                <w:sz w:val="24"/>
                <w:szCs w:val="24"/>
              </w:rPr>
            </w:pPr>
            <w:r w:rsidRPr="00D05697">
              <w:rPr>
                <w:rFonts w:ascii="Times New Roman" w:hAnsi="Times New Roman"/>
                <w:b/>
                <w:color w:val="000000"/>
                <w:sz w:val="24"/>
                <w:szCs w:val="24"/>
              </w:rPr>
              <w:t xml:space="preserve"> </w:t>
            </w:r>
            <w:r w:rsidRPr="00D05697">
              <w:rPr>
                <w:rFonts w:ascii="Times New Roman" w:hAnsi="Times New Roman"/>
                <w:b/>
                <w:spacing w:val="-2"/>
                <w:sz w:val="24"/>
                <w:szCs w:val="24"/>
              </w:rPr>
              <w:t>W jaki sposób i kiedy nastąpi ewaluacja efektów projektu oraz jakie mierniki zostaną zastosowane?</w:t>
            </w:r>
          </w:p>
        </w:tc>
      </w:tr>
      <w:tr w:rsidR="00871A80" w:rsidRPr="00033B48" w14:paraId="072BDD9D" w14:textId="77777777" w:rsidTr="0053280C">
        <w:trPr>
          <w:trHeight w:val="142"/>
        </w:trPr>
        <w:tc>
          <w:tcPr>
            <w:tcW w:w="10661" w:type="dxa"/>
            <w:gridSpan w:val="29"/>
            <w:shd w:val="clear" w:color="auto" w:fill="FFFFFF"/>
          </w:tcPr>
          <w:p w14:paraId="5D6F8A2F" w14:textId="47B62806" w:rsidR="0039685F" w:rsidRPr="004B1A87" w:rsidRDefault="00C1481F" w:rsidP="0039685F">
            <w:pPr>
              <w:spacing w:before="120" w:after="120" w:line="240" w:lineRule="auto"/>
              <w:jc w:val="both"/>
              <w:rPr>
                <w:rFonts w:ascii="Times New Roman" w:hAnsi="Times New Roman"/>
                <w:color w:val="000000"/>
                <w:spacing w:val="-2"/>
                <w:sz w:val="24"/>
                <w:szCs w:val="24"/>
              </w:rPr>
            </w:pPr>
            <w:r w:rsidRPr="004B1A87">
              <w:rPr>
                <w:rFonts w:ascii="Times New Roman" w:hAnsi="Times New Roman"/>
                <w:color w:val="000000"/>
                <w:spacing w:val="-2"/>
                <w:sz w:val="24"/>
                <w:szCs w:val="24"/>
              </w:rPr>
              <w:t xml:space="preserve">Ewaluacja efektów projektu będzie prowadzona w oparciu </w:t>
            </w:r>
            <w:r w:rsidR="00EC5D39" w:rsidRPr="004B1A87">
              <w:rPr>
                <w:rFonts w:ascii="Times New Roman" w:hAnsi="Times New Roman"/>
                <w:color w:val="000000"/>
                <w:spacing w:val="-2"/>
                <w:sz w:val="24"/>
                <w:szCs w:val="24"/>
              </w:rPr>
              <w:t>o publicznie dostępne informacje rynkowe oraz dialog z uczestnikami rynku</w:t>
            </w:r>
            <w:r w:rsidRPr="004B1A87">
              <w:rPr>
                <w:rFonts w:ascii="Times New Roman" w:hAnsi="Times New Roman"/>
                <w:color w:val="000000"/>
                <w:spacing w:val="-2"/>
                <w:sz w:val="24"/>
                <w:szCs w:val="24"/>
              </w:rPr>
              <w:t>, a nie wyłącznie w ramach bieżącego nadzoru KNF. Rolą Urzędu Komisji Nadzoru Finansowego będzie analiza funkcjonowania KFI w zakresie zgodności z przepisami oraz obserwacja praktyki rynkowej w ramach posiadanych kompetencji nadzorczych, natomiast ocena skutków regulacji będzie oparta również na danych statystycznych i informacjach raportowych dostępnych poza KNF</w:t>
            </w:r>
            <w:r w:rsidR="0039685F" w:rsidRPr="004B1A87">
              <w:rPr>
                <w:rFonts w:ascii="Times New Roman" w:hAnsi="Times New Roman"/>
                <w:color w:val="000000"/>
                <w:spacing w:val="-2"/>
                <w:sz w:val="24"/>
                <w:szCs w:val="24"/>
              </w:rPr>
              <w:t>.</w:t>
            </w:r>
          </w:p>
          <w:p w14:paraId="1B151B99" w14:textId="1162E0E1" w:rsidR="0039685F" w:rsidRPr="004B1A87" w:rsidRDefault="0039685F" w:rsidP="00EF0E38">
            <w:pPr>
              <w:spacing w:before="120" w:line="240" w:lineRule="auto"/>
              <w:jc w:val="both"/>
              <w:rPr>
                <w:rFonts w:ascii="Times New Roman" w:hAnsi="Times New Roman"/>
                <w:color w:val="000000"/>
                <w:spacing w:val="-2"/>
                <w:sz w:val="24"/>
                <w:szCs w:val="24"/>
              </w:rPr>
            </w:pPr>
            <w:r w:rsidRPr="004B1A87">
              <w:rPr>
                <w:rFonts w:ascii="Times New Roman" w:hAnsi="Times New Roman"/>
                <w:color w:val="000000"/>
                <w:spacing w:val="-2"/>
                <w:sz w:val="24"/>
                <w:szCs w:val="24"/>
              </w:rPr>
              <w:t>Podstawowymi miernikami ewaluacji będą:</w:t>
            </w:r>
          </w:p>
          <w:p w14:paraId="13D06CFD" w14:textId="7504DF44" w:rsidR="0039685F" w:rsidRPr="004B1A87" w:rsidRDefault="0039685F" w:rsidP="00EC5D39">
            <w:pPr>
              <w:numPr>
                <w:ilvl w:val="0"/>
                <w:numId w:val="35"/>
              </w:numPr>
              <w:spacing w:line="240" w:lineRule="auto"/>
              <w:jc w:val="both"/>
              <w:rPr>
                <w:rFonts w:ascii="Times New Roman" w:hAnsi="Times New Roman"/>
                <w:color w:val="000000"/>
                <w:spacing w:val="-2"/>
                <w:sz w:val="24"/>
                <w:szCs w:val="24"/>
              </w:rPr>
            </w:pPr>
            <w:r w:rsidRPr="004B1A87">
              <w:rPr>
                <w:rFonts w:ascii="Times New Roman" w:hAnsi="Times New Roman"/>
                <w:color w:val="000000"/>
                <w:spacing w:val="-2"/>
                <w:sz w:val="24"/>
                <w:szCs w:val="24"/>
              </w:rPr>
              <w:t xml:space="preserve">liczba zarejestrowanych Kwalifikowanych Funduszy Inwestycyjnych (KFI) w okresie 1, 3 i 5 lat od </w:t>
            </w:r>
            <w:r w:rsidR="00EF0E38">
              <w:rPr>
                <w:rFonts w:ascii="Times New Roman" w:hAnsi="Times New Roman"/>
                <w:color w:val="000000"/>
                <w:spacing w:val="-2"/>
                <w:sz w:val="24"/>
                <w:szCs w:val="24"/>
              </w:rPr>
              <w:t xml:space="preserve">dnia </w:t>
            </w:r>
            <w:r w:rsidRPr="004B1A87">
              <w:rPr>
                <w:rFonts w:ascii="Times New Roman" w:hAnsi="Times New Roman"/>
                <w:color w:val="000000"/>
                <w:spacing w:val="-2"/>
                <w:sz w:val="24"/>
                <w:szCs w:val="24"/>
              </w:rPr>
              <w:t>wejścia w życie ustawy;</w:t>
            </w:r>
          </w:p>
          <w:p w14:paraId="3DF1E66D" w14:textId="77777777" w:rsidR="0039685F" w:rsidRPr="004B1A87" w:rsidRDefault="0039685F" w:rsidP="00EC5D39">
            <w:pPr>
              <w:numPr>
                <w:ilvl w:val="0"/>
                <w:numId w:val="35"/>
              </w:numPr>
              <w:spacing w:line="240" w:lineRule="auto"/>
              <w:jc w:val="both"/>
              <w:rPr>
                <w:rFonts w:ascii="Times New Roman" w:hAnsi="Times New Roman"/>
                <w:color w:val="000000"/>
                <w:spacing w:val="-2"/>
                <w:sz w:val="24"/>
                <w:szCs w:val="24"/>
              </w:rPr>
            </w:pPr>
            <w:r w:rsidRPr="004B1A87">
              <w:rPr>
                <w:rFonts w:ascii="Times New Roman" w:hAnsi="Times New Roman"/>
                <w:color w:val="000000"/>
                <w:spacing w:val="-2"/>
                <w:sz w:val="24"/>
                <w:szCs w:val="24"/>
              </w:rPr>
              <w:t>wartość aktywów netto (NAV) zgromadzonych w KFI w analogicznych horyzontach czasowych;</w:t>
            </w:r>
          </w:p>
          <w:p w14:paraId="0421A623" w14:textId="3991FB18" w:rsidR="0039685F" w:rsidRPr="004B1A87" w:rsidRDefault="0039685F" w:rsidP="00EC5D39">
            <w:pPr>
              <w:numPr>
                <w:ilvl w:val="0"/>
                <w:numId w:val="35"/>
              </w:numPr>
              <w:spacing w:line="240" w:lineRule="auto"/>
              <w:jc w:val="both"/>
              <w:rPr>
                <w:rFonts w:ascii="Times New Roman" w:hAnsi="Times New Roman"/>
                <w:color w:val="000000"/>
                <w:spacing w:val="-2"/>
                <w:sz w:val="24"/>
                <w:szCs w:val="24"/>
              </w:rPr>
            </w:pPr>
            <w:r w:rsidRPr="004B1A87">
              <w:rPr>
                <w:rFonts w:ascii="Times New Roman" w:hAnsi="Times New Roman"/>
                <w:color w:val="000000"/>
                <w:spacing w:val="-2"/>
                <w:sz w:val="24"/>
                <w:szCs w:val="24"/>
              </w:rPr>
              <w:t xml:space="preserve">porównanie dynamiki rozwoju KFI z dynamiką rozwoju </w:t>
            </w:r>
            <w:r w:rsidR="00EF0E38">
              <w:rPr>
                <w:rFonts w:ascii="Times New Roman" w:hAnsi="Times New Roman"/>
                <w:color w:val="000000"/>
                <w:spacing w:val="-2"/>
                <w:sz w:val="24"/>
                <w:szCs w:val="24"/>
              </w:rPr>
              <w:t>a</w:t>
            </w:r>
            <w:r w:rsidRPr="004B1A87">
              <w:rPr>
                <w:rFonts w:ascii="Times New Roman" w:hAnsi="Times New Roman"/>
                <w:color w:val="000000"/>
                <w:spacing w:val="-2"/>
                <w:sz w:val="24"/>
                <w:szCs w:val="24"/>
              </w:rPr>
              <w:t xml:space="preserve">lternatywnych </w:t>
            </w:r>
            <w:r w:rsidR="00EF0E38">
              <w:rPr>
                <w:rFonts w:ascii="Times New Roman" w:hAnsi="Times New Roman"/>
                <w:color w:val="000000"/>
                <w:spacing w:val="-2"/>
                <w:sz w:val="24"/>
                <w:szCs w:val="24"/>
              </w:rPr>
              <w:t>s</w:t>
            </w:r>
            <w:r w:rsidRPr="004B1A87">
              <w:rPr>
                <w:rFonts w:ascii="Times New Roman" w:hAnsi="Times New Roman"/>
                <w:color w:val="000000"/>
                <w:spacing w:val="-2"/>
                <w:sz w:val="24"/>
                <w:szCs w:val="24"/>
              </w:rPr>
              <w:t xml:space="preserve">półek </w:t>
            </w:r>
            <w:r w:rsidR="00EF0E38">
              <w:rPr>
                <w:rFonts w:ascii="Times New Roman" w:hAnsi="Times New Roman"/>
                <w:color w:val="000000"/>
                <w:spacing w:val="-2"/>
                <w:sz w:val="24"/>
                <w:szCs w:val="24"/>
              </w:rPr>
              <w:t>i</w:t>
            </w:r>
            <w:r w:rsidRPr="004B1A87">
              <w:rPr>
                <w:rFonts w:ascii="Times New Roman" w:hAnsi="Times New Roman"/>
                <w:color w:val="000000"/>
                <w:spacing w:val="-2"/>
                <w:sz w:val="24"/>
                <w:szCs w:val="24"/>
              </w:rPr>
              <w:t>nwestycyjnych (ASI) w pierwszych latach obowiązywania regulacji wprowadzających ASI</w:t>
            </w:r>
            <w:r w:rsidR="004D3173" w:rsidRPr="004B1A87">
              <w:rPr>
                <w:rFonts w:ascii="Times New Roman" w:hAnsi="Times New Roman"/>
                <w:color w:val="000000"/>
                <w:spacing w:val="-2"/>
                <w:sz w:val="24"/>
                <w:szCs w:val="24"/>
              </w:rPr>
              <w:t>.</w:t>
            </w:r>
          </w:p>
          <w:p w14:paraId="10B4E7C3" w14:textId="1CA667A5" w:rsidR="0039685F" w:rsidRPr="00C1481F" w:rsidRDefault="00C1481F" w:rsidP="009016B4">
            <w:pPr>
              <w:spacing w:before="120" w:after="120" w:line="240" w:lineRule="auto"/>
              <w:jc w:val="both"/>
              <w:rPr>
                <w:rFonts w:ascii="Times New Roman" w:hAnsi="Times New Roman"/>
                <w:color w:val="000000"/>
                <w:spacing w:val="-2"/>
                <w:sz w:val="24"/>
                <w:szCs w:val="24"/>
                <w:highlight w:val="yellow"/>
              </w:rPr>
            </w:pPr>
            <w:r w:rsidRPr="004B1A87">
              <w:rPr>
                <w:rFonts w:ascii="Times New Roman" w:hAnsi="Times New Roman"/>
                <w:color w:val="000000"/>
                <w:spacing w:val="-2"/>
                <w:sz w:val="24"/>
                <w:szCs w:val="24"/>
              </w:rPr>
              <w:t>Uzupełniającym elementem ewaluacji będzie ocena jakościowa, obejmująca w szczególności analizę, czy KFI są wykorzystywane jako alternatywa wobec struktur zagranicznych oraz czy regulacja przyczynia się do lokalizacji funduszy rynku prywatnego w Polsce.</w:t>
            </w:r>
          </w:p>
        </w:tc>
      </w:tr>
      <w:tr w:rsidR="00871A80" w:rsidRPr="00033B48" w14:paraId="3EC1274A" w14:textId="77777777" w:rsidTr="0053280C">
        <w:trPr>
          <w:trHeight w:val="142"/>
        </w:trPr>
        <w:tc>
          <w:tcPr>
            <w:tcW w:w="10661" w:type="dxa"/>
            <w:gridSpan w:val="29"/>
            <w:shd w:val="clear" w:color="auto" w:fill="99CCFF"/>
          </w:tcPr>
          <w:p w14:paraId="38E1853C" w14:textId="77777777" w:rsidR="00871A80" w:rsidRPr="00D05697" w:rsidRDefault="00871A80" w:rsidP="00871A80">
            <w:pPr>
              <w:numPr>
                <w:ilvl w:val="0"/>
                <w:numId w:val="3"/>
              </w:numPr>
              <w:spacing w:before="60" w:after="60" w:line="240" w:lineRule="auto"/>
              <w:ind w:left="318" w:hanging="284"/>
              <w:jc w:val="both"/>
              <w:rPr>
                <w:rFonts w:ascii="Times New Roman" w:hAnsi="Times New Roman"/>
                <w:b/>
                <w:color w:val="000000"/>
                <w:spacing w:val="-2"/>
                <w:sz w:val="24"/>
                <w:szCs w:val="24"/>
              </w:rPr>
            </w:pPr>
            <w:r w:rsidRPr="00D05697">
              <w:rPr>
                <w:rFonts w:ascii="Times New Roman" w:hAnsi="Times New Roman"/>
                <w:b/>
                <w:color w:val="000000"/>
                <w:spacing w:val="-2"/>
                <w:sz w:val="24"/>
                <w:szCs w:val="24"/>
              </w:rPr>
              <w:t xml:space="preserve">Załączniki </w:t>
            </w:r>
            <w:r w:rsidRPr="00D05697">
              <w:rPr>
                <w:rFonts w:ascii="Times New Roman" w:hAnsi="Times New Roman"/>
                <w:b/>
                <w:spacing w:val="-2"/>
                <w:sz w:val="24"/>
                <w:szCs w:val="24"/>
              </w:rPr>
              <w:t>(istotne dokumenty źródłowe, badania, analizy itp.</w:t>
            </w:r>
            <w:r w:rsidRPr="00D05697">
              <w:rPr>
                <w:rFonts w:ascii="Times New Roman" w:hAnsi="Times New Roman"/>
                <w:b/>
                <w:color w:val="000000"/>
                <w:spacing w:val="-2"/>
                <w:sz w:val="24"/>
                <w:szCs w:val="24"/>
              </w:rPr>
              <w:t xml:space="preserve">) </w:t>
            </w:r>
          </w:p>
        </w:tc>
      </w:tr>
      <w:tr w:rsidR="00871A80" w:rsidRPr="00033B48" w14:paraId="737AC129" w14:textId="77777777" w:rsidTr="0053280C">
        <w:trPr>
          <w:trHeight w:val="142"/>
        </w:trPr>
        <w:tc>
          <w:tcPr>
            <w:tcW w:w="10661" w:type="dxa"/>
            <w:gridSpan w:val="29"/>
            <w:shd w:val="clear" w:color="auto" w:fill="FFFFFF"/>
          </w:tcPr>
          <w:p w14:paraId="3AA55355" w14:textId="0FA5BFE3" w:rsidR="00871A80" w:rsidRPr="00D05697" w:rsidRDefault="009311A4" w:rsidP="009016B4">
            <w:pPr>
              <w:spacing w:before="120" w:after="120" w:line="240" w:lineRule="auto"/>
              <w:jc w:val="both"/>
              <w:rPr>
                <w:rFonts w:ascii="Times New Roman" w:hAnsi="Times New Roman"/>
                <w:color w:val="000000"/>
                <w:spacing w:val="-2"/>
                <w:sz w:val="24"/>
                <w:szCs w:val="24"/>
              </w:rPr>
            </w:pPr>
            <w:r w:rsidRPr="00D05697">
              <w:rPr>
                <w:rFonts w:ascii="Times New Roman" w:hAnsi="Times New Roman"/>
                <w:color w:val="000000"/>
                <w:spacing w:val="-2"/>
                <w:sz w:val="24"/>
                <w:szCs w:val="24"/>
              </w:rPr>
              <w:t>Brak</w:t>
            </w:r>
            <w:r w:rsidR="00D05697">
              <w:rPr>
                <w:rFonts w:ascii="Times New Roman" w:hAnsi="Times New Roman"/>
                <w:color w:val="000000"/>
                <w:spacing w:val="-2"/>
                <w:sz w:val="24"/>
                <w:szCs w:val="24"/>
              </w:rPr>
              <w:t xml:space="preserve"> załączników</w:t>
            </w:r>
            <w:r w:rsidRPr="00D05697">
              <w:rPr>
                <w:rFonts w:ascii="Times New Roman" w:hAnsi="Times New Roman"/>
                <w:color w:val="000000"/>
                <w:spacing w:val="-2"/>
                <w:sz w:val="24"/>
                <w:szCs w:val="24"/>
              </w:rPr>
              <w:t>.</w:t>
            </w:r>
          </w:p>
        </w:tc>
      </w:tr>
    </w:tbl>
    <w:p w14:paraId="18DA2169" w14:textId="649499B3" w:rsidR="006176ED" w:rsidRPr="00D05697" w:rsidRDefault="006176ED" w:rsidP="00D259FB">
      <w:pPr>
        <w:spacing w:after="120"/>
        <w:jc w:val="both"/>
        <w:rPr>
          <w:rFonts w:ascii="Times New Roman" w:hAnsi="Times New Roman"/>
          <w:sz w:val="20"/>
          <w:szCs w:val="20"/>
        </w:rPr>
      </w:pPr>
    </w:p>
    <w:sectPr w:rsidR="006176ED" w:rsidRPr="00D05697" w:rsidSect="00725DE7">
      <w:pgSz w:w="11906" w:h="16838"/>
      <w:pgMar w:top="568" w:right="707" w:bottom="568" w:left="72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5A013" w14:textId="77777777" w:rsidR="00DF4D5A" w:rsidRDefault="00DF4D5A" w:rsidP="00044739">
      <w:pPr>
        <w:spacing w:line="240" w:lineRule="auto"/>
      </w:pPr>
      <w:r>
        <w:separator/>
      </w:r>
    </w:p>
  </w:endnote>
  <w:endnote w:type="continuationSeparator" w:id="0">
    <w:p w14:paraId="3B332D1F" w14:textId="77777777" w:rsidR="00DF4D5A" w:rsidRDefault="00DF4D5A" w:rsidP="00044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Roboto">
    <w:altName w:val="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8A1BC" w14:textId="77777777" w:rsidR="00DF4D5A" w:rsidRDefault="00DF4D5A" w:rsidP="00044739">
      <w:pPr>
        <w:spacing w:line="240" w:lineRule="auto"/>
      </w:pPr>
      <w:r>
        <w:separator/>
      </w:r>
    </w:p>
  </w:footnote>
  <w:footnote w:type="continuationSeparator" w:id="0">
    <w:p w14:paraId="0748D507" w14:textId="77777777" w:rsidR="00DF4D5A" w:rsidRDefault="00DF4D5A" w:rsidP="000447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4F79"/>
    <w:multiLevelType w:val="hybridMultilevel"/>
    <w:tmpl w:val="5E823C9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9E2B58"/>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292349"/>
    <w:multiLevelType w:val="hybridMultilevel"/>
    <w:tmpl w:val="F1FC0650"/>
    <w:lvl w:ilvl="0" w:tplc="0415000F">
      <w:start w:val="1"/>
      <w:numFmt w:val="decimal"/>
      <w:lvlText w:val="%1."/>
      <w:lvlJc w:val="left"/>
      <w:pPr>
        <w:tabs>
          <w:tab w:val="num" w:pos="1047"/>
        </w:tabs>
        <w:ind w:left="1047" w:hanging="360"/>
      </w:pPr>
    </w:lvl>
    <w:lvl w:ilvl="1" w:tplc="2610BC42">
      <w:start w:val="1"/>
      <w:numFmt w:val="bullet"/>
      <w:lvlText w:val=""/>
      <w:lvlJc w:val="left"/>
      <w:pPr>
        <w:tabs>
          <w:tab w:val="num" w:pos="1767"/>
        </w:tabs>
        <w:ind w:left="1767" w:hanging="360"/>
      </w:pPr>
      <w:rPr>
        <w:rFonts w:ascii="Symbol" w:hAnsi="Symbol" w:hint="default"/>
      </w:r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3" w15:restartNumberingAfterBreak="0">
    <w:nsid w:val="1BB46C58"/>
    <w:multiLevelType w:val="hybridMultilevel"/>
    <w:tmpl w:val="5F9C38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2850B8"/>
    <w:multiLevelType w:val="multilevel"/>
    <w:tmpl w:val="AF0620CA"/>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FA23D91"/>
    <w:multiLevelType w:val="hybridMultilevel"/>
    <w:tmpl w:val="29A04C7E"/>
    <w:lvl w:ilvl="0" w:tplc="A31018B0">
      <w:start w:val="1"/>
      <w:numFmt w:val="decimal"/>
      <w:lvlText w:val="%1."/>
      <w:lvlJc w:val="left"/>
      <w:pPr>
        <w:tabs>
          <w:tab w:val="num" w:pos="357"/>
        </w:tabs>
      </w:pPr>
      <w:rPr>
        <w:rFonts w:cs="Times New Roman" w:hint="default"/>
      </w:rPr>
    </w:lvl>
    <w:lvl w:ilvl="1" w:tplc="4D263FF8">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FEE2A02"/>
    <w:multiLevelType w:val="multilevel"/>
    <w:tmpl w:val="3EE2E8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1CD007E"/>
    <w:multiLevelType w:val="hybridMultilevel"/>
    <w:tmpl w:val="FC0C11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22DF723B"/>
    <w:multiLevelType w:val="multilevel"/>
    <w:tmpl w:val="42ECDCCE"/>
    <w:lvl w:ilvl="0">
      <w:start w:val="1"/>
      <w:numFmt w:val="decimal"/>
      <w:lvlText w:val="%1."/>
      <w:lvlJc w:val="left"/>
      <w:pPr>
        <w:tabs>
          <w:tab w:val="num" w:pos="1047"/>
        </w:tabs>
        <w:ind w:left="1047" w:hanging="360"/>
      </w:pPr>
    </w:lvl>
    <w:lvl w:ilvl="1">
      <w:start w:val="1"/>
      <w:numFmt w:val="decimal"/>
      <w:lvlText w:val="%2."/>
      <w:lvlJc w:val="left"/>
      <w:pPr>
        <w:tabs>
          <w:tab w:val="num" w:pos="1767"/>
        </w:tabs>
        <w:ind w:left="1767" w:hanging="360"/>
      </w:pPr>
    </w:lvl>
    <w:lvl w:ilvl="2">
      <w:start w:val="1"/>
      <w:numFmt w:val="decimal"/>
      <w:lvlText w:val="%3."/>
      <w:lvlJc w:val="left"/>
      <w:pPr>
        <w:tabs>
          <w:tab w:val="num" w:pos="2487"/>
        </w:tabs>
        <w:ind w:left="2487" w:hanging="360"/>
      </w:pPr>
    </w:lvl>
    <w:lvl w:ilvl="3">
      <w:start w:val="1"/>
      <w:numFmt w:val="decimal"/>
      <w:lvlText w:val="%4."/>
      <w:lvlJc w:val="left"/>
      <w:pPr>
        <w:tabs>
          <w:tab w:val="num" w:pos="3207"/>
        </w:tabs>
        <w:ind w:left="3207" w:hanging="360"/>
      </w:pPr>
    </w:lvl>
    <w:lvl w:ilvl="4">
      <w:start w:val="1"/>
      <w:numFmt w:val="decimal"/>
      <w:lvlText w:val="%5."/>
      <w:lvlJc w:val="left"/>
      <w:pPr>
        <w:tabs>
          <w:tab w:val="num" w:pos="3927"/>
        </w:tabs>
        <w:ind w:left="3927" w:hanging="360"/>
      </w:pPr>
    </w:lvl>
    <w:lvl w:ilvl="5">
      <w:start w:val="1"/>
      <w:numFmt w:val="decimal"/>
      <w:lvlText w:val="%6."/>
      <w:lvlJc w:val="left"/>
      <w:pPr>
        <w:tabs>
          <w:tab w:val="num" w:pos="4647"/>
        </w:tabs>
        <w:ind w:left="4647" w:hanging="360"/>
      </w:pPr>
    </w:lvl>
    <w:lvl w:ilvl="6">
      <w:start w:val="1"/>
      <w:numFmt w:val="decimal"/>
      <w:lvlText w:val="%7."/>
      <w:lvlJc w:val="left"/>
      <w:pPr>
        <w:tabs>
          <w:tab w:val="num" w:pos="5367"/>
        </w:tabs>
        <w:ind w:left="5367" w:hanging="360"/>
      </w:pPr>
    </w:lvl>
    <w:lvl w:ilvl="7">
      <w:start w:val="1"/>
      <w:numFmt w:val="decimal"/>
      <w:lvlText w:val="%8."/>
      <w:lvlJc w:val="left"/>
      <w:pPr>
        <w:tabs>
          <w:tab w:val="num" w:pos="6087"/>
        </w:tabs>
        <w:ind w:left="6087" w:hanging="360"/>
      </w:pPr>
    </w:lvl>
    <w:lvl w:ilvl="8">
      <w:start w:val="1"/>
      <w:numFmt w:val="decimal"/>
      <w:lvlText w:val="%9."/>
      <w:lvlJc w:val="left"/>
      <w:pPr>
        <w:tabs>
          <w:tab w:val="num" w:pos="6807"/>
        </w:tabs>
        <w:ind w:left="6807" w:hanging="360"/>
      </w:pPr>
    </w:lvl>
  </w:abstractNum>
  <w:abstractNum w:abstractNumId="9" w15:restartNumberingAfterBreak="0">
    <w:nsid w:val="279D6C8D"/>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3D626F"/>
    <w:multiLevelType w:val="hybridMultilevel"/>
    <w:tmpl w:val="4B880C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9123C3"/>
    <w:multiLevelType w:val="hybridMultilevel"/>
    <w:tmpl w:val="07E43A4E"/>
    <w:lvl w:ilvl="0" w:tplc="32B6FB2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8B1EDD"/>
    <w:multiLevelType w:val="hybridMultilevel"/>
    <w:tmpl w:val="95FA285E"/>
    <w:lvl w:ilvl="0" w:tplc="0415000F">
      <w:start w:val="1"/>
      <w:numFmt w:val="decimal"/>
      <w:lvlText w:val="%1."/>
      <w:lvlJc w:val="left"/>
      <w:pPr>
        <w:tabs>
          <w:tab w:val="num" w:pos="1047"/>
        </w:tabs>
        <w:ind w:left="1047" w:hanging="360"/>
      </w:pPr>
    </w:lvl>
    <w:lvl w:ilvl="1" w:tplc="04150019" w:tentative="1">
      <w:start w:val="1"/>
      <w:numFmt w:val="lowerLetter"/>
      <w:lvlText w:val="%2."/>
      <w:lvlJc w:val="left"/>
      <w:pPr>
        <w:tabs>
          <w:tab w:val="num" w:pos="1767"/>
        </w:tabs>
        <w:ind w:left="1767" w:hanging="360"/>
      </w:p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14" w15:restartNumberingAfterBreak="0">
    <w:nsid w:val="3B65511A"/>
    <w:multiLevelType w:val="hybridMultilevel"/>
    <w:tmpl w:val="4CAA9CB6"/>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43640506"/>
    <w:multiLevelType w:val="multilevel"/>
    <w:tmpl w:val="BD586B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6E5730E"/>
    <w:multiLevelType w:val="hybridMultilevel"/>
    <w:tmpl w:val="3C7829F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9A7523D"/>
    <w:multiLevelType w:val="hybridMultilevel"/>
    <w:tmpl w:val="4B880C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BE361A"/>
    <w:multiLevelType w:val="hybridMultilevel"/>
    <w:tmpl w:val="3AE85FAA"/>
    <w:lvl w:ilvl="0" w:tplc="04150011">
      <w:start w:val="1"/>
      <w:numFmt w:val="decimal"/>
      <w:lvlText w:val="%1)"/>
      <w:lvlJc w:val="left"/>
      <w:pPr>
        <w:tabs>
          <w:tab w:val="num" w:pos="1047"/>
        </w:tabs>
        <w:ind w:left="1047" w:hanging="360"/>
      </w:pPr>
    </w:lvl>
    <w:lvl w:ilvl="1" w:tplc="04150019">
      <w:start w:val="1"/>
      <w:numFmt w:val="decimal"/>
      <w:lvlText w:val="%2."/>
      <w:lvlJc w:val="left"/>
      <w:pPr>
        <w:tabs>
          <w:tab w:val="num" w:pos="1767"/>
        </w:tabs>
        <w:ind w:left="1767" w:hanging="360"/>
      </w:pPr>
    </w:lvl>
    <w:lvl w:ilvl="2" w:tplc="0415001B">
      <w:start w:val="1"/>
      <w:numFmt w:val="decimal"/>
      <w:lvlText w:val="%3."/>
      <w:lvlJc w:val="left"/>
      <w:pPr>
        <w:tabs>
          <w:tab w:val="num" w:pos="2487"/>
        </w:tabs>
        <w:ind w:left="2487" w:hanging="360"/>
      </w:pPr>
    </w:lvl>
    <w:lvl w:ilvl="3" w:tplc="0415000F">
      <w:start w:val="1"/>
      <w:numFmt w:val="decimal"/>
      <w:lvlText w:val="%4."/>
      <w:lvlJc w:val="left"/>
      <w:pPr>
        <w:tabs>
          <w:tab w:val="num" w:pos="3207"/>
        </w:tabs>
        <w:ind w:left="3207" w:hanging="360"/>
      </w:pPr>
    </w:lvl>
    <w:lvl w:ilvl="4" w:tplc="04150019">
      <w:start w:val="1"/>
      <w:numFmt w:val="decimal"/>
      <w:lvlText w:val="%5."/>
      <w:lvlJc w:val="left"/>
      <w:pPr>
        <w:tabs>
          <w:tab w:val="num" w:pos="3927"/>
        </w:tabs>
        <w:ind w:left="3927" w:hanging="360"/>
      </w:pPr>
    </w:lvl>
    <w:lvl w:ilvl="5" w:tplc="0415001B">
      <w:start w:val="1"/>
      <w:numFmt w:val="decimal"/>
      <w:lvlText w:val="%6."/>
      <w:lvlJc w:val="left"/>
      <w:pPr>
        <w:tabs>
          <w:tab w:val="num" w:pos="4647"/>
        </w:tabs>
        <w:ind w:left="4647" w:hanging="360"/>
      </w:pPr>
    </w:lvl>
    <w:lvl w:ilvl="6" w:tplc="0415000F">
      <w:start w:val="1"/>
      <w:numFmt w:val="decimal"/>
      <w:lvlText w:val="%7."/>
      <w:lvlJc w:val="left"/>
      <w:pPr>
        <w:tabs>
          <w:tab w:val="num" w:pos="5367"/>
        </w:tabs>
        <w:ind w:left="5367" w:hanging="360"/>
      </w:pPr>
    </w:lvl>
    <w:lvl w:ilvl="7" w:tplc="04150019">
      <w:start w:val="1"/>
      <w:numFmt w:val="decimal"/>
      <w:lvlText w:val="%8."/>
      <w:lvlJc w:val="left"/>
      <w:pPr>
        <w:tabs>
          <w:tab w:val="num" w:pos="6087"/>
        </w:tabs>
        <w:ind w:left="6087" w:hanging="360"/>
      </w:pPr>
    </w:lvl>
    <w:lvl w:ilvl="8" w:tplc="0415001B">
      <w:start w:val="1"/>
      <w:numFmt w:val="decimal"/>
      <w:lvlText w:val="%9."/>
      <w:lvlJc w:val="left"/>
      <w:pPr>
        <w:tabs>
          <w:tab w:val="num" w:pos="6807"/>
        </w:tabs>
        <w:ind w:left="6807" w:hanging="360"/>
      </w:pPr>
    </w:lvl>
  </w:abstractNum>
  <w:abstractNum w:abstractNumId="19" w15:restartNumberingAfterBreak="0">
    <w:nsid w:val="51461DEA"/>
    <w:multiLevelType w:val="hybridMultilevel"/>
    <w:tmpl w:val="80049DC2"/>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20" w15:restartNumberingAfterBreak="0">
    <w:nsid w:val="548242C8"/>
    <w:multiLevelType w:val="hybridMultilevel"/>
    <w:tmpl w:val="727C998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59863083"/>
    <w:multiLevelType w:val="hybridMultilevel"/>
    <w:tmpl w:val="B28ADCD0"/>
    <w:lvl w:ilvl="0" w:tplc="69624922">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DBB20EB"/>
    <w:multiLevelType w:val="hybridMultilevel"/>
    <w:tmpl w:val="10E6B354"/>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0417BAC"/>
    <w:multiLevelType w:val="hybridMultilevel"/>
    <w:tmpl w:val="7ACED012"/>
    <w:lvl w:ilvl="0" w:tplc="69624922">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24" w15:restartNumberingAfterBreak="0">
    <w:nsid w:val="61DD2B62"/>
    <w:multiLevelType w:val="hybridMultilevel"/>
    <w:tmpl w:val="9CBC5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24C5417"/>
    <w:multiLevelType w:val="multilevel"/>
    <w:tmpl w:val="98F43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C56F97"/>
    <w:multiLevelType w:val="hybridMultilevel"/>
    <w:tmpl w:val="07FCC908"/>
    <w:lvl w:ilvl="0" w:tplc="04150017">
      <w:start w:val="1"/>
      <w:numFmt w:val="lowerLetter"/>
      <w:lvlText w:val="%1)"/>
      <w:lvlJc w:val="left"/>
      <w:pPr>
        <w:ind w:left="780" w:hanging="360"/>
      </w:pPr>
    </w:lvl>
    <w:lvl w:ilvl="1" w:tplc="04150019" w:tentative="1">
      <w:start w:val="1"/>
      <w:numFmt w:val="lowerLetter"/>
      <w:lvlText w:val="%2."/>
      <w:lvlJc w:val="left"/>
      <w:pPr>
        <w:tabs>
          <w:tab w:val="num" w:pos="1860"/>
        </w:tabs>
        <w:ind w:left="1860" w:hanging="360"/>
      </w:p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27" w15:restartNumberingAfterBreak="0">
    <w:nsid w:val="68F66D17"/>
    <w:multiLevelType w:val="hybridMultilevel"/>
    <w:tmpl w:val="1ED63DD2"/>
    <w:lvl w:ilvl="0" w:tplc="C406ACD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FFD0546"/>
    <w:multiLevelType w:val="hybridMultilevel"/>
    <w:tmpl w:val="EFCC1B3A"/>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2D81A01"/>
    <w:multiLevelType w:val="hybridMultilevel"/>
    <w:tmpl w:val="5F9C38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32C2D5C"/>
    <w:multiLevelType w:val="hybridMultilevel"/>
    <w:tmpl w:val="A6965718"/>
    <w:lvl w:ilvl="0" w:tplc="FFFFFFF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7B164B50"/>
    <w:multiLevelType w:val="hybridMultilevel"/>
    <w:tmpl w:val="16C045B8"/>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C477F54"/>
    <w:multiLevelType w:val="hybridMultilevel"/>
    <w:tmpl w:val="53DA4C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0"/>
  </w:num>
  <w:num w:numId="3">
    <w:abstractNumId w:val="12"/>
  </w:num>
  <w:num w:numId="4">
    <w:abstractNumId w:val="24"/>
  </w:num>
  <w:num w:numId="5">
    <w:abstractNumId w:val="1"/>
  </w:num>
  <w:num w:numId="6">
    <w:abstractNumId w:val="9"/>
  </w:num>
  <w:num w:numId="7">
    <w:abstractNumId w:val="16"/>
  </w:num>
  <w:num w:numId="8">
    <w:abstractNumId w:val="6"/>
  </w:num>
  <w:num w:numId="9">
    <w:abstractNumId w:val="19"/>
  </w:num>
  <w:num w:numId="10">
    <w:abstractNumId w:val="14"/>
  </w:num>
  <w:num w:numId="11">
    <w:abstractNumId w:val="18"/>
  </w:num>
  <w:num w:numId="12">
    <w:abstractNumId w:val="2"/>
  </w:num>
  <w:num w:numId="13">
    <w:abstractNumId w:val="13"/>
  </w:num>
  <w:num w:numId="14">
    <w:abstractNumId w:val="26"/>
  </w:num>
  <w:num w:numId="15">
    <w:abstractNumId w:val="21"/>
  </w:num>
  <w:num w:numId="16">
    <w:abstractNumId w:val="23"/>
  </w:num>
  <w:num w:numId="17">
    <w:abstractNumId w:val="7"/>
  </w:num>
  <w:num w:numId="18">
    <w:abstractNumId w:val="28"/>
  </w:num>
  <w:num w:numId="19">
    <w:abstractNumId w:val="31"/>
  </w:num>
  <w:num w:numId="20">
    <w:abstractNumId w:val="22"/>
  </w:num>
  <w:num w:numId="21">
    <w:abstractNumId w:val="8"/>
  </w:num>
  <w:num w:numId="22">
    <w:abstractNumId w:val="11"/>
  </w:num>
  <w:num w:numId="23">
    <w:abstractNumId w:val="27"/>
  </w:num>
  <w:num w:numId="24">
    <w:abstractNumId w:val="32"/>
  </w:num>
  <w:num w:numId="25">
    <w:abstractNumId w:val="17"/>
  </w:num>
  <w:num w:numId="26">
    <w:abstractNumId w:val="25"/>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0"/>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29"/>
  </w:num>
  <w:num w:numId="33">
    <w:abstractNumId w:val="15"/>
  </w:num>
  <w:num w:numId="34">
    <w:abstractNumId w:val="20"/>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removePersonalInformation/>
  <w:removeDateAndTime/>
  <w:proofState w:spelling="clean"/>
  <w:documentProtection w:edit="forms" w:formatting="1"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CB"/>
    <w:rsid w:val="000008E5"/>
    <w:rsid w:val="000015EE"/>
    <w:rsid w:val="000022D5"/>
    <w:rsid w:val="00003244"/>
    <w:rsid w:val="00004C6A"/>
    <w:rsid w:val="00012D11"/>
    <w:rsid w:val="00013EB5"/>
    <w:rsid w:val="00015D49"/>
    <w:rsid w:val="00017FDD"/>
    <w:rsid w:val="0002330A"/>
    <w:rsid w:val="00023836"/>
    <w:rsid w:val="00033B48"/>
    <w:rsid w:val="000356A9"/>
    <w:rsid w:val="00043032"/>
    <w:rsid w:val="00044138"/>
    <w:rsid w:val="00044739"/>
    <w:rsid w:val="000457EB"/>
    <w:rsid w:val="00051637"/>
    <w:rsid w:val="00056681"/>
    <w:rsid w:val="00061F63"/>
    <w:rsid w:val="000648A7"/>
    <w:rsid w:val="0006618B"/>
    <w:rsid w:val="000670C0"/>
    <w:rsid w:val="00071B99"/>
    <w:rsid w:val="000727D2"/>
    <w:rsid w:val="000756E5"/>
    <w:rsid w:val="0007704E"/>
    <w:rsid w:val="00080EC8"/>
    <w:rsid w:val="000873FA"/>
    <w:rsid w:val="00092523"/>
    <w:rsid w:val="000944AC"/>
    <w:rsid w:val="00094CB9"/>
    <w:rsid w:val="00095494"/>
    <w:rsid w:val="000956B2"/>
    <w:rsid w:val="000969E7"/>
    <w:rsid w:val="000A23DE"/>
    <w:rsid w:val="000A4020"/>
    <w:rsid w:val="000B54FB"/>
    <w:rsid w:val="000C29B0"/>
    <w:rsid w:val="000C34A7"/>
    <w:rsid w:val="000C76FC"/>
    <w:rsid w:val="000C7788"/>
    <w:rsid w:val="000D0131"/>
    <w:rsid w:val="000D38FC"/>
    <w:rsid w:val="000D4D90"/>
    <w:rsid w:val="000E2D10"/>
    <w:rsid w:val="000F3204"/>
    <w:rsid w:val="0010548B"/>
    <w:rsid w:val="001072D1"/>
    <w:rsid w:val="00110EBB"/>
    <w:rsid w:val="00117017"/>
    <w:rsid w:val="00122A56"/>
    <w:rsid w:val="00123B95"/>
    <w:rsid w:val="00127CB6"/>
    <w:rsid w:val="001301E7"/>
    <w:rsid w:val="00130E8E"/>
    <w:rsid w:val="0013178A"/>
    <w:rsid w:val="0013216E"/>
    <w:rsid w:val="00137CA5"/>
    <w:rsid w:val="001401B5"/>
    <w:rsid w:val="001401F8"/>
    <w:rsid w:val="001422B9"/>
    <w:rsid w:val="0014665F"/>
    <w:rsid w:val="00153464"/>
    <w:rsid w:val="001541B3"/>
    <w:rsid w:val="00155B15"/>
    <w:rsid w:val="001565E8"/>
    <w:rsid w:val="00156A2B"/>
    <w:rsid w:val="001625BE"/>
    <w:rsid w:val="001643A4"/>
    <w:rsid w:val="001727BB"/>
    <w:rsid w:val="00172DFA"/>
    <w:rsid w:val="00180049"/>
    <w:rsid w:val="00180D25"/>
    <w:rsid w:val="00182550"/>
    <w:rsid w:val="0018318D"/>
    <w:rsid w:val="0018572C"/>
    <w:rsid w:val="00187E79"/>
    <w:rsid w:val="00187F0D"/>
    <w:rsid w:val="00192CC5"/>
    <w:rsid w:val="001956A7"/>
    <w:rsid w:val="0019668B"/>
    <w:rsid w:val="001A118A"/>
    <w:rsid w:val="001A27F4"/>
    <w:rsid w:val="001A2D95"/>
    <w:rsid w:val="001B3460"/>
    <w:rsid w:val="001B3941"/>
    <w:rsid w:val="001B4CA1"/>
    <w:rsid w:val="001B54C4"/>
    <w:rsid w:val="001B75D8"/>
    <w:rsid w:val="001C1060"/>
    <w:rsid w:val="001C3C63"/>
    <w:rsid w:val="001C53FC"/>
    <w:rsid w:val="001D4732"/>
    <w:rsid w:val="001D6A3C"/>
    <w:rsid w:val="001D6D51"/>
    <w:rsid w:val="001E23B7"/>
    <w:rsid w:val="001E2741"/>
    <w:rsid w:val="001F653A"/>
    <w:rsid w:val="001F6979"/>
    <w:rsid w:val="0020041C"/>
    <w:rsid w:val="00201463"/>
    <w:rsid w:val="00202BC6"/>
    <w:rsid w:val="00204BEB"/>
    <w:rsid w:val="00205141"/>
    <w:rsid w:val="0020516B"/>
    <w:rsid w:val="00213559"/>
    <w:rsid w:val="00213EFD"/>
    <w:rsid w:val="002172F1"/>
    <w:rsid w:val="0021795D"/>
    <w:rsid w:val="00223C7B"/>
    <w:rsid w:val="00224AB1"/>
    <w:rsid w:val="0022687A"/>
    <w:rsid w:val="00230728"/>
    <w:rsid w:val="00234040"/>
    <w:rsid w:val="00235CD2"/>
    <w:rsid w:val="0024313F"/>
    <w:rsid w:val="00245EBA"/>
    <w:rsid w:val="002523AC"/>
    <w:rsid w:val="00254DED"/>
    <w:rsid w:val="00255619"/>
    <w:rsid w:val="00255DAD"/>
    <w:rsid w:val="00256108"/>
    <w:rsid w:val="002577E8"/>
    <w:rsid w:val="00260F33"/>
    <w:rsid w:val="002613BD"/>
    <w:rsid w:val="002624F1"/>
    <w:rsid w:val="00270C81"/>
    <w:rsid w:val="00271558"/>
    <w:rsid w:val="00271957"/>
    <w:rsid w:val="00271AED"/>
    <w:rsid w:val="00273723"/>
    <w:rsid w:val="00274862"/>
    <w:rsid w:val="00280760"/>
    <w:rsid w:val="00280DCC"/>
    <w:rsid w:val="00281226"/>
    <w:rsid w:val="00282D72"/>
    <w:rsid w:val="00283402"/>
    <w:rsid w:val="00283AAA"/>
    <w:rsid w:val="00286791"/>
    <w:rsid w:val="00290FD6"/>
    <w:rsid w:val="002914AF"/>
    <w:rsid w:val="00294259"/>
    <w:rsid w:val="002A2C81"/>
    <w:rsid w:val="002A7597"/>
    <w:rsid w:val="002B3D1A"/>
    <w:rsid w:val="002B61A4"/>
    <w:rsid w:val="002C27D0"/>
    <w:rsid w:val="002C2C9B"/>
    <w:rsid w:val="002C5B9D"/>
    <w:rsid w:val="002C5DAC"/>
    <w:rsid w:val="002D170E"/>
    <w:rsid w:val="002D17D6"/>
    <w:rsid w:val="002D18D7"/>
    <w:rsid w:val="002D21CE"/>
    <w:rsid w:val="002D4A35"/>
    <w:rsid w:val="002E1298"/>
    <w:rsid w:val="002E27DF"/>
    <w:rsid w:val="002E2D7B"/>
    <w:rsid w:val="002E3DA3"/>
    <w:rsid w:val="002E450F"/>
    <w:rsid w:val="002E4C10"/>
    <w:rsid w:val="002E6B38"/>
    <w:rsid w:val="002E6D63"/>
    <w:rsid w:val="002E6E2B"/>
    <w:rsid w:val="002F500B"/>
    <w:rsid w:val="002F7F93"/>
    <w:rsid w:val="00300991"/>
    <w:rsid w:val="00301959"/>
    <w:rsid w:val="00302CD4"/>
    <w:rsid w:val="00305B8A"/>
    <w:rsid w:val="00312032"/>
    <w:rsid w:val="00315E49"/>
    <w:rsid w:val="003234E0"/>
    <w:rsid w:val="00331BF9"/>
    <w:rsid w:val="0033495E"/>
    <w:rsid w:val="00334A79"/>
    <w:rsid w:val="00334D8D"/>
    <w:rsid w:val="00337345"/>
    <w:rsid w:val="00337DD2"/>
    <w:rsid w:val="003404D1"/>
    <w:rsid w:val="003428A2"/>
    <w:rsid w:val="003443FF"/>
    <w:rsid w:val="00345E99"/>
    <w:rsid w:val="00355808"/>
    <w:rsid w:val="003577B1"/>
    <w:rsid w:val="00362C7E"/>
    <w:rsid w:val="00363309"/>
    <w:rsid w:val="00363601"/>
    <w:rsid w:val="00376AC9"/>
    <w:rsid w:val="00381E5B"/>
    <w:rsid w:val="0038343D"/>
    <w:rsid w:val="00393032"/>
    <w:rsid w:val="0039449E"/>
    <w:rsid w:val="00394B69"/>
    <w:rsid w:val="0039685F"/>
    <w:rsid w:val="00397078"/>
    <w:rsid w:val="003973C4"/>
    <w:rsid w:val="003A49D6"/>
    <w:rsid w:val="003A6953"/>
    <w:rsid w:val="003B499E"/>
    <w:rsid w:val="003B6083"/>
    <w:rsid w:val="003C170B"/>
    <w:rsid w:val="003C3838"/>
    <w:rsid w:val="003C5847"/>
    <w:rsid w:val="003C5E21"/>
    <w:rsid w:val="003D0681"/>
    <w:rsid w:val="003D12F6"/>
    <w:rsid w:val="003D1426"/>
    <w:rsid w:val="003D432A"/>
    <w:rsid w:val="003D4E62"/>
    <w:rsid w:val="003D7CB4"/>
    <w:rsid w:val="003E2F4E"/>
    <w:rsid w:val="003E4B55"/>
    <w:rsid w:val="003E720A"/>
    <w:rsid w:val="003E748E"/>
    <w:rsid w:val="003F04FC"/>
    <w:rsid w:val="00403E6E"/>
    <w:rsid w:val="0041124B"/>
    <w:rsid w:val="004129B4"/>
    <w:rsid w:val="00417EF0"/>
    <w:rsid w:val="00421B90"/>
    <w:rsid w:val="00422181"/>
    <w:rsid w:val="00423614"/>
    <w:rsid w:val="004244A8"/>
    <w:rsid w:val="004248B6"/>
    <w:rsid w:val="00425F72"/>
    <w:rsid w:val="00427736"/>
    <w:rsid w:val="004300C8"/>
    <w:rsid w:val="00441787"/>
    <w:rsid w:val="00444F2D"/>
    <w:rsid w:val="00452034"/>
    <w:rsid w:val="00453B37"/>
    <w:rsid w:val="00453FEE"/>
    <w:rsid w:val="00455FA6"/>
    <w:rsid w:val="004568AE"/>
    <w:rsid w:val="00456EE7"/>
    <w:rsid w:val="00466C70"/>
    <w:rsid w:val="00467B88"/>
    <w:rsid w:val="004702C9"/>
    <w:rsid w:val="00472E45"/>
    <w:rsid w:val="00473FEA"/>
    <w:rsid w:val="004741D8"/>
    <w:rsid w:val="0047579D"/>
    <w:rsid w:val="0047733F"/>
    <w:rsid w:val="00477DA6"/>
    <w:rsid w:val="0048208B"/>
    <w:rsid w:val="00483262"/>
    <w:rsid w:val="00484107"/>
    <w:rsid w:val="00485CC5"/>
    <w:rsid w:val="00487EAB"/>
    <w:rsid w:val="0049343F"/>
    <w:rsid w:val="004964FC"/>
    <w:rsid w:val="004A145E"/>
    <w:rsid w:val="004A1F15"/>
    <w:rsid w:val="004A2A81"/>
    <w:rsid w:val="004A700C"/>
    <w:rsid w:val="004A7BD7"/>
    <w:rsid w:val="004B1A87"/>
    <w:rsid w:val="004C15C2"/>
    <w:rsid w:val="004C36D8"/>
    <w:rsid w:val="004C6A0C"/>
    <w:rsid w:val="004D1248"/>
    <w:rsid w:val="004D1E3C"/>
    <w:rsid w:val="004D3173"/>
    <w:rsid w:val="004D4169"/>
    <w:rsid w:val="004D46A0"/>
    <w:rsid w:val="004D537A"/>
    <w:rsid w:val="004D6E14"/>
    <w:rsid w:val="004F4E17"/>
    <w:rsid w:val="0050082F"/>
    <w:rsid w:val="00500C56"/>
    <w:rsid w:val="00501713"/>
    <w:rsid w:val="00506568"/>
    <w:rsid w:val="00513B6A"/>
    <w:rsid w:val="0051406F"/>
    <w:rsid w:val="0051551B"/>
    <w:rsid w:val="00516F4B"/>
    <w:rsid w:val="00520C57"/>
    <w:rsid w:val="005216B6"/>
    <w:rsid w:val="00522D94"/>
    <w:rsid w:val="00524BBE"/>
    <w:rsid w:val="0053280C"/>
    <w:rsid w:val="00533D89"/>
    <w:rsid w:val="00536564"/>
    <w:rsid w:val="00536B98"/>
    <w:rsid w:val="00542700"/>
    <w:rsid w:val="00544597"/>
    <w:rsid w:val="00544FFE"/>
    <w:rsid w:val="005473F5"/>
    <w:rsid w:val="005477E7"/>
    <w:rsid w:val="00550019"/>
    <w:rsid w:val="00552794"/>
    <w:rsid w:val="0055652B"/>
    <w:rsid w:val="00562629"/>
    <w:rsid w:val="00563052"/>
    <w:rsid w:val="00563199"/>
    <w:rsid w:val="00563FB4"/>
    <w:rsid w:val="00564874"/>
    <w:rsid w:val="00567963"/>
    <w:rsid w:val="0057009A"/>
    <w:rsid w:val="00571260"/>
    <w:rsid w:val="0057189C"/>
    <w:rsid w:val="00573FC1"/>
    <w:rsid w:val="005741EE"/>
    <w:rsid w:val="0057668E"/>
    <w:rsid w:val="005812FE"/>
    <w:rsid w:val="00595C88"/>
    <w:rsid w:val="00595E83"/>
    <w:rsid w:val="00596530"/>
    <w:rsid w:val="005967F3"/>
    <w:rsid w:val="005A06DF"/>
    <w:rsid w:val="005A38B7"/>
    <w:rsid w:val="005A4E48"/>
    <w:rsid w:val="005A5527"/>
    <w:rsid w:val="005A5AE6"/>
    <w:rsid w:val="005A6573"/>
    <w:rsid w:val="005A7162"/>
    <w:rsid w:val="005A7652"/>
    <w:rsid w:val="005B1206"/>
    <w:rsid w:val="005B37E8"/>
    <w:rsid w:val="005B5C8E"/>
    <w:rsid w:val="005B7962"/>
    <w:rsid w:val="005C0056"/>
    <w:rsid w:val="005C07FC"/>
    <w:rsid w:val="005C2582"/>
    <w:rsid w:val="005D1EF9"/>
    <w:rsid w:val="005D61D6"/>
    <w:rsid w:val="005E0D13"/>
    <w:rsid w:val="005E2688"/>
    <w:rsid w:val="005E5047"/>
    <w:rsid w:val="005E7205"/>
    <w:rsid w:val="005E7371"/>
    <w:rsid w:val="005F116C"/>
    <w:rsid w:val="005F1200"/>
    <w:rsid w:val="005F2131"/>
    <w:rsid w:val="005F3706"/>
    <w:rsid w:val="005F3ED6"/>
    <w:rsid w:val="00605EF6"/>
    <w:rsid w:val="006061F0"/>
    <w:rsid w:val="00606455"/>
    <w:rsid w:val="006119EA"/>
    <w:rsid w:val="00612ECA"/>
    <w:rsid w:val="00614929"/>
    <w:rsid w:val="00616511"/>
    <w:rsid w:val="006176ED"/>
    <w:rsid w:val="006202F3"/>
    <w:rsid w:val="0062097A"/>
    <w:rsid w:val="00621DA6"/>
    <w:rsid w:val="00622FE8"/>
    <w:rsid w:val="00623CFE"/>
    <w:rsid w:val="00627221"/>
    <w:rsid w:val="00627EE8"/>
    <w:rsid w:val="00630306"/>
    <w:rsid w:val="006316FA"/>
    <w:rsid w:val="00633132"/>
    <w:rsid w:val="006345A4"/>
    <w:rsid w:val="00634DFE"/>
    <w:rsid w:val="006370D2"/>
    <w:rsid w:val="0064074F"/>
    <w:rsid w:val="00641F55"/>
    <w:rsid w:val="0064324F"/>
    <w:rsid w:val="00645E4A"/>
    <w:rsid w:val="00653688"/>
    <w:rsid w:val="00654B35"/>
    <w:rsid w:val="0065584F"/>
    <w:rsid w:val="0066091B"/>
    <w:rsid w:val="00665E7D"/>
    <w:rsid w:val="006660E9"/>
    <w:rsid w:val="00667249"/>
    <w:rsid w:val="00667558"/>
    <w:rsid w:val="00667F57"/>
    <w:rsid w:val="00671523"/>
    <w:rsid w:val="006754EF"/>
    <w:rsid w:val="00676C8D"/>
    <w:rsid w:val="00676F1F"/>
    <w:rsid w:val="00677381"/>
    <w:rsid w:val="00677414"/>
    <w:rsid w:val="00682594"/>
    <w:rsid w:val="006832CF"/>
    <w:rsid w:val="0068601E"/>
    <w:rsid w:val="0069486B"/>
    <w:rsid w:val="006A4904"/>
    <w:rsid w:val="006A548F"/>
    <w:rsid w:val="006A6D40"/>
    <w:rsid w:val="006A701A"/>
    <w:rsid w:val="006B64DC"/>
    <w:rsid w:val="006B7A91"/>
    <w:rsid w:val="006C17BE"/>
    <w:rsid w:val="006C18B1"/>
    <w:rsid w:val="006C200B"/>
    <w:rsid w:val="006C5615"/>
    <w:rsid w:val="006C7D84"/>
    <w:rsid w:val="006D07F9"/>
    <w:rsid w:val="006D46C4"/>
    <w:rsid w:val="006D4704"/>
    <w:rsid w:val="006D6A2D"/>
    <w:rsid w:val="006E1E18"/>
    <w:rsid w:val="006E1FFE"/>
    <w:rsid w:val="006E2364"/>
    <w:rsid w:val="006E2EEA"/>
    <w:rsid w:val="006E31CE"/>
    <w:rsid w:val="006E34D3"/>
    <w:rsid w:val="006E4185"/>
    <w:rsid w:val="006E4903"/>
    <w:rsid w:val="006F0CC7"/>
    <w:rsid w:val="006F1435"/>
    <w:rsid w:val="006F34AF"/>
    <w:rsid w:val="006F3A26"/>
    <w:rsid w:val="006F4798"/>
    <w:rsid w:val="006F78C4"/>
    <w:rsid w:val="007005C7"/>
    <w:rsid w:val="007024B3"/>
    <w:rsid w:val="007031A0"/>
    <w:rsid w:val="00705A29"/>
    <w:rsid w:val="00707498"/>
    <w:rsid w:val="00711A65"/>
    <w:rsid w:val="00714133"/>
    <w:rsid w:val="00714DA4"/>
    <w:rsid w:val="007158B2"/>
    <w:rsid w:val="00715F98"/>
    <w:rsid w:val="00716081"/>
    <w:rsid w:val="00722194"/>
    <w:rsid w:val="00722B48"/>
    <w:rsid w:val="007230C2"/>
    <w:rsid w:val="00724164"/>
    <w:rsid w:val="00725323"/>
    <w:rsid w:val="00725DE7"/>
    <w:rsid w:val="0072636A"/>
    <w:rsid w:val="00726B44"/>
    <w:rsid w:val="007318DD"/>
    <w:rsid w:val="0073251B"/>
    <w:rsid w:val="00733167"/>
    <w:rsid w:val="00740D2C"/>
    <w:rsid w:val="00742D2F"/>
    <w:rsid w:val="00744BF9"/>
    <w:rsid w:val="00745689"/>
    <w:rsid w:val="00752623"/>
    <w:rsid w:val="00753196"/>
    <w:rsid w:val="00760F1F"/>
    <w:rsid w:val="0076423E"/>
    <w:rsid w:val="007646CB"/>
    <w:rsid w:val="00765840"/>
    <w:rsid w:val="0076658F"/>
    <w:rsid w:val="0077040A"/>
    <w:rsid w:val="00772D64"/>
    <w:rsid w:val="007743A8"/>
    <w:rsid w:val="00775376"/>
    <w:rsid w:val="00792609"/>
    <w:rsid w:val="00792887"/>
    <w:rsid w:val="007943E2"/>
    <w:rsid w:val="00794696"/>
    <w:rsid w:val="00794F2C"/>
    <w:rsid w:val="00796460"/>
    <w:rsid w:val="007A3BC7"/>
    <w:rsid w:val="007A5AC4"/>
    <w:rsid w:val="007B0FDD"/>
    <w:rsid w:val="007B4802"/>
    <w:rsid w:val="007B6668"/>
    <w:rsid w:val="007B6B33"/>
    <w:rsid w:val="007C122A"/>
    <w:rsid w:val="007C2701"/>
    <w:rsid w:val="007C2BE6"/>
    <w:rsid w:val="007D2192"/>
    <w:rsid w:val="007E1214"/>
    <w:rsid w:val="007E2673"/>
    <w:rsid w:val="007F0021"/>
    <w:rsid w:val="007F1B73"/>
    <w:rsid w:val="007F2F52"/>
    <w:rsid w:val="00801F71"/>
    <w:rsid w:val="00805B99"/>
    <w:rsid w:val="00805F28"/>
    <w:rsid w:val="00806D38"/>
    <w:rsid w:val="0080749F"/>
    <w:rsid w:val="008107C5"/>
    <w:rsid w:val="00811D46"/>
    <w:rsid w:val="008125B0"/>
    <w:rsid w:val="008144CB"/>
    <w:rsid w:val="00821717"/>
    <w:rsid w:val="00824210"/>
    <w:rsid w:val="008263C0"/>
    <w:rsid w:val="008336A0"/>
    <w:rsid w:val="008367FF"/>
    <w:rsid w:val="00841422"/>
    <w:rsid w:val="0084186F"/>
    <w:rsid w:val="00841D3B"/>
    <w:rsid w:val="0084314C"/>
    <w:rsid w:val="00843171"/>
    <w:rsid w:val="008573EC"/>
    <w:rsid w:val="008573FC"/>
    <w:rsid w:val="008575C3"/>
    <w:rsid w:val="008606CD"/>
    <w:rsid w:val="00863D28"/>
    <w:rsid w:val="008648C3"/>
    <w:rsid w:val="00864962"/>
    <w:rsid w:val="00871A80"/>
    <w:rsid w:val="00880F26"/>
    <w:rsid w:val="00884BEE"/>
    <w:rsid w:val="00892435"/>
    <w:rsid w:val="008934A9"/>
    <w:rsid w:val="00895AF8"/>
    <w:rsid w:val="00896C2E"/>
    <w:rsid w:val="008A0B84"/>
    <w:rsid w:val="008A5095"/>
    <w:rsid w:val="008A608F"/>
    <w:rsid w:val="008B1A9A"/>
    <w:rsid w:val="008B406A"/>
    <w:rsid w:val="008B4FE6"/>
    <w:rsid w:val="008B66EB"/>
    <w:rsid w:val="008B6C37"/>
    <w:rsid w:val="008C12D1"/>
    <w:rsid w:val="008C1D7C"/>
    <w:rsid w:val="008C308B"/>
    <w:rsid w:val="008C531A"/>
    <w:rsid w:val="008D384E"/>
    <w:rsid w:val="008D3B25"/>
    <w:rsid w:val="008D5EB1"/>
    <w:rsid w:val="008E18F7"/>
    <w:rsid w:val="008E1E10"/>
    <w:rsid w:val="008E291B"/>
    <w:rsid w:val="008E4F2F"/>
    <w:rsid w:val="008E7323"/>
    <w:rsid w:val="008E74B0"/>
    <w:rsid w:val="008F5D19"/>
    <w:rsid w:val="008F6C96"/>
    <w:rsid w:val="009008A8"/>
    <w:rsid w:val="009016B4"/>
    <w:rsid w:val="009063B0"/>
    <w:rsid w:val="00907106"/>
    <w:rsid w:val="00907C51"/>
    <w:rsid w:val="009107FD"/>
    <w:rsid w:val="0091137C"/>
    <w:rsid w:val="00911567"/>
    <w:rsid w:val="0091524D"/>
    <w:rsid w:val="00917AAE"/>
    <w:rsid w:val="009251A9"/>
    <w:rsid w:val="009269EF"/>
    <w:rsid w:val="00930699"/>
    <w:rsid w:val="009311A4"/>
    <w:rsid w:val="00931F69"/>
    <w:rsid w:val="00934123"/>
    <w:rsid w:val="00943602"/>
    <w:rsid w:val="00945E3B"/>
    <w:rsid w:val="00947378"/>
    <w:rsid w:val="00947C09"/>
    <w:rsid w:val="00950D48"/>
    <w:rsid w:val="00955774"/>
    <w:rsid w:val="009560B5"/>
    <w:rsid w:val="00964341"/>
    <w:rsid w:val="009703D6"/>
    <w:rsid w:val="0097181B"/>
    <w:rsid w:val="00976DC5"/>
    <w:rsid w:val="009775F3"/>
    <w:rsid w:val="009818C7"/>
    <w:rsid w:val="00982DD4"/>
    <w:rsid w:val="00983521"/>
    <w:rsid w:val="009841E5"/>
    <w:rsid w:val="0098479F"/>
    <w:rsid w:val="00984A8A"/>
    <w:rsid w:val="009855FA"/>
    <w:rsid w:val="009857B6"/>
    <w:rsid w:val="00985A8D"/>
    <w:rsid w:val="00986610"/>
    <w:rsid w:val="009877DC"/>
    <w:rsid w:val="0099095B"/>
    <w:rsid w:val="00991F96"/>
    <w:rsid w:val="00996F0A"/>
    <w:rsid w:val="009A1D86"/>
    <w:rsid w:val="009A656B"/>
    <w:rsid w:val="009B049C"/>
    <w:rsid w:val="009B11C8"/>
    <w:rsid w:val="009B2BCF"/>
    <w:rsid w:val="009B2FF8"/>
    <w:rsid w:val="009B3202"/>
    <w:rsid w:val="009B5BA3"/>
    <w:rsid w:val="009D0027"/>
    <w:rsid w:val="009D0655"/>
    <w:rsid w:val="009D1FC1"/>
    <w:rsid w:val="009D4B53"/>
    <w:rsid w:val="009D5500"/>
    <w:rsid w:val="009E1E98"/>
    <w:rsid w:val="009E3ABE"/>
    <w:rsid w:val="009E3C4B"/>
    <w:rsid w:val="009F0637"/>
    <w:rsid w:val="009F425F"/>
    <w:rsid w:val="009F62A6"/>
    <w:rsid w:val="009F674F"/>
    <w:rsid w:val="009F799E"/>
    <w:rsid w:val="00A02020"/>
    <w:rsid w:val="00A04906"/>
    <w:rsid w:val="00A04F6E"/>
    <w:rsid w:val="00A056CB"/>
    <w:rsid w:val="00A07A29"/>
    <w:rsid w:val="00A10F2F"/>
    <w:rsid w:val="00A10FF1"/>
    <w:rsid w:val="00A1506B"/>
    <w:rsid w:val="00A17CB2"/>
    <w:rsid w:val="00A23191"/>
    <w:rsid w:val="00A319C0"/>
    <w:rsid w:val="00A31C0E"/>
    <w:rsid w:val="00A33560"/>
    <w:rsid w:val="00A34267"/>
    <w:rsid w:val="00A364E4"/>
    <w:rsid w:val="00A371A5"/>
    <w:rsid w:val="00A37813"/>
    <w:rsid w:val="00A47BDF"/>
    <w:rsid w:val="00A51BBF"/>
    <w:rsid w:val="00A51CD7"/>
    <w:rsid w:val="00A5279E"/>
    <w:rsid w:val="00A52ADB"/>
    <w:rsid w:val="00A533E8"/>
    <w:rsid w:val="00A542D9"/>
    <w:rsid w:val="00A56E64"/>
    <w:rsid w:val="00A624C3"/>
    <w:rsid w:val="00A63397"/>
    <w:rsid w:val="00A64F46"/>
    <w:rsid w:val="00A6641C"/>
    <w:rsid w:val="00A70370"/>
    <w:rsid w:val="00A73DFA"/>
    <w:rsid w:val="00A756DB"/>
    <w:rsid w:val="00A767D2"/>
    <w:rsid w:val="00A77616"/>
    <w:rsid w:val="00A805DA"/>
    <w:rsid w:val="00A811B4"/>
    <w:rsid w:val="00A87CDE"/>
    <w:rsid w:val="00A92BAF"/>
    <w:rsid w:val="00A94737"/>
    <w:rsid w:val="00A94BA3"/>
    <w:rsid w:val="00A96CBA"/>
    <w:rsid w:val="00A97234"/>
    <w:rsid w:val="00AA08BD"/>
    <w:rsid w:val="00AA7AFD"/>
    <w:rsid w:val="00AB1ACD"/>
    <w:rsid w:val="00AB277F"/>
    <w:rsid w:val="00AB346A"/>
    <w:rsid w:val="00AB3839"/>
    <w:rsid w:val="00AB4099"/>
    <w:rsid w:val="00AB449A"/>
    <w:rsid w:val="00AB5914"/>
    <w:rsid w:val="00AC1710"/>
    <w:rsid w:val="00AC3525"/>
    <w:rsid w:val="00AC78E2"/>
    <w:rsid w:val="00AD0432"/>
    <w:rsid w:val="00AD14F9"/>
    <w:rsid w:val="00AD35D6"/>
    <w:rsid w:val="00AD58C5"/>
    <w:rsid w:val="00AD5B30"/>
    <w:rsid w:val="00AE36C4"/>
    <w:rsid w:val="00AE472C"/>
    <w:rsid w:val="00AE5375"/>
    <w:rsid w:val="00AE6CF8"/>
    <w:rsid w:val="00AF4CAC"/>
    <w:rsid w:val="00AF4DF5"/>
    <w:rsid w:val="00B02095"/>
    <w:rsid w:val="00B03AD2"/>
    <w:rsid w:val="00B03E0D"/>
    <w:rsid w:val="00B054F8"/>
    <w:rsid w:val="00B05800"/>
    <w:rsid w:val="00B06BA3"/>
    <w:rsid w:val="00B1445C"/>
    <w:rsid w:val="00B15473"/>
    <w:rsid w:val="00B2219A"/>
    <w:rsid w:val="00B23A6A"/>
    <w:rsid w:val="00B3581B"/>
    <w:rsid w:val="00B36B81"/>
    <w:rsid w:val="00B36FEE"/>
    <w:rsid w:val="00B37C80"/>
    <w:rsid w:val="00B414D0"/>
    <w:rsid w:val="00B41B17"/>
    <w:rsid w:val="00B5092B"/>
    <w:rsid w:val="00B5194E"/>
    <w:rsid w:val="00B51AF5"/>
    <w:rsid w:val="00B531FC"/>
    <w:rsid w:val="00B55347"/>
    <w:rsid w:val="00B55819"/>
    <w:rsid w:val="00B55EA5"/>
    <w:rsid w:val="00B57E5E"/>
    <w:rsid w:val="00B61F37"/>
    <w:rsid w:val="00B675AE"/>
    <w:rsid w:val="00B752E9"/>
    <w:rsid w:val="00B75E6B"/>
    <w:rsid w:val="00B7770F"/>
    <w:rsid w:val="00B77A89"/>
    <w:rsid w:val="00B77B27"/>
    <w:rsid w:val="00B8134E"/>
    <w:rsid w:val="00B81B55"/>
    <w:rsid w:val="00B84613"/>
    <w:rsid w:val="00B84A59"/>
    <w:rsid w:val="00B84A9A"/>
    <w:rsid w:val="00B87AF0"/>
    <w:rsid w:val="00B87FF1"/>
    <w:rsid w:val="00B90234"/>
    <w:rsid w:val="00B9037B"/>
    <w:rsid w:val="00B90FC2"/>
    <w:rsid w:val="00B910BD"/>
    <w:rsid w:val="00B9149E"/>
    <w:rsid w:val="00B91BB9"/>
    <w:rsid w:val="00B93834"/>
    <w:rsid w:val="00B96469"/>
    <w:rsid w:val="00BA0DA2"/>
    <w:rsid w:val="00BA19D9"/>
    <w:rsid w:val="00BA2967"/>
    <w:rsid w:val="00BA2981"/>
    <w:rsid w:val="00BA42EE"/>
    <w:rsid w:val="00BA48F9"/>
    <w:rsid w:val="00BA51BA"/>
    <w:rsid w:val="00BB0DCA"/>
    <w:rsid w:val="00BB2666"/>
    <w:rsid w:val="00BB3AC4"/>
    <w:rsid w:val="00BB5B59"/>
    <w:rsid w:val="00BB6B80"/>
    <w:rsid w:val="00BC3773"/>
    <w:rsid w:val="00BC381A"/>
    <w:rsid w:val="00BD0962"/>
    <w:rsid w:val="00BD1EED"/>
    <w:rsid w:val="00BE0FBE"/>
    <w:rsid w:val="00BE577D"/>
    <w:rsid w:val="00BF0DA2"/>
    <w:rsid w:val="00BF109C"/>
    <w:rsid w:val="00BF34FA"/>
    <w:rsid w:val="00BF5FBB"/>
    <w:rsid w:val="00BF6667"/>
    <w:rsid w:val="00C004B6"/>
    <w:rsid w:val="00C047A7"/>
    <w:rsid w:val="00C0515C"/>
    <w:rsid w:val="00C05DE5"/>
    <w:rsid w:val="00C06884"/>
    <w:rsid w:val="00C1481F"/>
    <w:rsid w:val="00C33027"/>
    <w:rsid w:val="00C36A74"/>
    <w:rsid w:val="00C37667"/>
    <w:rsid w:val="00C435DB"/>
    <w:rsid w:val="00C44875"/>
    <w:rsid w:val="00C44D73"/>
    <w:rsid w:val="00C50B42"/>
    <w:rsid w:val="00C516FF"/>
    <w:rsid w:val="00C51BC1"/>
    <w:rsid w:val="00C52BFA"/>
    <w:rsid w:val="00C52F81"/>
    <w:rsid w:val="00C53D1D"/>
    <w:rsid w:val="00C53F26"/>
    <w:rsid w:val="00C540BC"/>
    <w:rsid w:val="00C61C96"/>
    <w:rsid w:val="00C64F7D"/>
    <w:rsid w:val="00C67309"/>
    <w:rsid w:val="00C7614E"/>
    <w:rsid w:val="00C77BF1"/>
    <w:rsid w:val="00C77ED9"/>
    <w:rsid w:val="00C80D60"/>
    <w:rsid w:val="00C82FBD"/>
    <w:rsid w:val="00C85267"/>
    <w:rsid w:val="00C86E56"/>
    <w:rsid w:val="00C87159"/>
    <w:rsid w:val="00C8721B"/>
    <w:rsid w:val="00C9372C"/>
    <w:rsid w:val="00C93E3B"/>
    <w:rsid w:val="00C9470E"/>
    <w:rsid w:val="00C95CEB"/>
    <w:rsid w:val="00C96E88"/>
    <w:rsid w:val="00CA1054"/>
    <w:rsid w:val="00CA33E7"/>
    <w:rsid w:val="00CA63EB"/>
    <w:rsid w:val="00CA69F1"/>
    <w:rsid w:val="00CA7CF2"/>
    <w:rsid w:val="00CB2846"/>
    <w:rsid w:val="00CB6991"/>
    <w:rsid w:val="00CC6194"/>
    <w:rsid w:val="00CC6305"/>
    <w:rsid w:val="00CC6B0C"/>
    <w:rsid w:val="00CC78A5"/>
    <w:rsid w:val="00CD0516"/>
    <w:rsid w:val="00CD0AA9"/>
    <w:rsid w:val="00CD3123"/>
    <w:rsid w:val="00CD62B1"/>
    <w:rsid w:val="00CD756B"/>
    <w:rsid w:val="00CE1CB4"/>
    <w:rsid w:val="00CE734F"/>
    <w:rsid w:val="00CF00B7"/>
    <w:rsid w:val="00CF112E"/>
    <w:rsid w:val="00CF161D"/>
    <w:rsid w:val="00CF43B1"/>
    <w:rsid w:val="00CF51D5"/>
    <w:rsid w:val="00CF5F4F"/>
    <w:rsid w:val="00D0291F"/>
    <w:rsid w:val="00D04294"/>
    <w:rsid w:val="00D044B9"/>
    <w:rsid w:val="00D05697"/>
    <w:rsid w:val="00D16784"/>
    <w:rsid w:val="00D218DC"/>
    <w:rsid w:val="00D24E56"/>
    <w:rsid w:val="00D259FB"/>
    <w:rsid w:val="00D25F28"/>
    <w:rsid w:val="00D27105"/>
    <w:rsid w:val="00D31643"/>
    <w:rsid w:val="00D31AEB"/>
    <w:rsid w:val="00D32ECD"/>
    <w:rsid w:val="00D361E4"/>
    <w:rsid w:val="00D40017"/>
    <w:rsid w:val="00D42742"/>
    <w:rsid w:val="00D42A8F"/>
    <w:rsid w:val="00D439F6"/>
    <w:rsid w:val="00D459C6"/>
    <w:rsid w:val="00D50729"/>
    <w:rsid w:val="00D50C19"/>
    <w:rsid w:val="00D51A17"/>
    <w:rsid w:val="00D5379E"/>
    <w:rsid w:val="00D62643"/>
    <w:rsid w:val="00D64C0F"/>
    <w:rsid w:val="00D72EFE"/>
    <w:rsid w:val="00D76227"/>
    <w:rsid w:val="00D77DF1"/>
    <w:rsid w:val="00D8393D"/>
    <w:rsid w:val="00D85063"/>
    <w:rsid w:val="00D86AFF"/>
    <w:rsid w:val="00D90DC3"/>
    <w:rsid w:val="00D93C2B"/>
    <w:rsid w:val="00D9489E"/>
    <w:rsid w:val="00D95A44"/>
    <w:rsid w:val="00D95D16"/>
    <w:rsid w:val="00D97C76"/>
    <w:rsid w:val="00DA42E6"/>
    <w:rsid w:val="00DB02B4"/>
    <w:rsid w:val="00DB2CE5"/>
    <w:rsid w:val="00DB538D"/>
    <w:rsid w:val="00DB705F"/>
    <w:rsid w:val="00DC275C"/>
    <w:rsid w:val="00DC4B0D"/>
    <w:rsid w:val="00DC684A"/>
    <w:rsid w:val="00DC7FE1"/>
    <w:rsid w:val="00DD3F3F"/>
    <w:rsid w:val="00DD4B26"/>
    <w:rsid w:val="00DD5572"/>
    <w:rsid w:val="00DE2465"/>
    <w:rsid w:val="00DE3ABE"/>
    <w:rsid w:val="00DE5D80"/>
    <w:rsid w:val="00DF4D5A"/>
    <w:rsid w:val="00DF58CD"/>
    <w:rsid w:val="00DF65DE"/>
    <w:rsid w:val="00E019A5"/>
    <w:rsid w:val="00E02EC8"/>
    <w:rsid w:val="00E037F5"/>
    <w:rsid w:val="00E04ECB"/>
    <w:rsid w:val="00E05176"/>
    <w:rsid w:val="00E05A09"/>
    <w:rsid w:val="00E06CA1"/>
    <w:rsid w:val="00E074CE"/>
    <w:rsid w:val="00E146B3"/>
    <w:rsid w:val="00E172B8"/>
    <w:rsid w:val="00E17FB4"/>
    <w:rsid w:val="00E20B75"/>
    <w:rsid w:val="00E214F2"/>
    <w:rsid w:val="00E2371E"/>
    <w:rsid w:val="00E24BD7"/>
    <w:rsid w:val="00E26523"/>
    <w:rsid w:val="00E26809"/>
    <w:rsid w:val="00E3412D"/>
    <w:rsid w:val="00E4438D"/>
    <w:rsid w:val="00E477EA"/>
    <w:rsid w:val="00E503F6"/>
    <w:rsid w:val="00E5356A"/>
    <w:rsid w:val="00E57322"/>
    <w:rsid w:val="00E628CB"/>
    <w:rsid w:val="00E62AD9"/>
    <w:rsid w:val="00E638C8"/>
    <w:rsid w:val="00E66308"/>
    <w:rsid w:val="00E66396"/>
    <w:rsid w:val="00E6710E"/>
    <w:rsid w:val="00E67691"/>
    <w:rsid w:val="00E7509B"/>
    <w:rsid w:val="00E761A3"/>
    <w:rsid w:val="00E77E30"/>
    <w:rsid w:val="00E81972"/>
    <w:rsid w:val="00E86590"/>
    <w:rsid w:val="00E907FF"/>
    <w:rsid w:val="00EA0747"/>
    <w:rsid w:val="00EA42D1"/>
    <w:rsid w:val="00EA42EF"/>
    <w:rsid w:val="00EB2DD1"/>
    <w:rsid w:val="00EB6B37"/>
    <w:rsid w:val="00EC1CB1"/>
    <w:rsid w:val="00EC29FE"/>
    <w:rsid w:val="00EC3C70"/>
    <w:rsid w:val="00EC5D39"/>
    <w:rsid w:val="00ED0A67"/>
    <w:rsid w:val="00ED24AA"/>
    <w:rsid w:val="00ED3A3D"/>
    <w:rsid w:val="00ED538A"/>
    <w:rsid w:val="00ED6FBC"/>
    <w:rsid w:val="00EE2F16"/>
    <w:rsid w:val="00EE330D"/>
    <w:rsid w:val="00EE3861"/>
    <w:rsid w:val="00EE4EB3"/>
    <w:rsid w:val="00EE6CC8"/>
    <w:rsid w:val="00EF0E38"/>
    <w:rsid w:val="00EF233D"/>
    <w:rsid w:val="00EF2E73"/>
    <w:rsid w:val="00EF7683"/>
    <w:rsid w:val="00EF7A2D"/>
    <w:rsid w:val="00F00ACC"/>
    <w:rsid w:val="00F04877"/>
    <w:rsid w:val="00F04F8D"/>
    <w:rsid w:val="00F06C31"/>
    <w:rsid w:val="00F10AD0"/>
    <w:rsid w:val="00F116CC"/>
    <w:rsid w:val="00F11C51"/>
    <w:rsid w:val="00F12BD1"/>
    <w:rsid w:val="00F14EC4"/>
    <w:rsid w:val="00F15327"/>
    <w:rsid w:val="00F168CF"/>
    <w:rsid w:val="00F179B1"/>
    <w:rsid w:val="00F21C73"/>
    <w:rsid w:val="00F23E47"/>
    <w:rsid w:val="00F2555C"/>
    <w:rsid w:val="00F26311"/>
    <w:rsid w:val="00F31DF3"/>
    <w:rsid w:val="00F33AE5"/>
    <w:rsid w:val="00F3597D"/>
    <w:rsid w:val="00F4376D"/>
    <w:rsid w:val="00F45399"/>
    <w:rsid w:val="00F465EA"/>
    <w:rsid w:val="00F54E7B"/>
    <w:rsid w:val="00F55A88"/>
    <w:rsid w:val="00F73058"/>
    <w:rsid w:val="00F74005"/>
    <w:rsid w:val="00F74574"/>
    <w:rsid w:val="00F76884"/>
    <w:rsid w:val="00F83D24"/>
    <w:rsid w:val="00F83DD9"/>
    <w:rsid w:val="00F83F40"/>
    <w:rsid w:val="00F84636"/>
    <w:rsid w:val="00FA117A"/>
    <w:rsid w:val="00FB1936"/>
    <w:rsid w:val="00FB30D0"/>
    <w:rsid w:val="00FB386A"/>
    <w:rsid w:val="00FB3E1E"/>
    <w:rsid w:val="00FB647D"/>
    <w:rsid w:val="00FC0786"/>
    <w:rsid w:val="00FC49EF"/>
    <w:rsid w:val="00FD00BB"/>
    <w:rsid w:val="00FD73C3"/>
    <w:rsid w:val="00FE36E2"/>
    <w:rsid w:val="00FE4B57"/>
    <w:rsid w:val="00FE7872"/>
    <w:rsid w:val="00FF11AD"/>
    <w:rsid w:val="00FF2971"/>
    <w:rsid w:val="00FF34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C9B4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0049"/>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nhideWhenUsed/>
    <w:qFormat/>
    <w:locked/>
    <w:rsid w:val="006061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uiPriority w:val="34"/>
    <w:qFormat/>
    <w:rsid w:val="00397078"/>
    <w:pPr>
      <w:ind w:left="720"/>
      <w:contextualSpacing/>
    </w:pPr>
  </w:style>
  <w:style w:type="character" w:styleId="Odwoaniedokomentarza">
    <w:name w:val="annotation reference"/>
    <w:uiPriority w:val="99"/>
    <w:semiHidden/>
    <w:unhideWhenUsed/>
    <w:rsid w:val="00A17CB2"/>
    <w:rPr>
      <w:sz w:val="16"/>
      <w:szCs w:val="16"/>
    </w:rPr>
  </w:style>
  <w:style w:type="paragraph" w:styleId="Tekstkomentarza">
    <w:name w:val="annotation text"/>
    <w:basedOn w:val="Normalny"/>
    <w:link w:val="TekstkomentarzaZnak"/>
    <w:uiPriority w:val="99"/>
    <w:unhideWhenUsed/>
    <w:rsid w:val="00A17CB2"/>
    <w:rPr>
      <w:sz w:val="20"/>
      <w:szCs w:val="20"/>
    </w:rPr>
  </w:style>
  <w:style w:type="character" w:customStyle="1" w:styleId="TekstkomentarzaZnak">
    <w:name w:val="Tekst komentarza Znak"/>
    <w:link w:val="Tekstkomentarza"/>
    <w:uiPriority w:val="99"/>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rsid w:val="00C047A7"/>
    <w:rPr>
      <w:sz w:val="20"/>
      <w:szCs w:val="20"/>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 w:type="paragraph" w:styleId="NormalnyWeb">
    <w:name w:val="Normal (Web)"/>
    <w:basedOn w:val="Normalny"/>
    <w:uiPriority w:val="99"/>
    <w:unhideWhenUsed/>
    <w:rsid w:val="00CF51D5"/>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rdo">
    <w:name w:val="Źródło"/>
    <w:basedOn w:val="Normalny"/>
    <w:link w:val="rdoZnak"/>
    <w:qFormat/>
    <w:rsid w:val="00A10F2F"/>
    <w:pPr>
      <w:spacing w:after="160" w:line="278" w:lineRule="auto"/>
      <w:jc w:val="center"/>
    </w:pPr>
    <w:rPr>
      <w:rFonts w:eastAsia="Aptos"/>
      <w:i/>
      <w:iCs/>
      <w:kern w:val="2"/>
      <w:sz w:val="18"/>
      <w:szCs w:val="18"/>
    </w:rPr>
  </w:style>
  <w:style w:type="character" w:customStyle="1" w:styleId="rdoZnak">
    <w:name w:val="Źródło Znak"/>
    <w:link w:val="rdo"/>
    <w:rsid w:val="00A10F2F"/>
    <w:rPr>
      <w:rFonts w:eastAsia="Aptos"/>
      <w:i/>
      <w:iCs/>
      <w:kern w:val="2"/>
      <w:sz w:val="18"/>
      <w:szCs w:val="18"/>
      <w:lang w:eastAsia="en-US"/>
    </w:rPr>
  </w:style>
  <w:style w:type="paragraph" w:styleId="Legenda">
    <w:name w:val="caption"/>
    <w:basedOn w:val="Normalny"/>
    <w:next w:val="Normalny"/>
    <w:uiPriority w:val="35"/>
    <w:unhideWhenUsed/>
    <w:qFormat/>
    <w:locked/>
    <w:rsid w:val="00A10F2F"/>
    <w:pPr>
      <w:spacing w:after="200" w:line="240" w:lineRule="auto"/>
      <w:jc w:val="both"/>
    </w:pPr>
    <w:rPr>
      <w:rFonts w:eastAsia="Aptos"/>
      <w:i/>
      <w:iCs/>
      <w:color w:val="0E2841"/>
      <w:kern w:val="2"/>
      <w:sz w:val="18"/>
      <w:szCs w:val="18"/>
    </w:rPr>
  </w:style>
  <w:style w:type="character" w:styleId="Pogrubienie">
    <w:name w:val="Strong"/>
    <w:uiPriority w:val="22"/>
    <w:qFormat/>
    <w:locked/>
    <w:rsid w:val="00B05800"/>
    <w:rPr>
      <w:b/>
      <w:bCs/>
    </w:rPr>
  </w:style>
  <w:style w:type="character" w:customStyle="1" w:styleId="markedcontent">
    <w:name w:val="markedcontent"/>
    <w:basedOn w:val="Domylnaczcionkaakapitu"/>
    <w:rsid w:val="00D259FB"/>
  </w:style>
  <w:style w:type="character" w:customStyle="1" w:styleId="Nagwek2Znak">
    <w:name w:val="Nagłówek 2 Znak"/>
    <w:basedOn w:val="Domylnaczcionkaakapitu"/>
    <w:link w:val="Nagwek2"/>
    <w:rsid w:val="006061F0"/>
    <w:rPr>
      <w:rFonts w:asciiTheme="majorHAnsi" w:eastAsiaTheme="majorEastAsia" w:hAnsiTheme="majorHAnsi" w:cstheme="majorBidi"/>
      <w:color w:val="2F5496" w:themeColor="accent1" w:themeShade="BF"/>
      <w:sz w:val="26"/>
      <w:szCs w:val="26"/>
      <w:lang w:eastAsia="en-US"/>
    </w:rPr>
  </w:style>
  <w:style w:type="paragraph" w:styleId="Poprawka">
    <w:name w:val="Revision"/>
    <w:hidden/>
    <w:uiPriority w:val="99"/>
    <w:semiHidden/>
    <w:rsid w:val="000727D2"/>
    <w:rPr>
      <w:sz w:val="22"/>
      <w:szCs w:val="22"/>
      <w:lang w:eastAsia="en-US"/>
    </w:rPr>
  </w:style>
  <w:style w:type="character" w:styleId="Nierozpoznanawzmianka">
    <w:name w:val="Unresolved Mention"/>
    <w:basedOn w:val="Domylnaczcionkaakapitu"/>
    <w:uiPriority w:val="99"/>
    <w:semiHidden/>
    <w:unhideWhenUsed/>
    <w:rsid w:val="00BE0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179126558">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261302732">
      <w:bodyDiv w:val="1"/>
      <w:marLeft w:val="0"/>
      <w:marRight w:val="0"/>
      <w:marTop w:val="0"/>
      <w:marBottom w:val="0"/>
      <w:divBdr>
        <w:top w:val="none" w:sz="0" w:space="0" w:color="auto"/>
        <w:left w:val="none" w:sz="0" w:space="0" w:color="auto"/>
        <w:bottom w:val="none" w:sz="0" w:space="0" w:color="auto"/>
        <w:right w:val="none" w:sz="0" w:space="0" w:color="auto"/>
      </w:divBdr>
    </w:div>
    <w:div w:id="519513413">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607199006">
      <w:bodyDiv w:val="1"/>
      <w:marLeft w:val="0"/>
      <w:marRight w:val="0"/>
      <w:marTop w:val="0"/>
      <w:marBottom w:val="0"/>
      <w:divBdr>
        <w:top w:val="none" w:sz="0" w:space="0" w:color="auto"/>
        <w:left w:val="none" w:sz="0" w:space="0" w:color="auto"/>
        <w:bottom w:val="none" w:sz="0" w:space="0" w:color="auto"/>
        <w:right w:val="none" w:sz="0" w:space="0" w:color="auto"/>
      </w:divBdr>
    </w:div>
    <w:div w:id="731540092">
      <w:bodyDiv w:val="1"/>
      <w:marLeft w:val="0"/>
      <w:marRight w:val="0"/>
      <w:marTop w:val="0"/>
      <w:marBottom w:val="0"/>
      <w:divBdr>
        <w:top w:val="none" w:sz="0" w:space="0" w:color="auto"/>
        <w:left w:val="none" w:sz="0" w:space="0" w:color="auto"/>
        <w:bottom w:val="none" w:sz="0" w:space="0" w:color="auto"/>
        <w:right w:val="none" w:sz="0" w:space="0" w:color="auto"/>
      </w:divBdr>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964700961">
      <w:bodyDiv w:val="1"/>
      <w:marLeft w:val="0"/>
      <w:marRight w:val="0"/>
      <w:marTop w:val="0"/>
      <w:marBottom w:val="0"/>
      <w:divBdr>
        <w:top w:val="none" w:sz="0" w:space="0" w:color="auto"/>
        <w:left w:val="none" w:sz="0" w:space="0" w:color="auto"/>
        <w:bottom w:val="none" w:sz="0" w:space="0" w:color="auto"/>
        <w:right w:val="none" w:sz="0" w:space="0" w:color="auto"/>
      </w:divBdr>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088846660">
      <w:bodyDiv w:val="1"/>
      <w:marLeft w:val="0"/>
      <w:marRight w:val="0"/>
      <w:marTop w:val="0"/>
      <w:marBottom w:val="0"/>
      <w:divBdr>
        <w:top w:val="none" w:sz="0" w:space="0" w:color="auto"/>
        <w:left w:val="none" w:sz="0" w:space="0" w:color="auto"/>
        <w:bottom w:val="none" w:sz="0" w:space="0" w:color="auto"/>
        <w:right w:val="none" w:sz="0" w:space="0" w:color="auto"/>
      </w:divBdr>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683044441">
      <w:bodyDiv w:val="1"/>
      <w:marLeft w:val="0"/>
      <w:marRight w:val="0"/>
      <w:marTop w:val="0"/>
      <w:marBottom w:val="0"/>
      <w:divBdr>
        <w:top w:val="none" w:sz="0" w:space="0" w:color="auto"/>
        <w:left w:val="none" w:sz="0" w:space="0" w:color="auto"/>
        <w:bottom w:val="none" w:sz="0" w:space="0" w:color="auto"/>
        <w:right w:val="none" w:sz="0" w:space="0" w:color="auto"/>
      </w:divBdr>
    </w:div>
    <w:div w:id="1740789047">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 w:id="2093355696">
      <w:bodyDiv w:val="1"/>
      <w:marLeft w:val="0"/>
      <w:marRight w:val="0"/>
      <w:marTop w:val="0"/>
      <w:marBottom w:val="0"/>
      <w:divBdr>
        <w:top w:val="none" w:sz="0" w:space="0" w:color="auto"/>
        <w:left w:val="none" w:sz="0" w:space="0" w:color="auto"/>
        <w:bottom w:val="none" w:sz="0" w:space="0" w:color="auto"/>
        <w:right w:val="none" w:sz="0" w:space="0" w:color="auto"/>
      </w:divBdr>
    </w:div>
    <w:div w:id="214041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tarzyna.przewalska@mf.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d2b6bbb-a69c-41e8-9ef1-c035572bd00e}" enabled="0" method="" siteId="{0d2b6bbb-a69c-41e8-9ef1-c035572bd00e}"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5443</Words>
  <Characters>32664</Characters>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38031</CharactersWithSpaces>
  <SharedDoc>false</SharedDoc>
  <HLinks>
    <vt:vector size="12" baseType="variant">
      <vt:variant>
        <vt:i4>1638433</vt:i4>
      </vt:variant>
      <vt:variant>
        <vt:i4>90</vt:i4>
      </vt:variant>
      <vt:variant>
        <vt:i4>0</vt:i4>
      </vt:variant>
      <vt:variant>
        <vt:i4>5</vt:i4>
      </vt:variant>
      <vt:variant>
        <vt:lpwstr>http://www.mf.gov.pl/ministerstwo-finansow/dzialalnosc/finanse-publiczne/sytuacja-makroekonomiczna-i-finanse-publiczne/wytyczne/-/asset_publisher/S0gu/content/wytyczne-dotyczace-stosowania-jednolitych-wskaznikow-makroekonomicznych-bedacych-podstawa-oszacowania-skutkow-finansowych-projektowanych-ustaw;jsessionid=1065FD5D001213ECD71FD650347F1674?redirect=http%3A%2F%2Fwww.mf.gov.pl%2Fministerstwo-finansow%2Fdzialalnosc%2Ffinanse-publiczne%2Fsytuacja-makroekonomiczna-i-finanse-publiczne%2Fwytyczne%3Fp_p_id%3D101_INSTANCE_S0gu%26p_p_lifecycle%3D0%26p_p_state%3Dnormal%26p_p_mode%3Dview%26p_p_col_id%3Dcolumn-2%26p_p_col_count%3D1%20-%20p_p_id_101_INSTANCE_S0gu_</vt:lpwstr>
      </vt:variant>
      <vt:variant>
        <vt:lpwstr/>
      </vt:variant>
      <vt:variant>
        <vt:i4>8323197</vt:i4>
      </vt:variant>
      <vt:variant>
        <vt:i4>87</vt:i4>
      </vt:variant>
      <vt:variant>
        <vt:i4>0</vt:i4>
      </vt:variant>
      <vt:variant>
        <vt:i4>5</vt:i4>
      </vt:variant>
      <vt:variant>
        <vt:lpwstr>http://www.mf.gov.pl/ministerstwo-finansow/dzialalnosc/finanse-publiczne/sytuacja-makroekonomiczna-i-finanse-publiczne/wytyczne/-/asset_publisher/S0gu/content/wytyczne-dotyczace-stosowania-jednolitych-wskaznikow-makroekonomicznych-bedacych-podstawa-oszacowania-skutkow-finansowych-projektowanych-ustaw?redirect=http%3A%2F%2Fwww.mf.gov.pl%2Fministerstwo-finansow%2Fdzialalnosc%2Ffinanse-publiczne%2Fsytuacja-makroekonomiczna-i-finanse-publiczne%2Fwytyczne%3Fp_p_id%3D101_INSTANCE_S0gu%26p_p_lifecycle%3D0%26p_p_state%3Dnormal%26p_p_mode%3Dview%26p_p_col_id%3Dcolumn-2%26p_p_col_count%3D1</vt:lpwstr>
      </vt:variant>
      <vt:variant>
        <vt:lpwstr>p_p_id_101_INSTANCE_S0gu_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2026-04-17T08:33:00Z</dcterms:created>
  <dcterms:modified xsi:type="dcterms:W3CDTF">2026-04-17T08:47:00Z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UxC4dwLulzfINJ8nQH+xvX5LNGipWa4BRSZhPgxsCvlRpfxiuo5FNI/fuaqpp3C4ABqABKtsk9I60p5/m5I2BQ==</vt:lpwstr>
  </property>
  <property fmtid="{D5CDD505-2E9C-101B-9397-08002B2CF9AE}" pid="4" name="MFClassificationDate">
    <vt:lpwstr>2025-11-27T13:07:39.7197247+01:00</vt:lpwstr>
  </property>
  <property fmtid="{D5CDD505-2E9C-101B-9397-08002B2CF9AE}" pid="5" name="MFClassifiedBySID">
    <vt:lpwstr>UxC4dwLulzfINJ8nQH+xvX5LNGipWa4BRSZhPgxsCvm42mrIC/DSDv0ggS+FjUN/2v1BBotkLlY5aAiEhoi6uRURQnDWsx03xrPnGe1V/xg4v2pistamBlyOh+WDB+cB</vt:lpwstr>
  </property>
  <property fmtid="{D5CDD505-2E9C-101B-9397-08002B2CF9AE}" pid="6" name="MFGRNItemId">
    <vt:lpwstr>GRN-0e1b3827-e3f3-45fa-a52d-a154d0bca93c</vt:lpwstr>
  </property>
  <property fmtid="{D5CDD505-2E9C-101B-9397-08002B2CF9AE}" pid="7" name="MFHash">
    <vt:lpwstr>Vtcv7TB0T/sioWcgDSGNAva2RLsWqUswQMyh11c1j4I=</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