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8"/>
        <w:gridCol w:w="645"/>
        <w:gridCol w:w="65"/>
        <w:gridCol w:w="825"/>
        <w:gridCol w:w="167"/>
        <w:gridCol w:w="402"/>
        <w:gridCol w:w="187"/>
        <w:gridCol w:w="49"/>
        <w:gridCol w:w="334"/>
        <w:gridCol w:w="554"/>
        <w:gridCol w:w="16"/>
        <w:gridCol w:w="269"/>
        <w:gridCol w:w="300"/>
        <w:gridCol w:w="157"/>
        <w:gridCol w:w="196"/>
        <w:gridCol w:w="217"/>
        <w:gridCol w:w="437"/>
        <w:gridCol w:w="142"/>
        <w:gridCol w:w="71"/>
        <w:gridCol w:w="604"/>
        <w:gridCol w:w="176"/>
        <w:gridCol w:w="110"/>
        <w:gridCol w:w="281"/>
        <w:gridCol w:w="567"/>
        <w:gridCol w:w="143"/>
        <w:gridCol w:w="424"/>
        <w:gridCol w:w="567"/>
        <w:gridCol w:w="41"/>
        <w:gridCol w:w="1240"/>
      </w:tblGrid>
      <w:tr w:rsidR="006A701A" w:rsidRPr="00424472" w:rsidTr="00461AD7">
        <w:trPr>
          <w:trHeight w:val="1611"/>
          <w:jc w:val="center"/>
        </w:trPr>
        <w:tc>
          <w:tcPr>
            <w:tcW w:w="6621" w:type="dxa"/>
            <w:gridSpan w:val="19"/>
          </w:tcPr>
          <w:p w:rsidR="00865A77" w:rsidRPr="00424472" w:rsidRDefault="00865A77" w:rsidP="006B1E25">
            <w:pPr>
              <w:spacing w:line="240" w:lineRule="auto"/>
              <w:ind w:left="60"/>
              <w:rPr>
                <w:rFonts w:ascii="Times New Roman" w:hAnsi="Times New Roman"/>
                <w:b/>
                <w:color w:val="000000"/>
              </w:rPr>
            </w:pPr>
            <w:bookmarkStart w:id="0" w:name="t1"/>
            <w:bookmarkStart w:id="1" w:name="_GoBack"/>
            <w:bookmarkEnd w:id="1"/>
            <w:r w:rsidRPr="00424472">
              <w:rPr>
                <w:rFonts w:ascii="Times New Roman" w:hAnsi="Times New Roman"/>
                <w:b/>
                <w:color w:val="000000"/>
              </w:rPr>
              <w:t>Nazwa projektu</w:t>
            </w:r>
          </w:p>
          <w:p w:rsidR="00EB083A" w:rsidRPr="00EB083A" w:rsidRDefault="0094240D" w:rsidP="006B1E25">
            <w:pPr>
              <w:spacing w:line="240" w:lineRule="auto"/>
              <w:ind w:left="62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EB083A">
              <w:rPr>
                <w:rFonts w:ascii="Times New Roman" w:hAnsi="Times New Roman"/>
                <w:color w:val="000000"/>
              </w:rPr>
              <w:t xml:space="preserve">Projekt </w:t>
            </w:r>
            <w:r w:rsidR="00EB083A" w:rsidRPr="00EB083A">
              <w:rPr>
                <w:rFonts w:ascii="Times New Roman" w:hAnsi="Times New Roman"/>
                <w:color w:val="000000"/>
              </w:rPr>
              <w:t xml:space="preserve">ustawy </w:t>
            </w:r>
            <w:r w:rsidR="00EB083A" w:rsidRPr="00EB083A">
              <w:rPr>
                <w:rFonts w:ascii="Times New Roman" w:hAnsi="Times New Roman"/>
                <w:bCs/>
                <w:color w:val="000000"/>
              </w:rPr>
              <w:t xml:space="preserve">o rozpatrywaniu reklamacji i sporów klientów </w:t>
            </w:r>
            <w:r w:rsidR="00D25D42">
              <w:rPr>
                <w:rFonts w:ascii="Times New Roman" w:hAnsi="Times New Roman"/>
                <w:bCs/>
                <w:color w:val="000000"/>
              </w:rPr>
              <w:t xml:space="preserve">podmiotów </w:t>
            </w:r>
            <w:r w:rsidR="00EB083A" w:rsidRPr="00EB083A">
              <w:rPr>
                <w:rFonts w:ascii="Times New Roman" w:hAnsi="Times New Roman"/>
                <w:bCs/>
                <w:color w:val="000000"/>
              </w:rPr>
              <w:t xml:space="preserve">rynku finansowego oraz o Funduszu Edukacji Finansowej </w:t>
            </w:r>
          </w:p>
          <w:p w:rsidR="0094240D" w:rsidRPr="00424472" w:rsidRDefault="0094240D" w:rsidP="006B1E25">
            <w:pPr>
              <w:spacing w:line="240" w:lineRule="auto"/>
              <w:ind w:left="62"/>
              <w:jc w:val="both"/>
              <w:rPr>
                <w:rFonts w:ascii="Times New Roman" w:hAnsi="Times New Roman"/>
                <w:color w:val="000000"/>
              </w:rPr>
            </w:pPr>
          </w:p>
          <w:p w:rsidR="00865A77" w:rsidRDefault="00865A77" w:rsidP="006B1E25">
            <w:pPr>
              <w:spacing w:line="240" w:lineRule="auto"/>
              <w:ind w:left="60"/>
              <w:rPr>
                <w:rFonts w:ascii="Times New Roman" w:hAnsi="Times New Roman"/>
                <w:b/>
                <w:color w:val="000000"/>
              </w:rPr>
            </w:pPr>
            <w:r w:rsidRPr="00424472">
              <w:rPr>
                <w:rFonts w:ascii="Times New Roman" w:hAnsi="Times New Roman"/>
                <w:b/>
                <w:color w:val="000000"/>
              </w:rPr>
              <w:t>Ministerstwo wiodące i ministerstwa współpracujące</w:t>
            </w:r>
          </w:p>
          <w:p w:rsidR="00865A77" w:rsidRDefault="00CE3B03" w:rsidP="006B1E25">
            <w:pPr>
              <w:spacing w:line="240" w:lineRule="auto"/>
              <w:ind w:left="60"/>
              <w:rPr>
                <w:rFonts w:ascii="Times New Roman" w:hAnsi="Times New Roman"/>
                <w:color w:val="000000"/>
              </w:rPr>
            </w:pPr>
            <w:r w:rsidRPr="006B1E25">
              <w:rPr>
                <w:rFonts w:ascii="Times New Roman" w:hAnsi="Times New Roman"/>
                <w:color w:val="000000"/>
              </w:rPr>
              <w:t>Ministerstwo Finansów</w:t>
            </w:r>
            <w:bookmarkEnd w:id="0"/>
          </w:p>
          <w:p w:rsidR="009E4471" w:rsidRPr="00424472" w:rsidRDefault="009E4471" w:rsidP="006B1E25">
            <w:pPr>
              <w:spacing w:line="240" w:lineRule="auto"/>
              <w:ind w:left="60"/>
              <w:rPr>
                <w:rFonts w:ascii="Times New Roman" w:hAnsi="Times New Roman"/>
                <w:color w:val="000000"/>
              </w:rPr>
            </w:pPr>
          </w:p>
          <w:p w:rsidR="00865A77" w:rsidRDefault="00865A77" w:rsidP="006B1E25">
            <w:pPr>
              <w:spacing w:line="240" w:lineRule="auto"/>
              <w:ind w:left="60"/>
              <w:rPr>
                <w:rFonts w:ascii="Times New Roman" w:hAnsi="Times New Roman"/>
                <w:b/>
              </w:rPr>
            </w:pPr>
            <w:r w:rsidRPr="00424472">
              <w:rPr>
                <w:rFonts w:ascii="Times New Roman" w:hAnsi="Times New Roman"/>
                <w:b/>
              </w:rPr>
              <w:t xml:space="preserve">Osoba odpowiedzialna za projekt w randze Ministra, Sekretarza Stanu lub Podsekretarza Stanu </w:t>
            </w:r>
          </w:p>
          <w:p w:rsidR="00EB083A" w:rsidRDefault="00CE3B03" w:rsidP="006B1E25">
            <w:pPr>
              <w:spacing w:line="240" w:lineRule="auto"/>
              <w:ind w:left="60"/>
              <w:rPr>
                <w:rFonts w:ascii="Times New Roman" w:hAnsi="Times New Roman"/>
                <w:bCs/>
              </w:rPr>
            </w:pPr>
            <w:r w:rsidRPr="00A272EB">
              <w:rPr>
                <w:rFonts w:ascii="Times New Roman" w:hAnsi="Times New Roman"/>
              </w:rPr>
              <w:t>Piotr Patkowski – Podsekretarz Stanu w Ministerstwie Finansów</w:t>
            </w:r>
          </w:p>
          <w:p w:rsidR="009E4471" w:rsidRPr="00EB083A" w:rsidRDefault="009E4471" w:rsidP="006B1E25">
            <w:pPr>
              <w:spacing w:line="240" w:lineRule="auto"/>
              <w:ind w:left="60"/>
              <w:jc w:val="both"/>
              <w:rPr>
                <w:rFonts w:ascii="Times New Roman" w:hAnsi="Times New Roman"/>
                <w:bCs/>
              </w:rPr>
            </w:pPr>
          </w:p>
          <w:p w:rsidR="00865A77" w:rsidRDefault="00865A77" w:rsidP="006B1E25">
            <w:pPr>
              <w:spacing w:line="240" w:lineRule="auto"/>
              <w:ind w:left="60"/>
              <w:rPr>
                <w:rFonts w:ascii="Times New Roman" w:hAnsi="Times New Roman"/>
                <w:b/>
                <w:color w:val="000000"/>
              </w:rPr>
            </w:pPr>
            <w:r w:rsidRPr="00424472">
              <w:rPr>
                <w:rFonts w:ascii="Times New Roman" w:hAnsi="Times New Roman"/>
                <w:b/>
                <w:color w:val="000000"/>
              </w:rPr>
              <w:t>Kontakt do opiekuna merytorycznego projektu</w:t>
            </w:r>
          </w:p>
          <w:p w:rsidR="00A272EB" w:rsidRPr="00A272EB" w:rsidRDefault="00A272EB" w:rsidP="006B1E25">
            <w:pPr>
              <w:spacing w:line="240" w:lineRule="auto"/>
              <w:ind w:left="60"/>
              <w:rPr>
                <w:rFonts w:ascii="Times New Roman" w:hAnsi="Times New Roman"/>
                <w:color w:val="000000"/>
              </w:rPr>
            </w:pPr>
            <w:r w:rsidRPr="00A272EB">
              <w:rPr>
                <w:rFonts w:ascii="Times New Roman" w:hAnsi="Times New Roman"/>
                <w:color w:val="000000"/>
              </w:rPr>
              <w:t xml:space="preserve">Aleksandra </w:t>
            </w:r>
            <w:proofErr w:type="spellStart"/>
            <w:r w:rsidRPr="00A272EB">
              <w:rPr>
                <w:rFonts w:ascii="Times New Roman" w:hAnsi="Times New Roman"/>
                <w:color w:val="000000"/>
              </w:rPr>
              <w:t>Ostapiuk</w:t>
            </w:r>
            <w:proofErr w:type="spellEnd"/>
            <w:r w:rsidRPr="00A272EB">
              <w:rPr>
                <w:rFonts w:ascii="Times New Roman" w:hAnsi="Times New Roman"/>
                <w:color w:val="000000"/>
              </w:rPr>
              <w:t>-Dyrektor Departamentu Prawnego</w:t>
            </w:r>
          </w:p>
          <w:p w:rsidR="005C0069" w:rsidRPr="00BE14D6" w:rsidRDefault="00A272EB" w:rsidP="006B1E25">
            <w:pPr>
              <w:spacing w:line="240" w:lineRule="auto"/>
              <w:ind w:left="60"/>
              <w:rPr>
                <w:rFonts w:ascii="Times New Roman" w:hAnsi="Times New Roman"/>
                <w:lang w:val="en-GB"/>
              </w:rPr>
            </w:pPr>
            <w:r w:rsidRPr="00BE14D6">
              <w:rPr>
                <w:rFonts w:ascii="Times New Roman" w:hAnsi="Times New Roman"/>
                <w:color w:val="000000"/>
                <w:lang w:val="en-GB"/>
              </w:rPr>
              <w:t xml:space="preserve">tel.694-38-17, </w:t>
            </w:r>
            <w:hyperlink r:id="rId8" w:history="1">
              <w:r w:rsidR="006B1E25" w:rsidRPr="00BE14D6">
                <w:rPr>
                  <w:rStyle w:val="Hipercze"/>
                  <w:rFonts w:ascii="Times New Roman" w:hAnsi="Times New Roman"/>
                  <w:lang w:val="en-GB"/>
                </w:rPr>
                <w:t>aleksandra.ostapiuk@mf.gov.pl</w:t>
              </w:r>
            </w:hyperlink>
            <w:r w:rsidR="006B1E25" w:rsidRPr="00BE14D6">
              <w:rPr>
                <w:rFonts w:ascii="Times New Roman" w:hAnsi="Times New Roman"/>
                <w:color w:val="000000"/>
                <w:lang w:val="en-GB"/>
              </w:rPr>
              <w:t xml:space="preserve"> </w:t>
            </w:r>
          </w:p>
          <w:p w:rsidR="005C0069" w:rsidRPr="00BE14D6" w:rsidRDefault="005C0069" w:rsidP="00F5316D">
            <w:pPr>
              <w:ind w:left="60"/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153" w:type="dxa"/>
            <w:gridSpan w:val="10"/>
            <w:shd w:val="clear" w:color="auto" w:fill="FFFFFF"/>
          </w:tcPr>
          <w:p w:rsidR="00523D7A" w:rsidRDefault="00523D7A" w:rsidP="00424472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Data:</w:t>
            </w:r>
          </w:p>
          <w:p w:rsidR="00B1720E" w:rsidRPr="00523D7A" w:rsidRDefault="00A7015A" w:rsidP="00424472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  <w:r w:rsidR="0056402A">
              <w:rPr>
                <w:rFonts w:ascii="Times New Roman" w:hAnsi="Times New Roman"/>
                <w:bCs/>
                <w:color w:val="000000"/>
              </w:rPr>
              <w:t>7</w:t>
            </w:r>
            <w:r w:rsidR="00523D7A" w:rsidRPr="00523D7A">
              <w:rPr>
                <w:rFonts w:ascii="Times New Roman" w:hAnsi="Times New Roman"/>
                <w:bCs/>
                <w:color w:val="000000"/>
              </w:rPr>
              <w:t>.0</w:t>
            </w:r>
            <w:r w:rsidR="00F067F1">
              <w:rPr>
                <w:rFonts w:ascii="Times New Roman" w:hAnsi="Times New Roman"/>
                <w:bCs/>
                <w:color w:val="000000"/>
              </w:rPr>
              <w:t>9</w:t>
            </w:r>
            <w:r w:rsidR="00523D7A" w:rsidRPr="00523D7A">
              <w:rPr>
                <w:rFonts w:ascii="Times New Roman" w:hAnsi="Times New Roman"/>
                <w:bCs/>
                <w:color w:val="000000"/>
              </w:rPr>
              <w:t>.</w:t>
            </w:r>
            <w:r w:rsidR="0094240D" w:rsidRPr="00523D7A">
              <w:rPr>
                <w:rFonts w:ascii="Times New Roman" w:hAnsi="Times New Roman"/>
                <w:color w:val="000000"/>
              </w:rPr>
              <w:t>2020 r.</w:t>
            </w:r>
          </w:p>
          <w:p w:rsidR="00B1720E" w:rsidRPr="00424472" w:rsidRDefault="00B1720E" w:rsidP="00424472">
            <w:pPr>
              <w:rPr>
                <w:rFonts w:ascii="Times New Roman" w:hAnsi="Times New Roman"/>
                <w:color w:val="000000"/>
              </w:rPr>
            </w:pPr>
          </w:p>
          <w:p w:rsidR="00B1720E" w:rsidRPr="00424472" w:rsidRDefault="00B1720E" w:rsidP="00424472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24472">
              <w:rPr>
                <w:rFonts w:ascii="Times New Roman" w:hAnsi="Times New Roman"/>
                <w:b/>
                <w:bCs/>
                <w:color w:val="000000"/>
              </w:rPr>
              <w:t>Źródło:</w:t>
            </w:r>
          </w:p>
          <w:p w:rsidR="004D643B" w:rsidRDefault="00EB083A" w:rsidP="00F5316D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inicjatywa własna</w:t>
            </w:r>
          </w:p>
          <w:p w:rsidR="00EB083A" w:rsidRDefault="00EB083A" w:rsidP="00F5316D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EB083A" w:rsidRDefault="00EB083A" w:rsidP="00F5316D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EB083A" w:rsidRDefault="00EB083A" w:rsidP="00F5316D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4D643B" w:rsidRPr="00791262" w:rsidRDefault="004D643B" w:rsidP="00F5316D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791262">
              <w:rPr>
                <w:rFonts w:ascii="Times New Roman" w:hAnsi="Times New Roman"/>
                <w:b/>
                <w:bCs/>
              </w:rPr>
              <w:t>Nr w wykazie prac</w:t>
            </w:r>
          </w:p>
          <w:p w:rsidR="00791262" w:rsidRPr="00791262" w:rsidRDefault="00791262" w:rsidP="00F5316D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A701A" w:rsidRPr="00424472" w:rsidTr="00461AD7">
        <w:trPr>
          <w:trHeight w:val="142"/>
          <w:jc w:val="center"/>
        </w:trPr>
        <w:tc>
          <w:tcPr>
            <w:tcW w:w="10774" w:type="dxa"/>
            <w:gridSpan w:val="29"/>
            <w:shd w:val="clear" w:color="auto" w:fill="99CCFF"/>
          </w:tcPr>
          <w:p w:rsidR="006A701A" w:rsidRPr="00424472" w:rsidRDefault="006A701A" w:rsidP="00424472">
            <w:pPr>
              <w:ind w:left="57"/>
              <w:jc w:val="center"/>
              <w:rPr>
                <w:rFonts w:ascii="Times New Roman" w:hAnsi="Times New Roman"/>
                <w:b/>
                <w:color w:val="FFFFFF"/>
              </w:rPr>
            </w:pPr>
            <w:r w:rsidRPr="00424472">
              <w:rPr>
                <w:rFonts w:ascii="Times New Roman" w:hAnsi="Times New Roman"/>
                <w:b/>
                <w:color w:val="FFFFFF"/>
                <w:sz w:val="28"/>
              </w:rPr>
              <w:t>OCENA SKUTKÓW REGULACJI</w:t>
            </w:r>
          </w:p>
        </w:tc>
      </w:tr>
      <w:tr w:rsidR="006A701A" w:rsidRPr="00424472" w:rsidTr="00461AD7">
        <w:trPr>
          <w:trHeight w:val="333"/>
          <w:jc w:val="center"/>
        </w:trPr>
        <w:tc>
          <w:tcPr>
            <w:tcW w:w="10774" w:type="dxa"/>
            <w:gridSpan w:val="29"/>
            <w:shd w:val="clear" w:color="auto" w:fill="99CCFF"/>
            <w:vAlign w:val="center"/>
          </w:tcPr>
          <w:p w:rsidR="006A701A" w:rsidRPr="00424472" w:rsidRDefault="003D12F6" w:rsidP="00424472">
            <w:pPr>
              <w:numPr>
                <w:ilvl w:val="0"/>
                <w:numId w:val="1"/>
              </w:numPr>
              <w:spacing w:before="60" w:after="60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424472">
              <w:rPr>
                <w:rFonts w:ascii="Times New Roman" w:hAnsi="Times New Roman"/>
                <w:b/>
              </w:rPr>
              <w:t xml:space="preserve">Jaki problem jest </w:t>
            </w:r>
            <w:r w:rsidR="00CC6305" w:rsidRPr="00424472">
              <w:rPr>
                <w:rFonts w:ascii="Times New Roman" w:hAnsi="Times New Roman"/>
                <w:b/>
              </w:rPr>
              <w:t>rozwiązywany?</w:t>
            </w:r>
            <w:bookmarkStart w:id="2" w:name="Wybór1"/>
            <w:bookmarkEnd w:id="2"/>
          </w:p>
        </w:tc>
      </w:tr>
      <w:tr w:rsidR="006A701A" w:rsidRPr="00424472" w:rsidTr="00FB4CB0">
        <w:tblPrEx>
          <w:tblCellMar>
            <w:left w:w="70" w:type="dxa"/>
            <w:right w:w="70" w:type="dxa"/>
          </w:tblCellMar>
        </w:tblPrEx>
        <w:trPr>
          <w:trHeight w:val="142"/>
          <w:jc w:val="center"/>
        </w:trPr>
        <w:tc>
          <w:tcPr>
            <w:tcW w:w="10774" w:type="dxa"/>
            <w:gridSpan w:val="29"/>
            <w:shd w:val="clear" w:color="auto" w:fill="FFFFFF"/>
          </w:tcPr>
          <w:p w:rsidR="00FB4CB0" w:rsidRDefault="0056402A" w:rsidP="000A4227">
            <w:pPr>
              <w:spacing w:before="120" w:after="120" w:line="240" w:lineRule="auto"/>
              <w:jc w:val="both"/>
              <w:rPr>
                <w:rFonts w:ascii="Times New Roman" w:hAnsi="Times New Roman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0288" behindDoc="0" locked="0" layoutInCell="1" allowOverlap="1" wp14:anchorId="3EE6AB87" wp14:editId="5BEEA672">
                  <wp:simplePos x="0" y="0"/>
                  <wp:positionH relativeFrom="column">
                    <wp:posOffset>942975</wp:posOffset>
                  </wp:positionH>
                  <wp:positionV relativeFrom="paragraph">
                    <wp:posOffset>605790</wp:posOffset>
                  </wp:positionV>
                  <wp:extent cx="4781550" cy="2766060"/>
                  <wp:effectExtent l="0" t="0" r="0" b="15240"/>
                  <wp:wrapSquare wrapText="bothSides"/>
                  <wp:docPr id="2" name="Wykres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anchor>
              </w:drawing>
            </w:r>
            <w:r w:rsidR="00E71360">
              <w:rPr>
                <w:rFonts w:ascii="Times New Roman" w:hAnsi="Times New Roman"/>
                <w:lang w:eastAsia="pl-PL"/>
              </w:rPr>
              <w:t>W ciągu ostatnich lat</w:t>
            </w:r>
            <w:r w:rsidR="00062F22" w:rsidRPr="00062F22">
              <w:rPr>
                <w:rFonts w:ascii="Times New Roman" w:hAnsi="Times New Roman"/>
                <w:lang w:eastAsia="pl-PL"/>
              </w:rPr>
              <w:t xml:space="preserve"> </w:t>
            </w:r>
            <w:r w:rsidR="00772A01">
              <w:rPr>
                <w:rFonts w:ascii="Times New Roman" w:hAnsi="Times New Roman"/>
                <w:lang w:eastAsia="pl-PL"/>
              </w:rPr>
              <w:t>instytucje</w:t>
            </w:r>
            <w:r w:rsidR="00062F22" w:rsidRPr="00062F22">
              <w:rPr>
                <w:rFonts w:ascii="Times New Roman" w:hAnsi="Times New Roman"/>
                <w:lang w:eastAsia="pl-PL"/>
              </w:rPr>
              <w:t xml:space="preserve"> odpowiedzialne za ochronę interesów konsumentów w państwach członkowskich Unii</w:t>
            </w:r>
            <w:r w:rsidR="00772A01">
              <w:rPr>
                <w:rFonts w:ascii="Times New Roman" w:hAnsi="Times New Roman"/>
                <w:lang w:eastAsia="pl-PL"/>
              </w:rPr>
              <w:t xml:space="preserve"> Europejskiej</w:t>
            </w:r>
            <w:r w:rsidR="00062F22" w:rsidRPr="00062F22">
              <w:rPr>
                <w:rFonts w:ascii="Times New Roman" w:hAnsi="Times New Roman"/>
                <w:lang w:eastAsia="pl-PL"/>
              </w:rPr>
              <w:t xml:space="preserve"> </w:t>
            </w:r>
            <w:r w:rsidR="00AB079F">
              <w:rPr>
                <w:rFonts w:ascii="Times New Roman" w:hAnsi="Times New Roman"/>
                <w:lang w:eastAsia="pl-PL"/>
              </w:rPr>
              <w:t>odnotowują istotny udział</w:t>
            </w:r>
            <w:r w:rsidR="00062F22" w:rsidRPr="00062F22">
              <w:rPr>
                <w:rFonts w:ascii="Times New Roman" w:hAnsi="Times New Roman"/>
                <w:lang w:eastAsia="pl-PL"/>
              </w:rPr>
              <w:t xml:space="preserve"> </w:t>
            </w:r>
            <w:r w:rsidR="001B0BF1">
              <w:rPr>
                <w:rFonts w:ascii="Times New Roman" w:hAnsi="Times New Roman"/>
                <w:lang w:eastAsia="pl-PL"/>
              </w:rPr>
              <w:t>skarg</w:t>
            </w:r>
            <w:r w:rsidR="00772A01">
              <w:rPr>
                <w:rFonts w:ascii="Times New Roman" w:hAnsi="Times New Roman"/>
                <w:lang w:eastAsia="pl-PL"/>
              </w:rPr>
              <w:t>,</w:t>
            </w:r>
            <w:r w:rsidR="00AB079F">
              <w:rPr>
                <w:rFonts w:ascii="Times New Roman" w:hAnsi="Times New Roman"/>
                <w:lang w:eastAsia="pl-PL"/>
              </w:rPr>
              <w:t xml:space="preserve"> zawiadomień i sygnałów</w:t>
            </w:r>
            <w:r w:rsidR="00A44B91">
              <w:rPr>
                <w:rFonts w:ascii="Times New Roman" w:hAnsi="Times New Roman"/>
                <w:lang w:eastAsia="pl-PL"/>
              </w:rPr>
              <w:t>,</w:t>
            </w:r>
            <w:r w:rsidR="00AB079F" w:rsidRPr="00062F22">
              <w:rPr>
                <w:rFonts w:ascii="Times New Roman" w:hAnsi="Times New Roman"/>
                <w:lang w:eastAsia="pl-PL"/>
              </w:rPr>
              <w:t xml:space="preserve"> </w:t>
            </w:r>
            <w:r w:rsidR="00062F22" w:rsidRPr="00062F22">
              <w:rPr>
                <w:rFonts w:ascii="Times New Roman" w:hAnsi="Times New Roman"/>
                <w:lang w:eastAsia="pl-PL"/>
              </w:rPr>
              <w:t xml:space="preserve">związanych </w:t>
            </w:r>
            <w:r w:rsidR="001B0BF1">
              <w:rPr>
                <w:rFonts w:ascii="Times New Roman" w:hAnsi="Times New Roman"/>
                <w:lang w:eastAsia="pl-PL"/>
              </w:rPr>
              <w:t>z naruszeniami praw konsumentów</w:t>
            </w:r>
            <w:r w:rsidR="00AB079F">
              <w:rPr>
                <w:rFonts w:ascii="Times New Roman" w:hAnsi="Times New Roman"/>
                <w:lang w:eastAsia="pl-PL"/>
              </w:rPr>
              <w:t xml:space="preserve"> na rynkach usług finansowych</w:t>
            </w:r>
            <w:r w:rsidR="00FB4CB0">
              <w:rPr>
                <w:rFonts w:ascii="Times New Roman" w:hAnsi="Times New Roman"/>
                <w:lang w:eastAsia="pl-PL"/>
              </w:rPr>
              <w:t>.</w:t>
            </w:r>
          </w:p>
          <w:p w:rsidR="00FB4CB0" w:rsidRDefault="00FB4CB0" w:rsidP="00062F22">
            <w:pPr>
              <w:spacing w:before="120" w:after="12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FB4CB0" w:rsidRDefault="00FB4CB0" w:rsidP="00062F22">
            <w:pPr>
              <w:spacing w:before="120" w:after="12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FB4CB0" w:rsidRDefault="00FB4CB0" w:rsidP="00062F22">
            <w:pPr>
              <w:spacing w:before="120" w:after="12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FB4CB0" w:rsidRDefault="00FB4CB0" w:rsidP="00062F22">
            <w:pPr>
              <w:spacing w:before="120" w:after="12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FB4CB0" w:rsidRDefault="00FB4CB0" w:rsidP="00062F22">
            <w:pPr>
              <w:spacing w:before="120" w:after="12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FB4CB0" w:rsidRDefault="00FB4CB0" w:rsidP="00062F22">
            <w:pPr>
              <w:spacing w:before="120" w:after="12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FB4CB0" w:rsidRDefault="00FB4CB0" w:rsidP="00062F22">
            <w:pPr>
              <w:spacing w:before="120" w:after="12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FB4CB0" w:rsidRDefault="00FB4CB0" w:rsidP="00062F22">
            <w:pPr>
              <w:spacing w:before="120" w:after="12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FB4CB0" w:rsidRDefault="00FB4CB0" w:rsidP="00062F22">
            <w:pPr>
              <w:spacing w:before="120" w:after="12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062F22" w:rsidRPr="00062F22" w:rsidRDefault="00FB4CB0" w:rsidP="000A4227">
            <w:pPr>
              <w:spacing w:before="120" w:after="120" w:line="240" w:lineRule="auto"/>
              <w:jc w:val="both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Z</w:t>
            </w:r>
            <w:r w:rsidR="00772A01">
              <w:rPr>
                <w:rFonts w:ascii="Times New Roman" w:hAnsi="Times New Roman"/>
                <w:lang w:eastAsia="pl-PL"/>
              </w:rPr>
              <w:t>właszcza</w:t>
            </w:r>
            <w:r w:rsidR="00062F22" w:rsidRPr="00062F22">
              <w:rPr>
                <w:rFonts w:ascii="Times New Roman" w:hAnsi="Times New Roman"/>
                <w:lang w:eastAsia="pl-PL"/>
              </w:rPr>
              <w:t xml:space="preserve"> w sytuacjach kryzysowych, skuteczna, szybka i celowa interwencja, mająca na cele zapobieganie oraz usuwanie zaistniałych naruszeń praw konsumentów, ma kluczowe znaczenie dla bezpieczeństwa obrotu i budowania zaufania obywateli do państwa.</w:t>
            </w:r>
          </w:p>
          <w:p w:rsidR="00062F22" w:rsidRPr="00062F22" w:rsidRDefault="00062F22" w:rsidP="000A4227">
            <w:pPr>
              <w:spacing w:before="120" w:after="120"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062F22">
              <w:rPr>
                <w:rFonts w:ascii="Times New Roman" w:hAnsi="Times New Roman"/>
                <w:lang w:eastAsia="pl-PL"/>
              </w:rPr>
              <w:t xml:space="preserve">Skuteczna i efektywna ochrona konsumentów </w:t>
            </w:r>
            <w:r w:rsidR="00A44B91">
              <w:rPr>
                <w:rFonts w:ascii="Times New Roman" w:hAnsi="Times New Roman"/>
                <w:lang w:eastAsia="pl-PL"/>
              </w:rPr>
              <w:t>jest</w:t>
            </w:r>
            <w:r w:rsidRPr="00062F22">
              <w:rPr>
                <w:rFonts w:ascii="Times New Roman" w:hAnsi="Times New Roman"/>
                <w:lang w:eastAsia="pl-PL"/>
              </w:rPr>
              <w:t xml:space="preserve"> szczególnie istotn</w:t>
            </w:r>
            <w:r w:rsidR="00A44B91">
              <w:rPr>
                <w:rFonts w:ascii="Times New Roman" w:hAnsi="Times New Roman"/>
                <w:lang w:eastAsia="pl-PL"/>
              </w:rPr>
              <w:t xml:space="preserve">a </w:t>
            </w:r>
            <w:r w:rsidRPr="00062F22">
              <w:rPr>
                <w:rFonts w:ascii="Times New Roman" w:hAnsi="Times New Roman"/>
                <w:lang w:eastAsia="pl-PL"/>
              </w:rPr>
              <w:t>dla funkcjonowania rynku usług finansowych, który  wiąż się ze zwiększonym ryzykiem dla konsumentów. Produkty na nim oferowane cechuje nie rzadko nie tylko wysoki poziom skomplikowania, ale</w:t>
            </w:r>
            <w:r w:rsidR="00036478">
              <w:rPr>
                <w:rFonts w:ascii="Times New Roman" w:hAnsi="Times New Roman"/>
                <w:lang w:eastAsia="pl-PL"/>
              </w:rPr>
              <w:t xml:space="preserve"> też</w:t>
            </w:r>
            <w:r w:rsidRPr="00062F22">
              <w:rPr>
                <w:rFonts w:ascii="Times New Roman" w:hAnsi="Times New Roman"/>
                <w:lang w:eastAsia="pl-PL"/>
              </w:rPr>
              <w:t xml:space="preserve"> ich nabycie pociąga za sobą długotrwałe zobowiązania finansowe (np. kredyty, ubezpieczenia), mające </w:t>
            </w:r>
            <w:r w:rsidR="00C33935">
              <w:rPr>
                <w:rFonts w:ascii="Times New Roman" w:hAnsi="Times New Roman"/>
                <w:lang w:eastAsia="pl-PL"/>
              </w:rPr>
              <w:t>znaczący</w:t>
            </w:r>
            <w:r w:rsidRPr="00062F22">
              <w:rPr>
                <w:rFonts w:ascii="Times New Roman" w:hAnsi="Times New Roman"/>
                <w:lang w:eastAsia="pl-PL"/>
              </w:rPr>
              <w:t xml:space="preserve"> wpływ na </w:t>
            </w:r>
            <w:r w:rsidR="00036478" w:rsidRPr="00062F22">
              <w:rPr>
                <w:rFonts w:ascii="Times New Roman" w:hAnsi="Times New Roman"/>
                <w:lang w:eastAsia="pl-PL"/>
              </w:rPr>
              <w:t>funkcjon</w:t>
            </w:r>
            <w:r w:rsidR="00C33935">
              <w:rPr>
                <w:rFonts w:ascii="Times New Roman" w:hAnsi="Times New Roman"/>
                <w:lang w:eastAsia="pl-PL"/>
              </w:rPr>
              <w:t>owanie</w:t>
            </w:r>
            <w:r w:rsidRPr="00062F22">
              <w:rPr>
                <w:rFonts w:ascii="Times New Roman" w:hAnsi="Times New Roman"/>
                <w:lang w:eastAsia="pl-PL"/>
              </w:rPr>
              <w:t xml:space="preserve"> zarówno poszczególnych konsumentów</w:t>
            </w:r>
            <w:r w:rsidR="00036478">
              <w:rPr>
                <w:rFonts w:ascii="Times New Roman" w:hAnsi="Times New Roman"/>
                <w:lang w:eastAsia="pl-PL"/>
              </w:rPr>
              <w:t>, jak i całych gospodarstw domowych</w:t>
            </w:r>
            <w:r w:rsidRPr="00062F22">
              <w:rPr>
                <w:rFonts w:ascii="Times New Roman" w:hAnsi="Times New Roman"/>
                <w:lang w:eastAsia="pl-PL"/>
              </w:rPr>
              <w:t xml:space="preserve">. </w:t>
            </w:r>
            <w:r w:rsidR="00036478">
              <w:rPr>
                <w:rFonts w:ascii="Times New Roman" w:hAnsi="Times New Roman"/>
                <w:lang w:eastAsia="pl-PL"/>
              </w:rPr>
              <w:t>Przykładowo,</w:t>
            </w:r>
            <w:r w:rsidRPr="00062F22">
              <w:rPr>
                <w:rFonts w:ascii="Times New Roman" w:hAnsi="Times New Roman"/>
                <w:lang w:eastAsia="pl-PL"/>
              </w:rPr>
              <w:t xml:space="preserve"> w ostatnich kilku latach </w:t>
            </w:r>
            <w:r w:rsidR="00036478" w:rsidRPr="00062F22">
              <w:rPr>
                <w:rFonts w:ascii="Times New Roman" w:hAnsi="Times New Roman"/>
                <w:lang w:eastAsia="pl-PL"/>
              </w:rPr>
              <w:t xml:space="preserve">można </w:t>
            </w:r>
            <w:r w:rsidRPr="00062F22">
              <w:rPr>
                <w:rFonts w:ascii="Times New Roman" w:hAnsi="Times New Roman"/>
                <w:lang w:eastAsia="pl-PL"/>
              </w:rPr>
              <w:t xml:space="preserve">zaobserwować narastanie w Polsce problemu tzw. </w:t>
            </w:r>
            <w:proofErr w:type="spellStart"/>
            <w:r w:rsidRPr="00062F22">
              <w:rPr>
                <w:rFonts w:ascii="Times New Roman" w:hAnsi="Times New Roman"/>
                <w:i/>
                <w:lang w:eastAsia="pl-PL"/>
              </w:rPr>
              <w:t>missellingu</w:t>
            </w:r>
            <w:proofErr w:type="spellEnd"/>
            <w:r w:rsidRPr="00062F22">
              <w:rPr>
                <w:rFonts w:ascii="Times New Roman" w:hAnsi="Times New Roman"/>
                <w:lang w:eastAsia="pl-PL"/>
              </w:rPr>
              <w:t xml:space="preserve">, czyli sprzedaży produktów niedopasowanych do potrzeb konsumenta. Dotyczy on w największym stopniu niektórych produktów finansowych, których stopień skomplikowania (naturalny lub celowy) wyklucza możliwości oceny ich odpowiedniości przez </w:t>
            </w:r>
            <w:r w:rsidR="00E919BD">
              <w:rPr>
                <w:rFonts w:ascii="Times New Roman" w:hAnsi="Times New Roman"/>
                <w:lang w:eastAsia="pl-PL"/>
              </w:rPr>
              <w:t>typowego</w:t>
            </w:r>
            <w:r w:rsidRPr="00062F22">
              <w:rPr>
                <w:rFonts w:ascii="Times New Roman" w:hAnsi="Times New Roman"/>
                <w:lang w:eastAsia="pl-PL"/>
              </w:rPr>
              <w:t xml:space="preserve"> konsumenta. </w:t>
            </w:r>
          </w:p>
          <w:p w:rsidR="00062F22" w:rsidRPr="00062F22" w:rsidRDefault="00062F22" w:rsidP="000A4227">
            <w:pPr>
              <w:spacing w:before="120" w:after="120"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062F22">
              <w:rPr>
                <w:rFonts w:ascii="Times New Roman" w:hAnsi="Times New Roman"/>
                <w:lang w:eastAsia="pl-PL"/>
              </w:rPr>
              <w:t xml:space="preserve">Racjonalnym oczekiwaniem klientów podmiotów rynku finansowego jest </w:t>
            </w:r>
            <w:r w:rsidR="00E919BD" w:rsidRPr="00062F22">
              <w:rPr>
                <w:rFonts w:ascii="Times New Roman" w:hAnsi="Times New Roman"/>
                <w:lang w:eastAsia="pl-PL"/>
              </w:rPr>
              <w:t>więc</w:t>
            </w:r>
            <w:r w:rsidRPr="00062F22">
              <w:rPr>
                <w:rFonts w:ascii="Times New Roman" w:hAnsi="Times New Roman"/>
                <w:lang w:eastAsia="pl-PL"/>
              </w:rPr>
              <w:t xml:space="preserve"> możliwość uzyskania szybkiej pomocy  </w:t>
            </w:r>
            <w:r w:rsidR="00416473">
              <w:rPr>
                <w:rFonts w:ascii="Times New Roman" w:hAnsi="Times New Roman"/>
                <w:lang w:eastAsia="pl-PL"/>
              </w:rPr>
              <w:br/>
            </w:r>
            <w:r w:rsidRPr="00062F22">
              <w:rPr>
                <w:rFonts w:ascii="Times New Roman" w:hAnsi="Times New Roman"/>
                <w:lang w:eastAsia="pl-PL"/>
              </w:rPr>
              <w:t>w przypadkach zaobserwowanych naruszeń prawa</w:t>
            </w:r>
            <w:r w:rsidR="00E919BD">
              <w:rPr>
                <w:rFonts w:ascii="Times New Roman" w:hAnsi="Times New Roman"/>
                <w:lang w:eastAsia="pl-PL"/>
              </w:rPr>
              <w:t>,</w:t>
            </w:r>
            <w:r w:rsidRPr="00062F22">
              <w:rPr>
                <w:rFonts w:ascii="Times New Roman" w:hAnsi="Times New Roman"/>
                <w:lang w:eastAsia="pl-PL"/>
              </w:rPr>
              <w:t xml:space="preserve"> tj. uzyskania nieodpłatnej pomocy i informacji prawnej, a w szczególności podjęcie przez organy państwowe działań interwencyjnych.</w:t>
            </w:r>
          </w:p>
          <w:p w:rsidR="00062F22" w:rsidRPr="00062F22" w:rsidRDefault="00062F22" w:rsidP="000A4227">
            <w:pPr>
              <w:spacing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062F22">
              <w:rPr>
                <w:rFonts w:ascii="Times New Roman" w:hAnsi="Times New Roman"/>
                <w:lang w:eastAsia="pl-PL"/>
              </w:rPr>
              <w:t xml:space="preserve">Tymczasem </w:t>
            </w:r>
            <w:r w:rsidR="00747A5E">
              <w:rPr>
                <w:rFonts w:ascii="Times New Roman" w:hAnsi="Times New Roman"/>
                <w:lang w:eastAsia="pl-PL"/>
              </w:rPr>
              <w:t xml:space="preserve">w </w:t>
            </w:r>
            <w:r w:rsidRPr="00062F22">
              <w:rPr>
                <w:rFonts w:ascii="Times New Roman" w:hAnsi="Times New Roman"/>
                <w:lang w:eastAsia="pl-PL"/>
              </w:rPr>
              <w:t xml:space="preserve">obecnym stanie prawnym system ochrony praw </w:t>
            </w:r>
            <w:r w:rsidR="00E919BD">
              <w:rPr>
                <w:rFonts w:ascii="Times New Roman" w:hAnsi="Times New Roman"/>
                <w:lang w:eastAsia="pl-PL"/>
              </w:rPr>
              <w:t>konsumentów w Polsce jest dychotomiczny</w:t>
            </w:r>
            <w:r w:rsidRPr="00062F22">
              <w:rPr>
                <w:rFonts w:ascii="Times New Roman" w:hAnsi="Times New Roman"/>
                <w:lang w:eastAsia="pl-PL"/>
              </w:rPr>
              <w:t>. Funkcjonują na nim równolegle:</w:t>
            </w:r>
          </w:p>
          <w:p w:rsidR="00062F22" w:rsidRPr="00062F22" w:rsidRDefault="00062F22" w:rsidP="000A4227">
            <w:pPr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062F22">
              <w:rPr>
                <w:rFonts w:ascii="Times New Roman" w:hAnsi="Times New Roman"/>
                <w:lang w:eastAsia="pl-PL"/>
              </w:rPr>
              <w:t>podmioty działające w interesie ogółu konsumentów (zbiorowe interesy konsumentów) takie j</w:t>
            </w:r>
            <w:r w:rsidR="005342F3">
              <w:rPr>
                <w:rFonts w:ascii="Times New Roman" w:hAnsi="Times New Roman"/>
                <w:lang w:eastAsia="pl-PL"/>
              </w:rPr>
              <w:t>ak: Komisja Nadzoru Finansowego i</w:t>
            </w:r>
            <w:r w:rsidRPr="00062F22">
              <w:rPr>
                <w:rFonts w:ascii="Times New Roman" w:hAnsi="Times New Roman"/>
                <w:lang w:eastAsia="pl-PL"/>
              </w:rPr>
              <w:t xml:space="preserve"> Urząd Och</w:t>
            </w:r>
            <w:r w:rsidR="005342F3">
              <w:rPr>
                <w:rFonts w:ascii="Times New Roman" w:hAnsi="Times New Roman"/>
                <w:lang w:eastAsia="pl-PL"/>
              </w:rPr>
              <w:t>rony Konkurencji i Konsumentów</w:t>
            </w:r>
            <w:r w:rsidR="00747A5E">
              <w:rPr>
                <w:rFonts w:ascii="Times New Roman" w:hAnsi="Times New Roman"/>
                <w:lang w:eastAsia="pl-PL"/>
              </w:rPr>
              <w:t>,</w:t>
            </w:r>
            <w:r w:rsidR="005342F3">
              <w:rPr>
                <w:rFonts w:ascii="Times New Roman" w:hAnsi="Times New Roman"/>
                <w:lang w:eastAsia="pl-PL"/>
              </w:rPr>
              <w:t xml:space="preserve"> </w:t>
            </w:r>
            <w:r w:rsidRPr="00062F22">
              <w:rPr>
                <w:rFonts w:ascii="Times New Roman" w:hAnsi="Times New Roman"/>
                <w:lang w:eastAsia="pl-PL"/>
              </w:rPr>
              <w:t>oraz</w:t>
            </w:r>
          </w:p>
          <w:p w:rsidR="00062F22" w:rsidRPr="00062F22" w:rsidRDefault="00062F22" w:rsidP="000A4227">
            <w:pPr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062F22">
              <w:rPr>
                <w:rFonts w:ascii="Times New Roman" w:hAnsi="Times New Roman"/>
                <w:lang w:eastAsia="pl-PL"/>
              </w:rPr>
              <w:t>podmioty, których celem jest występowanie w ochronie i</w:t>
            </w:r>
            <w:r w:rsidR="005342F3">
              <w:rPr>
                <w:rFonts w:ascii="Times New Roman" w:hAnsi="Times New Roman"/>
                <w:lang w:eastAsia="pl-PL"/>
              </w:rPr>
              <w:t xml:space="preserve">ndywidualnych praw konsumentów - </w:t>
            </w:r>
            <w:r w:rsidRPr="00062F22">
              <w:rPr>
                <w:rFonts w:ascii="Times New Roman" w:hAnsi="Times New Roman"/>
                <w:lang w:eastAsia="pl-PL"/>
              </w:rPr>
              <w:t>Rzecznik Finansowy oraz powiatowi i miejscy rzecznicy konsumentów.</w:t>
            </w:r>
          </w:p>
          <w:p w:rsidR="0056619B" w:rsidRDefault="00062F22" w:rsidP="000A4227">
            <w:pPr>
              <w:spacing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062F22">
              <w:rPr>
                <w:rFonts w:ascii="Times New Roman" w:hAnsi="Times New Roman"/>
                <w:lang w:eastAsia="pl-PL"/>
              </w:rPr>
              <w:lastRenderedPageBreak/>
              <w:t xml:space="preserve">Co więcej, </w:t>
            </w:r>
            <w:r w:rsidR="0056619B">
              <w:rPr>
                <w:rFonts w:ascii="Times New Roman" w:hAnsi="Times New Roman"/>
                <w:lang w:eastAsia="pl-PL"/>
              </w:rPr>
              <w:t>o</w:t>
            </w:r>
            <w:r w:rsidR="0056619B" w:rsidRPr="00CF24C6">
              <w:rPr>
                <w:rFonts w:ascii="Times New Roman" w:hAnsi="Times New Roman"/>
                <w:lang w:eastAsia="pl-PL"/>
              </w:rPr>
              <w:t xml:space="preserve">becnie znaczna część kompetencji, pozostających </w:t>
            </w:r>
            <w:r w:rsidR="00AB079F">
              <w:rPr>
                <w:rFonts w:ascii="Times New Roman" w:hAnsi="Times New Roman"/>
                <w:lang w:eastAsia="pl-PL"/>
              </w:rPr>
              <w:t xml:space="preserve">np. </w:t>
            </w:r>
            <w:r w:rsidR="0056619B" w:rsidRPr="00CF24C6">
              <w:rPr>
                <w:rFonts w:ascii="Times New Roman" w:hAnsi="Times New Roman"/>
                <w:lang w:eastAsia="pl-PL"/>
              </w:rPr>
              <w:t>w</w:t>
            </w:r>
            <w:r w:rsidR="00747A5E">
              <w:rPr>
                <w:rFonts w:ascii="Times New Roman" w:hAnsi="Times New Roman"/>
                <w:lang w:eastAsia="pl-PL"/>
              </w:rPr>
              <w:t xml:space="preserve">e właściwości Prezesa Urzędu Ochrony Konkurencji i Konsumentów jest powielana przez </w:t>
            </w:r>
            <w:r w:rsidR="0056619B" w:rsidRPr="00CF24C6">
              <w:rPr>
                <w:rFonts w:ascii="Times New Roman" w:hAnsi="Times New Roman"/>
                <w:lang w:eastAsia="pl-PL"/>
              </w:rPr>
              <w:t>Rzecznika Finansowego</w:t>
            </w:r>
            <w:r w:rsidR="00747A5E">
              <w:rPr>
                <w:rFonts w:ascii="Times New Roman" w:hAnsi="Times New Roman"/>
                <w:lang w:eastAsia="pl-PL"/>
              </w:rPr>
              <w:t xml:space="preserve">. </w:t>
            </w:r>
            <w:r w:rsidR="0056619B">
              <w:rPr>
                <w:rFonts w:ascii="Times New Roman" w:hAnsi="Times New Roman"/>
                <w:lang w:eastAsia="pl-PL"/>
              </w:rPr>
              <w:t>Należą</w:t>
            </w:r>
            <w:r w:rsidR="0056619B" w:rsidRPr="00CF24C6">
              <w:rPr>
                <w:rFonts w:ascii="Times New Roman" w:hAnsi="Times New Roman"/>
                <w:lang w:eastAsia="pl-PL"/>
              </w:rPr>
              <w:t xml:space="preserve"> do nich</w:t>
            </w:r>
            <w:r w:rsidR="00747A5E">
              <w:rPr>
                <w:rFonts w:ascii="Times New Roman" w:hAnsi="Times New Roman"/>
                <w:lang w:eastAsia="pl-PL"/>
              </w:rPr>
              <w:t xml:space="preserve"> m.in.</w:t>
            </w:r>
            <w:r w:rsidR="0056619B" w:rsidRPr="00CF24C6">
              <w:rPr>
                <w:rFonts w:ascii="Times New Roman" w:hAnsi="Times New Roman"/>
                <w:lang w:eastAsia="pl-PL"/>
              </w:rPr>
              <w:t xml:space="preserve">: </w:t>
            </w:r>
          </w:p>
          <w:p w:rsidR="0056619B" w:rsidRPr="00FA2056" w:rsidRDefault="0056619B" w:rsidP="000A4227">
            <w:pPr>
              <w:pStyle w:val="Akapitzlist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FA2056">
              <w:rPr>
                <w:rFonts w:ascii="Times New Roman" w:hAnsi="Times New Roman"/>
                <w:lang w:eastAsia="pl-PL"/>
              </w:rPr>
              <w:t>możliwość złożenia istotnego poglądu w sprawie,</w:t>
            </w:r>
          </w:p>
          <w:p w:rsidR="0056619B" w:rsidRPr="00FA2056" w:rsidRDefault="0056619B" w:rsidP="000A4227">
            <w:pPr>
              <w:pStyle w:val="Akapitzlist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FA2056">
              <w:rPr>
                <w:rFonts w:ascii="Times New Roman" w:hAnsi="Times New Roman"/>
                <w:lang w:eastAsia="pl-PL"/>
              </w:rPr>
              <w:t>opiniowanie projektów aktów prawnych, dotyczących organizacji i funkcjonowania podmiotów rynku finansowego,</w:t>
            </w:r>
          </w:p>
          <w:p w:rsidR="0056619B" w:rsidRPr="00FA2056" w:rsidRDefault="0056619B" w:rsidP="000A4227">
            <w:pPr>
              <w:pStyle w:val="Akapitzlist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FA2056">
              <w:rPr>
                <w:rFonts w:ascii="Times New Roman" w:hAnsi="Times New Roman"/>
                <w:lang w:eastAsia="pl-PL"/>
              </w:rPr>
              <w:t>informowanie właściwych organów nadzoru i kontroli o dostrzeżonych nieprawidłowościach w funkcjonowa</w:t>
            </w:r>
            <w:r w:rsidR="00820689">
              <w:rPr>
                <w:rFonts w:ascii="Times New Roman" w:hAnsi="Times New Roman"/>
                <w:lang w:eastAsia="pl-PL"/>
              </w:rPr>
              <w:t>niu podmiotów rynku finansowego,</w:t>
            </w:r>
          </w:p>
          <w:p w:rsidR="00820689" w:rsidRDefault="0056619B" w:rsidP="000A4227">
            <w:pPr>
              <w:pStyle w:val="Akapitzlist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FA2056">
              <w:rPr>
                <w:rFonts w:ascii="Times New Roman" w:hAnsi="Times New Roman"/>
                <w:lang w:eastAsia="pl-PL"/>
              </w:rPr>
              <w:t>występowanie do podmiotów rynku finansowego oraz innych podmiotów, których działalność wiąże się z rozpatrywaną sprawą, o udzielenie informacji lub wyjaśnień, udostępnienie akt oraz do</w:t>
            </w:r>
            <w:r w:rsidR="00820689">
              <w:rPr>
                <w:rFonts w:ascii="Times New Roman" w:hAnsi="Times New Roman"/>
                <w:lang w:eastAsia="pl-PL"/>
              </w:rPr>
              <w:t>kumentów,</w:t>
            </w:r>
          </w:p>
          <w:p w:rsidR="00062F22" w:rsidRPr="00820689" w:rsidRDefault="0056619B" w:rsidP="000A4227">
            <w:pPr>
              <w:pStyle w:val="Akapitzlist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820689">
              <w:rPr>
                <w:rFonts w:ascii="Times New Roman" w:hAnsi="Times New Roman"/>
                <w:lang w:eastAsia="pl-PL"/>
              </w:rPr>
              <w:t xml:space="preserve">przeprowadzanie lub zlecanie badania dotyczącego sytuacji na rynku finansowym, w szczególności ochrony interesów klientów podmiotów tego rynku </w:t>
            </w:r>
            <w:r w:rsidR="00062F22" w:rsidRPr="00820689">
              <w:rPr>
                <w:rFonts w:ascii="Times New Roman" w:hAnsi="Times New Roman"/>
                <w:lang w:eastAsia="pl-PL"/>
              </w:rPr>
              <w:t>złożenia istotnego poglądu w sprawie</w:t>
            </w:r>
            <w:r w:rsidR="00820689">
              <w:rPr>
                <w:rFonts w:ascii="Times New Roman" w:hAnsi="Times New Roman"/>
                <w:lang w:eastAsia="pl-PL"/>
              </w:rPr>
              <w:t>.</w:t>
            </w:r>
          </w:p>
          <w:p w:rsidR="00062F22" w:rsidRPr="00062F22" w:rsidRDefault="00062F22" w:rsidP="000A4227">
            <w:pPr>
              <w:spacing w:before="120" w:after="120"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062F22">
              <w:rPr>
                <w:rFonts w:ascii="Times New Roman" w:hAnsi="Times New Roman"/>
                <w:lang w:eastAsia="pl-PL"/>
              </w:rPr>
              <w:t>Z raportu Najwyższej Izby Kontroli z 8 kwietnia 2013 r. dotyczącego funkcjonowania systemu ochrony praw klientów podmiotów rynku finansowego wynika, że główną przyczyną problemów konsumentów z uzyskaniem niezbędnej pomocy jest rozproszenie kompetencji pomiędzy poszczególnymi organami i instytucjami</w:t>
            </w:r>
            <w:r w:rsidR="00484A92">
              <w:rPr>
                <w:rFonts w:ascii="Times New Roman" w:hAnsi="Times New Roman"/>
                <w:lang w:eastAsia="pl-PL"/>
              </w:rPr>
              <w:t>,</w:t>
            </w:r>
            <w:r w:rsidRPr="00062F22">
              <w:rPr>
                <w:rFonts w:ascii="Times New Roman" w:hAnsi="Times New Roman"/>
                <w:lang w:eastAsia="pl-PL"/>
              </w:rPr>
              <w:t xml:space="preserve"> odpowiedzialnymi za ochronę konsumentów. Konsumenci często zwracają się o wsparcie w sprawach indywidualnych do organów działających </w:t>
            </w:r>
            <w:r w:rsidR="003E5795">
              <w:rPr>
                <w:rFonts w:ascii="Times New Roman" w:hAnsi="Times New Roman"/>
                <w:lang w:eastAsia="pl-PL"/>
              </w:rPr>
              <w:br/>
            </w:r>
            <w:r w:rsidRPr="00062F22">
              <w:rPr>
                <w:rFonts w:ascii="Times New Roman" w:hAnsi="Times New Roman"/>
                <w:lang w:eastAsia="pl-PL"/>
              </w:rPr>
              <w:t>w interesie publicznym (UOKiK, KNF), które</w:t>
            </w:r>
            <w:r w:rsidR="003E5795">
              <w:rPr>
                <w:rFonts w:ascii="Times New Roman" w:hAnsi="Times New Roman"/>
                <w:lang w:eastAsia="pl-PL"/>
              </w:rPr>
              <w:t>,</w:t>
            </w:r>
            <w:r w:rsidRPr="00062F22">
              <w:rPr>
                <w:rFonts w:ascii="Times New Roman" w:hAnsi="Times New Roman"/>
                <w:lang w:eastAsia="pl-PL"/>
              </w:rPr>
              <w:t xml:space="preserve"> z uwagi na ograniczenia prawne</w:t>
            </w:r>
            <w:r w:rsidR="003E5795">
              <w:rPr>
                <w:rFonts w:ascii="Times New Roman" w:hAnsi="Times New Roman"/>
                <w:lang w:eastAsia="pl-PL"/>
              </w:rPr>
              <w:t>,</w:t>
            </w:r>
            <w:r w:rsidRPr="00062F22">
              <w:rPr>
                <w:rFonts w:ascii="Times New Roman" w:hAnsi="Times New Roman"/>
                <w:lang w:eastAsia="pl-PL"/>
              </w:rPr>
              <w:t xml:space="preserve"> nie mogą udzielić im oczekiwanej pomocy. </w:t>
            </w:r>
          </w:p>
          <w:p w:rsidR="00AA383D" w:rsidRPr="00233937" w:rsidRDefault="00A873E4" w:rsidP="000A4227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pl-PL"/>
              </w:rPr>
              <w:t>Mając na uwadze powyższe,</w:t>
            </w:r>
            <w:r w:rsidR="00062F22" w:rsidRPr="00062F22">
              <w:rPr>
                <w:rFonts w:ascii="Times New Roman" w:hAnsi="Times New Roman"/>
                <w:lang w:eastAsia="pl-PL"/>
              </w:rPr>
              <w:t xml:space="preserve"> konieczne jest zwiększenie skuteczności i efektywności systemu ochrony konsumenta rynku finansowego, do czego przyczyni się konsolidacja wykorzystywanych w tym celu narzędzi, w jednym, sprawnie działającym organie</w:t>
            </w:r>
            <w:r w:rsidR="00747A5E">
              <w:rPr>
                <w:rFonts w:ascii="Times New Roman" w:hAnsi="Times New Roman"/>
                <w:lang w:eastAsia="pl-PL"/>
              </w:rPr>
              <w:t xml:space="preserve"> o szerokim zakresie właściwości.</w:t>
            </w:r>
            <w:r w:rsidR="00062F22" w:rsidRPr="00062F22">
              <w:rPr>
                <w:rFonts w:ascii="Times New Roman" w:hAnsi="Times New Roman"/>
                <w:lang w:eastAsia="pl-PL"/>
              </w:rPr>
              <w:t xml:space="preserve"> </w:t>
            </w:r>
            <w:r w:rsidR="0090298A" w:rsidRPr="0090298A">
              <w:rPr>
                <w:rFonts w:ascii="Times New Roman" w:hAnsi="Times New Roman"/>
              </w:rPr>
              <w:t>Ponadto połączenie w ramach jednego organu zadań w zakresie ochrony interesów konsumentów na rynku finansowym pozwoli na prowadzenie spójnej i skutecznej kampanii informacyjnej dotyczących praw klientów rynku finansowego, a co za tym idzie zwiększenie jej skuteczności</w:t>
            </w:r>
            <w:r w:rsidR="009029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6A701A" w:rsidRPr="00424472" w:rsidTr="00461AD7">
        <w:trPr>
          <w:trHeight w:val="142"/>
          <w:jc w:val="center"/>
        </w:trPr>
        <w:tc>
          <w:tcPr>
            <w:tcW w:w="10774" w:type="dxa"/>
            <w:gridSpan w:val="29"/>
            <w:shd w:val="clear" w:color="auto" w:fill="99CCFF"/>
            <w:vAlign w:val="center"/>
          </w:tcPr>
          <w:p w:rsidR="006A701A" w:rsidRPr="00424472" w:rsidRDefault="0013216E" w:rsidP="00424472">
            <w:pPr>
              <w:numPr>
                <w:ilvl w:val="0"/>
                <w:numId w:val="1"/>
              </w:numPr>
              <w:spacing w:before="60" w:after="60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424472">
              <w:rPr>
                <w:rFonts w:ascii="Times New Roman" w:hAnsi="Times New Roman"/>
                <w:b/>
                <w:color w:val="000000"/>
                <w:spacing w:val="-2"/>
              </w:rPr>
              <w:lastRenderedPageBreak/>
              <w:t>Rekomendowane rozwiązanie, w tym planowane narzędzia interwencji, i oczekiwany efekt</w:t>
            </w:r>
          </w:p>
        </w:tc>
      </w:tr>
      <w:tr w:rsidR="00626B6F" w:rsidRPr="00424472" w:rsidTr="00461AD7">
        <w:trPr>
          <w:trHeight w:val="142"/>
          <w:jc w:val="center"/>
        </w:trPr>
        <w:tc>
          <w:tcPr>
            <w:tcW w:w="10774" w:type="dxa"/>
            <w:gridSpan w:val="29"/>
            <w:shd w:val="clear" w:color="auto" w:fill="auto"/>
            <w:vAlign w:val="center"/>
          </w:tcPr>
          <w:p w:rsidR="00553EBB" w:rsidRPr="007929EE" w:rsidRDefault="00683BDA" w:rsidP="000A4227">
            <w:pPr>
              <w:spacing w:before="120" w:after="120" w:line="240" w:lineRule="auto"/>
              <w:jc w:val="both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Przedmiotowy projekt ma na</w:t>
            </w:r>
            <w:r w:rsidR="00C850F9">
              <w:rPr>
                <w:rFonts w:ascii="Times New Roman" w:hAnsi="Times New Roman"/>
                <w:lang w:eastAsia="pl-PL"/>
              </w:rPr>
              <w:t xml:space="preserve"> celu</w:t>
            </w:r>
            <w:r>
              <w:rPr>
                <w:rFonts w:ascii="Times New Roman" w:hAnsi="Times New Roman"/>
                <w:lang w:eastAsia="pl-PL"/>
              </w:rPr>
              <w:t xml:space="preserve"> </w:t>
            </w:r>
            <w:r w:rsidR="00553EBB" w:rsidRPr="007929EE">
              <w:rPr>
                <w:rFonts w:ascii="Times New Roman" w:hAnsi="Times New Roman"/>
                <w:lang w:eastAsia="pl-PL"/>
              </w:rPr>
              <w:t>zwiększenie efektywności w zakresie ochro</w:t>
            </w:r>
            <w:r w:rsidR="00C850F9">
              <w:rPr>
                <w:rFonts w:ascii="Times New Roman" w:hAnsi="Times New Roman"/>
                <w:lang w:eastAsia="pl-PL"/>
              </w:rPr>
              <w:t xml:space="preserve">ny, </w:t>
            </w:r>
            <w:r w:rsidR="00C850F9" w:rsidRPr="007929EE">
              <w:rPr>
                <w:rFonts w:ascii="Times New Roman" w:hAnsi="Times New Roman"/>
                <w:lang w:eastAsia="pl-PL"/>
              </w:rPr>
              <w:t xml:space="preserve">zarówno w zakresie zbiorowych, jak </w:t>
            </w:r>
            <w:r w:rsidR="007B6EAF">
              <w:rPr>
                <w:rFonts w:ascii="Times New Roman" w:hAnsi="Times New Roman"/>
                <w:lang w:eastAsia="pl-PL"/>
              </w:rPr>
              <w:br/>
            </w:r>
            <w:r w:rsidR="00C850F9" w:rsidRPr="007929EE">
              <w:rPr>
                <w:rFonts w:ascii="Times New Roman" w:hAnsi="Times New Roman"/>
                <w:lang w:eastAsia="pl-PL"/>
              </w:rPr>
              <w:t>i indywidualnych</w:t>
            </w:r>
            <w:r w:rsidR="00C850F9">
              <w:rPr>
                <w:rFonts w:ascii="Times New Roman" w:hAnsi="Times New Roman"/>
                <w:lang w:eastAsia="pl-PL"/>
              </w:rPr>
              <w:t>, interesów</w:t>
            </w:r>
            <w:r w:rsidR="00C850F9" w:rsidRPr="007929EE">
              <w:rPr>
                <w:rFonts w:ascii="Times New Roman" w:hAnsi="Times New Roman"/>
                <w:lang w:eastAsia="pl-PL"/>
              </w:rPr>
              <w:t xml:space="preserve"> </w:t>
            </w:r>
            <w:r w:rsidR="00553EBB" w:rsidRPr="007929EE">
              <w:rPr>
                <w:rFonts w:ascii="Times New Roman" w:hAnsi="Times New Roman"/>
                <w:lang w:eastAsia="pl-PL"/>
              </w:rPr>
              <w:t>klientów</w:t>
            </w:r>
            <w:r w:rsidR="00C850F9">
              <w:rPr>
                <w:rFonts w:ascii="Times New Roman" w:hAnsi="Times New Roman"/>
                <w:lang w:eastAsia="pl-PL"/>
              </w:rPr>
              <w:t xml:space="preserve"> podmiotów</w:t>
            </w:r>
            <w:r w:rsidR="00553EBB" w:rsidRPr="007929EE">
              <w:rPr>
                <w:rFonts w:ascii="Times New Roman" w:hAnsi="Times New Roman"/>
                <w:lang w:eastAsia="pl-PL"/>
              </w:rPr>
              <w:t xml:space="preserve"> rynku finansowego, poprzez </w:t>
            </w:r>
            <w:r>
              <w:rPr>
                <w:rFonts w:ascii="Times New Roman" w:hAnsi="Times New Roman"/>
                <w:lang w:eastAsia="pl-PL"/>
              </w:rPr>
              <w:t>zintegrowanie</w:t>
            </w:r>
            <w:r w:rsidR="00553EBB" w:rsidRPr="007929EE">
              <w:rPr>
                <w:rFonts w:ascii="Times New Roman" w:hAnsi="Times New Roman"/>
                <w:lang w:eastAsia="pl-PL"/>
              </w:rPr>
              <w:t xml:space="preserve"> organów właściwych </w:t>
            </w:r>
            <w:r w:rsidR="00152603">
              <w:rPr>
                <w:rFonts w:ascii="Times New Roman" w:hAnsi="Times New Roman"/>
                <w:lang w:eastAsia="pl-PL"/>
              </w:rPr>
              <w:br/>
            </w:r>
            <w:r w:rsidR="00553EBB" w:rsidRPr="007929EE">
              <w:rPr>
                <w:rFonts w:ascii="Times New Roman" w:hAnsi="Times New Roman"/>
                <w:lang w:eastAsia="pl-PL"/>
              </w:rPr>
              <w:t>w tym obszarze</w:t>
            </w:r>
            <w:r w:rsidR="007B6EAF">
              <w:rPr>
                <w:rFonts w:ascii="Times New Roman" w:hAnsi="Times New Roman"/>
                <w:lang w:eastAsia="pl-PL"/>
              </w:rPr>
              <w:t xml:space="preserve"> i</w:t>
            </w:r>
            <w:r w:rsidR="00553EBB" w:rsidRPr="007929EE">
              <w:rPr>
                <w:rFonts w:ascii="Times New Roman" w:hAnsi="Times New Roman"/>
                <w:lang w:eastAsia="pl-PL"/>
              </w:rPr>
              <w:t xml:space="preserve"> przejęcie </w:t>
            </w:r>
            <w:r w:rsidR="00E145A5" w:rsidRPr="007929EE">
              <w:rPr>
                <w:rFonts w:ascii="Times New Roman" w:hAnsi="Times New Roman"/>
                <w:lang w:eastAsia="pl-PL"/>
              </w:rPr>
              <w:t xml:space="preserve">dotychczasowych </w:t>
            </w:r>
            <w:r w:rsidR="00553EBB" w:rsidRPr="007929EE">
              <w:rPr>
                <w:rFonts w:ascii="Times New Roman" w:hAnsi="Times New Roman"/>
                <w:lang w:eastAsia="pl-PL"/>
              </w:rPr>
              <w:t xml:space="preserve">kompetencji Rzecznika Finansowego przez Prezesa Urzędu Ochrony Konkurencji i Konsumentów (dalej zwanego Prezesem Urzędu). </w:t>
            </w:r>
          </w:p>
          <w:p w:rsidR="00A46925" w:rsidRDefault="00CF24C6" w:rsidP="000A4227">
            <w:pPr>
              <w:spacing w:before="120" w:after="120"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CF24C6">
              <w:rPr>
                <w:rFonts w:ascii="Times New Roman" w:hAnsi="Times New Roman"/>
                <w:lang w:eastAsia="pl-PL"/>
              </w:rPr>
              <w:t xml:space="preserve">Projekt zakłada </w:t>
            </w:r>
            <w:r w:rsidR="00477E77">
              <w:rPr>
                <w:rFonts w:ascii="Times New Roman" w:hAnsi="Times New Roman"/>
                <w:lang w:eastAsia="pl-PL"/>
              </w:rPr>
              <w:t xml:space="preserve">przyznanie Prezesowi Urzędu </w:t>
            </w:r>
            <w:r w:rsidR="00ED7B01">
              <w:rPr>
                <w:rFonts w:ascii="Times New Roman" w:hAnsi="Times New Roman"/>
                <w:lang w:eastAsia="pl-PL"/>
              </w:rPr>
              <w:t xml:space="preserve">szeregu </w:t>
            </w:r>
            <w:r w:rsidR="00477E77">
              <w:rPr>
                <w:rFonts w:ascii="Times New Roman" w:hAnsi="Times New Roman"/>
                <w:lang w:eastAsia="pl-PL"/>
              </w:rPr>
              <w:t>nowych kompetencji</w:t>
            </w:r>
            <w:r w:rsidRPr="00CF24C6">
              <w:rPr>
                <w:rFonts w:ascii="Times New Roman" w:hAnsi="Times New Roman"/>
                <w:lang w:eastAsia="pl-PL"/>
              </w:rPr>
              <w:t>,</w:t>
            </w:r>
            <w:r w:rsidR="00ED7B01">
              <w:rPr>
                <w:rFonts w:ascii="Times New Roman" w:hAnsi="Times New Roman"/>
                <w:lang w:eastAsia="pl-PL"/>
              </w:rPr>
              <w:t xml:space="preserve"> dotyczących ochrony klientów podmiotów rynku finansowego, </w:t>
            </w:r>
            <w:r w:rsidR="00A60914">
              <w:rPr>
                <w:rFonts w:ascii="Times New Roman" w:hAnsi="Times New Roman"/>
                <w:lang w:eastAsia="pl-PL"/>
              </w:rPr>
              <w:t>obejmujących przede wszystkim</w:t>
            </w:r>
            <w:r w:rsidRPr="00CF24C6">
              <w:rPr>
                <w:rFonts w:ascii="Times New Roman" w:hAnsi="Times New Roman"/>
                <w:lang w:eastAsia="pl-PL"/>
              </w:rPr>
              <w:t xml:space="preserve"> </w:t>
            </w:r>
            <w:r w:rsidR="00A60914">
              <w:rPr>
                <w:rFonts w:ascii="Times New Roman" w:hAnsi="Times New Roman"/>
                <w:lang w:eastAsia="pl-PL"/>
              </w:rPr>
              <w:t>możliwość podejmowania</w:t>
            </w:r>
            <w:r w:rsidRPr="00CF24C6">
              <w:rPr>
                <w:rFonts w:ascii="Times New Roman" w:hAnsi="Times New Roman"/>
                <w:lang w:eastAsia="pl-PL"/>
              </w:rPr>
              <w:t xml:space="preserve"> interwencji w sprawach indywidulanych</w:t>
            </w:r>
            <w:r w:rsidR="00A46925">
              <w:rPr>
                <w:rFonts w:ascii="Times New Roman" w:hAnsi="Times New Roman"/>
                <w:lang w:eastAsia="pl-PL"/>
              </w:rPr>
              <w:t>,</w:t>
            </w:r>
            <w:r w:rsidRPr="00CF24C6">
              <w:rPr>
                <w:rFonts w:ascii="Times New Roman" w:hAnsi="Times New Roman"/>
                <w:lang w:eastAsia="pl-PL"/>
              </w:rPr>
              <w:t xml:space="preserve"> wynikających ze składania reklamacji, tj. wystąpienia klienta podmiotu rynku finansowego, w którym zgłasza</w:t>
            </w:r>
            <w:r w:rsidR="00A46925">
              <w:rPr>
                <w:rFonts w:ascii="Times New Roman" w:hAnsi="Times New Roman"/>
                <w:lang w:eastAsia="pl-PL"/>
              </w:rPr>
              <w:t xml:space="preserve"> on</w:t>
            </w:r>
            <w:r w:rsidRPr="00CF24C6">
              <w:rPr>
                <w:rFonts w:ascii="Times New Roman" w:hAnsi="Times New Roman"/>
                <w:lang w:eastAsia="pl-PL"/>
              </w:rPr>
              <w:t xml:space="preserve"> zastrzeżenia</w:t>
            </w:r>
            <w:r w:rsidR="00A46925">
              <w:rPr>
                <w:rFonts w:ascii="Times New Roman" w:hAnsi="Times New Roman"/>
                <w:lang w:eastAsia="pl-PL"/>
              </w:rPr>
              <w:t>,</w:t>
            </w:r>
            <w:r w:rsidRPr="00CF24C6">
              <w:rPr>
                <w:rFonts w:ascii="Times New Roman" w:hAnsi="Times New Roman"/>
                <w:lang w:eastAsia="pl-PL"/>
              </w:rPr>
              <w:t xml:space="preserve"> dotyczące usług świadczonych przez ten podmiot. </w:t>
            </w:r>
          </w:p>
          <w:p w:rsidR="005A4893" w:rsidRDefault="00CF24C6" w:rsidP="000A4227">
            <w:pPr>
              <w:spacing w:before="120" w:after="120"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CF24C6">
              <w:rPr>
                <w:rFonts w:ascii="Times New Roman" w:hAnsi="Times New Roman"/>
                <w:lang w:eastAsia="pl-PL"/>
              </w:rPr>
              <w:t>Podstawową zaletą tego rozwiązania będzie rozszerzenie dostępnych źródeł informacji na temat naruszeń w</w:t>
            </w:r>
            <w:r w:rsidR="00A46925">
              <w:rPr>
                <w:rFonts w:ascii="Times New Roman" w:hAnsi="Times New Roman"/>
                <w:lang w:eastAsia="pl-PL"/>
              </w:rPr>
              <w:t>ystępujących na rynku finansowym</w:t>
            </w:r>
            <w:r w:rsidRPr="00CF24C6">
              <w:rPr>
                <w:rFonts w:ascii="Times New Roman" w:hAnsi="Times New Roman"/>
                <w:lang w:eastAsia="pl-PL"/>
              </w:rPr>
              <w:t xml:space="preserve">, co pozwoli na </w:t>
            </w:r>
            <w:r w:rsidR="00A46925">
              <w:rPr>
                <w:rFonts w:ascii="Times New Roman" w:hAnsi="Times New Roman"/>
                <w:lang w:eastAsia="pl-PL"/>
              </w:rPr>
              <w:t xml:space="preserve">jego </w:t>
            </w:r>
            <w:r w:rsidRPr="00CF24C6">
              <w:rPr>
                <w:rFonts w:ascii="Times New Roman" w:hAnsi="Times New Roman"/>
                <w:lang w:eastAsia="pl-PL"/>
              </w:rPr>
              <w:t xml:space="preserve">lepszy monitoring i przełoży się na zwiększenie efektywności postępowań </w:t>
            </w:r>
            <w:r w:rsidR="00416473">
              <w:rPr>
                <w:rFonts w:ascii="Times New Roman" w:hAnsi="Times New Roman"/>
                <w:lang w:eastAsia="pl-PL"/>
              </w:rPr>
              <w:br/>
            </w:r>
            <w:r w:rsidR="00A46A42">
              <w:rPr>
                <w:rFonts w:ascii="Times New Roman" w:hAnsi="Times New Roman"/>
                <w:lang w:eastAsia="pl-PL"/>
              </w:rPr>
              <w:t>w sprawach</w:t>
            </w:r>
            <w:r w:rsidRPr="00CF24C6">
              <w:rPr>
                <w:rFonts w:ascii="Times New Roman" w:hAnsi="Times New Roman"/>
                <w:lang w:eastAsia="pl-PL"/>
              </w:rPr>
              <w:t xml:space="preserve"> ochrony zbior</w:t>
            </w:r>
            <w:r w:rsidR="00A46A42">
              <w:rPr>
                <w:rFonts w:ascii="Times New Roman" w:hAnsi="Times New Roman"/>
                <w:lang w:eastAsia="pl-PL"/>
              </w:rPr>
              <w:t>owych interesów konsumentów, a także bardziej efektywne</w:t>
            </w:r>
            <w:r w:rsidRPr="00CF24C6">
              <w:rPr>
                <w:rFonts w:ascii="Times New Roman" w:hAnsi="Times New Roman"/>
                <w:lang w:eastAsia="pl-PL"/>
              </w:rPr>
              <w:t xml:space="preserve"> i </w:t>
            </w:r>
            <w:r w:rsidR="00A46A42">
              <w:rPr>
                <w:rFonts w:ascii="Times New Roman" w:hAnsi="Times New Roman"/>
                <w:lang w:eastAsia="pl-PL"/>
              </w:rPr>
              <w:t>adekwatne wykorzystywanie</w:t>
            </w:r>
            <w:r w:rsidRPr="00CF24C6">
              <w:rPr>
                <w:rFonts w:ascii="Times New Roman" w:hAnsi="Times New Roman"/>
                <w:lang w:eastAsia="pl-PL"/>
              </w:rPr>
              <w:t xml:space="preserve"> </w:t>
            </w:r>
            <w:r w:rsidR="005A4893">
              <w:rPr>
                <w:rFonts w:ascii="Times New Roman" w:hAnsi="Times New Roman"/>
                <w:lang w:eastAsia="pl-PL"/>
              </w:rPr>
              <w:t>instrumentów prawnych, którymi</w:t>
            </w:r>
            <w:r w:rsidRPr="00CF24C6">
              <w:rPr>
                <w:rFonts w:ascii="Times New Roman" w:hAnsi="Times New Roman"/>
                <w:lang w:eastAsia="pl-PL"/>
              </w:rPr>
              <w:t xml:space="preserve"> </w:t>
            </w:r>
            <w:r w:rsidR="005A4893">
              <w:rPr>
                <w:rFonts w:ascii="Times New Roman" w:hAnsi="Times New Roman"/>
                <w:lang w:eastAsia="pl-PL"/>
              </w:rPr>
              <w:t>obecnie dysponuje</w:t>
            </w:r>
            <w:r w:rsidRPr="00CF24C6">
              <w:rPr>
                <w:rFonts w:ascii="Times New Roman" w:hAnsi="Times New Roman"/>
                <w:lang w:eastAsia="pl-PL"/>
              </w:rPr>
              <w:t xml:space="preserve"> Prezes U</w:t>
            </w:r>
            <w:r w:rsidR="00CE3B03">
              <w:rPr>
                <w:rFonts w:ascii="Times New Roman" w:hAnsi="Times New Roman"/>
                <w:lang w:eastAsia="pl-PL"/>
              </w:rPr>
              <w:t>rzędu</w:t>
            </w:r>
            <w:r w:rsidRPr="00CF24C6">
              <w:rPr>
                <w:rFonts w:ascii="Times New Roman" w:hAnsi="Times New Roman"/>
                <w:lang w:eastAsia="pl-PL"/>
              </w:rPr>
              <w:t xml:space="preserve">. </w:t>
            </w:r>
          </w:p>
          <w:p w:rsidR="002F31F0" w:rsidRDefault="002F31F0" w:rsidP="000A4227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Ponadto z</w:t>
            </w:r>
            <w:r w:rsidRPr="002F31F0">
              <w:rPr>
                <w:rFonts w:ascii="Times New Roman" w:hAnsi="Times New Roman"/>
                <w:bCs/>
                <w:lang w:eastAsia="pl-PL"/>
              </w:rPr>
              <w:t xml:space="preserve">godnie z projektowanymi rozwiązaniami, postępowania z zakresu pozasądowego rozpatrywania sporów prowadzić będzie Koordynator do spraw pozasądowego rozwiązywania sporów między klientem a podmiotem rynku finansowego działający przy Prezesie Urzędu. </w:t>
            </w:r>
          </w:p>
          <w:p w:rsidR="00E7005E" w:rsidRPr="00E7005E" w:rsidRDefault="00E7005E" w:rsidP="000A4227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lang w:eastAsia="pl-PL"/>
              </w:rPr>
            </w:pPr>
            <w:r w:rsidRPr="00E7005E">
              <w:rPr>
                <w:rFonts w:ascii="Times New Roman" w:hAnsi="Times New Roman"/>
                <w:bCs/>
                <w:lang w:eastAsia="pl-PL"/>
              </w:rPr>
              <w:t xml:space="preserve">Projekt przewiduje </w:t>
            </w:r>
            <w:r>
              <w:rPr>
                <w:rFonts w:ascii="Times New Roman" w:hAnsi="Times New Roman"/>
                <w:bCs/>
                <w:lang w:eastAsia="pl-PL"/>
              </w:rPr>
              <w:t xml:space="preserve">także </w:t>
            </w:r>
            <w:r w:rsidR="0015014C">
              <w:rPr>
                <w:rFonts w:ascii="Times New Roman" w:hAnsi="Times New Roman"/>
                <w:bCs/>
                <w:lang w:eastAsia="pl-PL"/>
              </w:rPr>
              <w:t>utworzenie</w:t>
            </w:r>
            <w:r w:rsidRPr="00E7005E">
              <w:rPr>
                <w:rFonts w:ascii="Times New Roman" w:hAnsi="Times New Roman"/>
                <w:bCs/>
                <w:lang w:eastAsia="pl-PL"/>
              </w:rPr>
              <w:t xml:space="preserve"> Funduszu Edukacji Finansowej</w:t>
            </w:r>
            <w:r w:rsidR="00CE3B03">
              <w:rPr>
                <w:rFonts w:ascii="Times New Roman" w:hAnsi="Times New Roman"/>
                <w:bCs/>
                <w:lang w:eastAsia="pl-PL"/>
              </w:rPr>
              <w:t xml:space="preserve"> (FEF)</w:t>
            </w:r>
            <w:r w:rsidRPr="00E7005E">
              <w:rPr>
                <w:rFonts w:ascii="Times New Roman" w:hAnsi="Times New Roman"/>
                <w:bCs/>
                <w:lang w:eastAsia="pl-PL"/>
              </w:rPr>
              <w:t>, który</w:t>
            </w:r>
            <w:r w:rsidR="0015014C">
              <w:rPr>
                <w:rFonts w:ascii="Times New Roman" w:hAnsi="Times New Roman"/>
                <w:bCs/>
                <w:lang w:eastAsia="pl-PL"/>
              </w:rPr>
              <w:t xml:space="preserve"> będzie</w:t>
            </w:r>
            <w:r w:rsidR="00467C0F">
              <w:rPr>
                <w:rFonts w:ascii="Times New Roman" w:hAnsi="Times New Roman"/>
                <w:bCs/>
                <w:lang w:eastAsia="pl-PL"/>
              </w:rPr>
              <w:t xml:space="preserve"> państwowy</w:t>
            </w:r>
            <w:r w:rsidR="0015014C">
              <w:rPr>
                <w:rFonts w:ascii="Times New Roman" w:hAnsi="Times New Roman"/>
                <w:bCs/>
                <w:lang w:eastAsia="pl-PL"/>
              </w:rPr>
              <w:t>m</w:t>
            </w:r>
            <w:r w:rsidR="00467C0F">
              <w:rPr>
                <w:rFonts w:ascii="Times New Roman" w:hAnsi="Times New Roman"/>
                <w:bCs/>
                <w:lang w:eastAsia="pl-PL"/>
              </w:rPr>
              <w:t xml:space="preserve"> fundusz</w:t>
            </w:r>
            <w:r w:rsidR="0015014C">
              <w:rPr>
                <w:rFonts w:ascii="Times New Roman" w:hAnsi="Times New Roman"/>
                <w:bCs/>
                <w:lang w:eastAsia="pl-PL"/>
              </w:rPr>
              <w:t>em</w:t>
            </w:r>
            <w:r w:rsidR="00467C0F">
              <w:rPr>
                <w:rFonts w:ascii="Times New Roman" w:hAnsi="Times New Roman"/>
                <w:bCs/>
                <w:lang w:eastAsia="pl-PL"/>
              </w:rPr>
              <w:t xml:space="preserve"> celowy</w:t>
            </w:r>
            <w:r w:rsidR="0015014C">
              <w:rPr>
                <w:rFonts w:ascii="Times New Roman" w:hAnsi="Times New Roman"/>
                <w:bCs/>
                <w:lang w:eastAsia="pl-PL"/>
              </w:rPr>
              <w:t>m. Dysponentem FEF będzie Prezes Urzędu. Zlikwidowany zostanie</w:t>
            </w:r>
            <w:r w:rsidR="00467C0F">
              <w:rPr>
                <w:rFonts w:ascii="Times New Roman" w:hAnsi="Times New Roman"/>
                <w:bCs/>
                <w:lang w:eastAsia="pl-PL"/>
              </w:rPr>
              <w:t xml:space="preserve"> </w:t>
            </w:r>
            <w:r w:rsidRPr="00E7005E">
              <w:rPr>
                <w:rFonts w:ascii="Times New Roman" w:hAnsi="Times New Roman"/>
                <w:bCs/>
                <w:lang w:eastAsia="pl-PL"/>
              </w:rPr>
              <w:t xml:space="preserve"> </w:t>
            </w:r>
            <w:r w:rsidR="0015014C">
              <w:rPr>
                <w:rFonts w:ascii="Times New Roman" w:hAnsi="Times New Roman"/>
                <w:bCs/>
                <w:lang w:eastAsia="pl-PL"/>
              </w:rPr>
              <w:t>Fundusz</w:t>
            </w:r>
            <w:r w:rsidRPr="00E7005E">
              <w:rPr>
                <w:rFonts w:ascii="Times New Roman" w:hAnsi="Times New Roman"/>
                <w:bCs/>
                <w:lang w:eastAsia="pl-PL"/>
              </w:rPr>
              <w:t xml:space="preserve"> </w:t>
            </w:r>
            <w:r w:rsidR="0015014C">
              <w:rPr>
                <w:rFonts w:ascii="Times New Roman" w:hAnsi="Times New Roman"/>
                <w:bCs/>
                <w:lang w:eastAsia="pl-PL"/>
              </w:rPr>
              <w:t>Edukacji Finansowej działający</w:t>
            </w:r>
            <w:r w:rsidRPr="00E7005E">
              <w:rPr>
                <w:rFonts w:ascii="Times New Roman" w:hAnsi="Times New Roman"/>
                <w:bCs/>
                <w:lang w:eastAsia="pl-PL"/>
              </w:rPr>
              <w:t xml:space="preserve"> na podstawie przepisów ustawy</w:t>
            </w:r>
            <w:r w:rsidR="0098537B">
              <w:rPr>
                <w:rFonts w:ascii="Times New Roman" w:hAnsi="Times New Roman"/>
                <w:bCs/>
                <w:lang w:eastAsia="pl-PL"/>
              </w:rPr>
              <w:t xml:space="preserve"> z dnia 5 sierpnia 2015 r. </w:t>
            </w:r>
            <w:r w:rsidRPr="00B77272">
              <w:rPr>
                <w:rFonts w:ascii="Times New Roman" w:hAnsi="Times New Roman"/>
                <w:bCs/>
                <w:i/>
                <w:lang w:eastAsia="pl-PL"/>
              </w:rPr>
              <w:t xml:space="preserve">o rozpatrywaniu reklamacji przez podmioty rynku finansowego </w:t>
            </w:r>
            <w:r w:rsidR="008E427B">
              <w:rPr>
                <w:rFonts w:ascii="Times New Roman" w:hAnsi="Times New Roman"/>
                <w:bCs/>
                <w:i/>
                <w:lang w:eastAsia="pl-PL"/>
              </w:rPr>
              <w:br/>
            </w:r>
            <w:r w:rsidRPr="00B77272">
              <w:rPr>
                <w:rFonts w:ascii="Times New Roman" w:hAnsi="Times New Roman"/>
                <w:bCs/>
                <w:i/>
                <w:lang w:eastAsia="pl-PL"/>
              </w:rPr>
              <w:t>i o Rzeczniku Finansowym</w:t>
            </w:r>
            <w:r w:rsidR="0098537B" w:rsidRPr="00B77272">
              <w:rPr>
                <w:rFonts w:ascii="Times New Roman" w:hAnsi="Times New Roman"/>
                <w:bCs/>
                <w:i/>
                <w:lang w:eastAsia="pl-PL"/>
              </w:rPr>
              <w:t xml:space="preserve"> </w:t>
            </w:r>
            <w:r w:rsidR="0098537B">
              <w:rPr>
                <w:rFonts w:ascii="Times New Roman" w:hAnsi="Times New Roman"/>
                <w:bCs/>
                <w:lang w:eastAsia="pl-PL"/>
              </w:rPr>
              <w:t>(</w:t>
            </w:r>
            <w:r w:rsidR="0098537B" w:rsidRPr="0098537B">
              <w:rPr>
                <w:rFonts w:ascii="Times New Roman" w:hAnsi="Times New Roman"/>
                <w:bCs/>
                <w:lang w:eastAsia="pl-PL"/>
              </w:rPr>
              <w:t>Dz. U. z 2019 r. poz. 2279</w:t>
            </w:r>
            <w:r w:rsidR="0098537B">
              <w:rPr>
                <w:rFonts w:ascii="Times New Roman" w:hAnsi="Times New Roman"/>
                <w:bCs/>
                <w:lang w:eastAsia="pl-PL"/>
              </w:rPr>
              <w:t>)</w:t>
            </w:r>
            <w:r w:rsidRPr="00E7005E">
              <w:rPr>
                <w:rFonts w:ascii="Times New Roman" w:hAnsi="Times New Roman"/>
                <w:bCs/>
                <w:lang w:eastAsia="pl-PL"/>
              </w:rPr>
              <w:t xml:space="preserve">. </w:t>
            </w:r>
            <w:r w:rsidR="00681ECE">
              <w:rPr>
                <w:rFonts w:ascii="Times New Roman" w:hAnsi="Times New Roman"/>
                <w:bCs/>
                <w:lang w:eastAsia="pl-PL"/>
              </w:rPr>
              <w:t>Dysponowanie F</w:t>
            </w:r>
            <w:r w:rsidR="0015014C">
              <w:rPr>
                <w:rFonts w:ascii="Times New Roman" w:hAnsi="Times New Roman"/>
                <w:bCs/>
                <w:lang w:eastAsia="pl-PL"/>
              </w:rPr>
              <w:t>EF</w:t>
            </w:r>
            <w:r w:rsidR="00681ECE">
              <w:rPr>
                <w:rFonts w:ascii="Times New Roman" w:hAnsi="Times New Roman"/>
                <w:bCs/>
                <w:lang w:eastAsia="pl-PL"/>
              </w:rPr>
              <w:t xml:space="preserve"> powierzone zostanie Prezesowi UOKiK. Cel, na który przeznaczane mają być </w:t>
            </w:r>
            <w:r w:rsidRPr="00E7005E">
              <w:rPr>
                <w:rFonts w:ascii="Times New Roman" w:hAnsi="Times New Roman"/>
                <w:bCs/>
                <w:lang w:eastAsia="pl-PL"/>
              </w:rPr>
              <w:t>środk</w:t>
            </w:r>
            <w:r w:rsidR="00681ECE">
              <w:rPr>
                <w:rFonts w:ascii="Times New Roman" w:hAnsi="Times New Roman"/>
                <w:bCs/>
                <w:lang w:eastAsia="pl-PL"/>
              </w:rPr>
              <w:t>i</w:t>
            </w:r>
            <w:r w:rsidRPr="00E7005E">
              <w:rPr>
                <w:rFonts w:ascii="Times New Roman" w:hAnsi="Times New Roman"/>
                <w:bCs/>
                <w:lang w:eastAsia="pl-PL"/>
              </w:rPr>
              <w:t xml:space="preserve"> F</w:t>
            </w:r>
            <w:r w:rsidR="00CE3B03">
              <w:rPr>
                <w:rFonts w:ascii="Times New Roman" w:hAnsi="Times New Roman"/>
                <w:bCs/>
                <w:lang w:eastAsia="pl-PL"/>
              </w:rPr>
              <w:t xml:space="preserve">unduszu </w:t>
            </w:r>
            <w:r w:rsidRPr="00E7005E">
              <w:rPr>
                <w:rFonts w:ascii="Times New Roman" w:hAnsi="Times New Roman"/>
                <w:bCs/>
                <w:lang w:eastAsia="pl-PL"/>
              </w:rPr>
              <w:t>E</w:t>
            </w:r>
            <w:r w:rsidR="00CE3B03">
              <w:rPr>
                <w:rFonts w:ascii="Times New Roman" w:hAnsi="Times New Roman"/>
                <w:bCs/>
                <w:lang w:eastAsia="pl-PL"/>
              </w:rPr>
              <w:t xml:space="preserve">dukacji </w:t>
            </w:r>
            <w:r w:rsidRPr="00E7005E">
              <w:rPr>
                <w:rFonts w:ascii="Times New Roman" w:hAnsi="Times New Roman"/>
                <w:bCs/>
                <w:lang w:eastAsia="pl-PL"/>
              </w:rPr>
              <w:t>F</w:t>
            </w:r>
            <w:r w:rsidR="00CE3B03">
              <w:rPr>
                <w:rFonts w:ascii="Times New Roman" w:hAnsi="Times New Roman"/>
                <w:bCs/>
                <w:lang w:eastAsia="pl-PL"/>
              </w:rPr>
              <w:t>inansowej</w:t>
            </w:r>
            <w:r w:rsidR="0015014C">
              <w:rPr>
                <w:rFonts w:ascii="Times New Roman" w:hAnsi="Times New Roman"/>
                <w:bCs/>
                <w:lang w:eastAsia="pl-PL"/>
              </w:rPr>
              <w:t>,</w:t>
            </w:r>
            <w:r w:rsidRPr="00E7005E">
              <w:rPr>
                <w:rFonts w:ascii="Times New Roman" w:hAnsi="Times New Roman"/>
                <w:bCs/>
                <w:lang w:eastAsia="pl-PL"/>
              </w:rPr>
              <w:t xml:space="preserve"> nie ulegnie zasadniczo zmianie </w:t>
            </w:r>
            <w:r w:rsidR="00416473">
              <w:rPr>
                <w:rFonts w:ascii="Times New Roman" w:hAnsi="Times New Roman"/>
                <w:bCs/>
                <w:lang w:eastAsia="pl-PL"/>
              </w:rPr>
              <w:br/>
            </w:r>
            <w:r w:rsidRPr="00E7005E">
              <w:rPr>
                <w:rFonts w:ascii="Times New Roman" w:hAnsi="Times New Roman"/>
                <w:bCs/>
                <w:lang w:eastAsia="pl-PL"/>
              </w:rPr>
              <w:t xml:space="preserve">w stosunku do stanu obecnego </w:t>
            </w:r>
            <w:r w:rsidR="009D5973">
              <w:rPr>
                <w:rFonts w:ascii="Times New Roman" w:hAnsi="Times New Roman"/>
                <w:bCs/>
                <w:lang w:eastAsia="pl-PL"/>
              </w:rPr>
              <w:t xml:space="preserve">- </w:t>
            </w:r>
            <w:r w:rsidRPr="00E7005E">
              <w:rPr>
                <w:rFonts w:ascii="Times New Roman" w:hAnsi="Times New Roman"/>
                <w:bCs/>
                <w:lang w:eastAsia="pl-PL"/>
              </w:rPr>
              <w:t>mają być</w:t>
            </w:r>
            <w:r w:rsidR="009D5973">
              <w:rPr>
                <w:rFonts w:ascii="Times New Roman" w:hAnsi="Times New Roman"/>
                <w:bCs/>
                <w:lang w:eastAsia="pl-PL"/>
              </w:rPr>
              <w:t xml:space="preserve"> one</w:t>
            </w:r>
            <w:r w:rsidRPr="00E7005E">
              <w:rPr>
                <w:rFonts w:ascii="Times New Roman" w:hAnsi="Times New Roman"/>
                <w:bCs/>
                <w:lang w:eastAsia="pl-PL"/>
              </w:rPr>
              <w:t xml:space="preserve"> przeznaczone na działania w zakresie edukacji finansowej, takie jak organizowanie kampanii edukacyjnych i informacyjnych, opracowywanie</w:t>
            </w:r>
            <w:r w:rsidR="00681ECE">
              <w:rPr>
                <w:rFonts w:ascii="Times New Roman" w:hAnsi="Times New Roman"/>
                <w:bCs/>
                <w:lang w:eastAsia="pl-PL"/>
              </w:rPr>
              <w:t xml:space="preserve"> i realizacje</w:t>
            </w:r>
            <w:r w:rsidRPr="00E7005E">
              <w:rPr>
                <w:rFonts w:ascii="Times New Roman" w:hAnsi="Times New Roman"/>
                <w:bCs/>
                <w:lang w:eastAsia="pl-PL"/>
              </w:rPr>
              <w:t xml:space="preserve"> strategii edukacji finansowej oraz programów edukacyjnych, wydawanie publikacji popularyzujących wiedzę dotyczącą funkcjonowania rynku finansowego, oraz wspieranie projektów edukacyjnych i promocyjnych z zakresu finansów i rynku finansowego.</w:t>
            </w:r>
          </w:p>
          <w:p w:rsidR="00E7005E" w:rsidRPr="00E7005E" w:rsidRDefault="00E7005E" w:rsidP="000A4227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lang w:eastAsia="pl-PL"/>
              </w:rPr>
            </w:pPr>
            <w:r w:rsidRPr="00E7005E">
              <w:rPr>
                <w:rFonts w:ascii="Times New Roman" w:hAnsi="Times New Roman"/>
                <w:bCs/>
                <w:lang w:eastAsia="pl-PL"/>
              </w:rPr>
              <w:t xml:space="preserve">Projekt zakłada, że źródła finansowania Funduszu również pozostaną niezmienione w stosunku do stanu obecnego, </w:t>
            </w:r>
            <w:r w:rsidR="009D5973">
              <w:rPr>
                <w:rFonts w:ascii="Times New Roman" w:hAnsi="Times New Roman"/>
                <w:bCs/>
                <w:lang w:eastAsia="pl-PL"/>
              </w:rPr>
              <w:br/>
            </w:r>
            <w:r w:rsidRPr="00E7005E">
              <w:rPr>
                <w:rFonts w:ascii="Times New Roman" w:hAnsi="Times New Roman"/>
                <w:bCs/>
                <w:lang w:eastAsia="pl-PL"/>
              </w:rPr>
              <w:t>z jedną różnicą – środkami Funduszu objęte będą także wpływy z tytułu kar pieniężnych nakładanych przez Prezesa U</w:t>
            </w:r>
            <w:r w:rsidR="00CE3B03">
              <w:rPr>
                <w:rFonts w:ascii="Times New Roman" w:hAnsi="Times New Roman"/>
                <w:bCs/>
                <w:lang w:eastAsia="pl-PL"/>
              </w:rPr>
              <w:t>rzędu</w:t>
            </w:r>
            <w:r w:rsidRPr="00E7005E">
              <w:rPr>
                <w:rFonts w:ascii="Times New Roman" w:hAnsi="Times New Roman"/>
                <w:bCs/>
                <w:lang w:eastAsia="pl-PL"/>
              </w:rPr>
              <w:t xml:space="preserve"> za naruszenie obowiązków</w:t>
            </w:r>
            <w:r w:rsidR="009D5973">
              <w:rPr>
                <w:rFonts w:ascii="Times New Roman" w:hAnsi="Times New Roman"/>
                <w:bCs/>
                <w:lang w:eastAsia="pl-PL"/>
              </w:rPr>
              <w:t xml:space="preserve"> związanych z procedurą reklamacyjną. </w:t>
            </w:r>
          </w:p>
          <w:p w:rsidR="00CB1D5B" w:rsidRPr="00E171DE" w:rsidRDefault="00CB1D5B" w:rsidP="000A4227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Dodatkowo, w projekcie przewidziano, ż</w:t>
            </w:r>
            <w:r w:rsidR="00681ECE">
              <w:rPr>
                <w:rFonts w:ascii="Times New Roman" w:hAnsi="Times New Roman"/>
                <w:bCs/>
                <w:lang w:eastAsia="pl-PL"/>
              </w:rPr>
              <w:t xml:space="preserve">e </w:t>
            </w:r>
            <w:r>
              <w:rPr>
                <w:rFonts w:ascii="Times New Roman" w:hAnsi="Times New Roman"/>
              </w:rPr>
              <w:t>koszty funkcjonowania systemu ochrony klientów podmiotów rynku finansowego ponoszą określone podmioty rynku finansowego</w:t>
            </w:r>
            <w:r w:rsidR="00E171DE">
              <w:rPr>
                <w:rFonts w:ascii="Times New Roman" w:hAnsi="Times New Roman"/>
              </w:rPr>
              <w:t xml:space="preserve">, analogicznie do dotychczasowych rozwiązań ustawy </w:t>
            </w:r>
            <w:r w:rsidR="00E171DE" w:rsidRPr="00B77272">
              <w:rPr>
                <w:rFonts w:ascii="Times New Roman" w:hAnsi="Times New Roman"/>
                <w:bCs/>
                <w:i/>
                <w:lang w:eastAsia="pl-PL"/>
              </w:rPr>
              <w:t>o rozpatrywaniu reklamacji przez podmioty rynku fina</w:t>
            </w:r>
            <w:r w:rsidR="00E171DE">
              <w:rPr>
                <w:rFonts w:ascii="Times New Roman" w:hAnsi="Times New Roman"/>
                <w:bCs/>
                <w:i/>
                <w:lang w:eastAsia="pl-PL"/>
              </w:rPr>
              <w:t xml:space="preserve">nsowego i o Rzeczniku Finansowym </w:t>
            </w:r>
            <w:r w:rsidR="00E171DE">
              <w:rPr>
                <w:rFonts w:ascii="Times New Roman" w:hAnsi="Times New Roman"/>
                <w:bCs/>
                <w:lang w:eastAsia="pl-PL"/>
              </w:rPr>
              <w:t xml:space="preserve">w zakresie </w:t>
            </w:r>
            <w:r w:rsidR="00E171DE">
              <w:rPr>
                <w:rFonts w:ascii="Times New Roman" w:hAnsi="Times New Roman"/>
              </w:rPr>
              <w:t>kosztów</w:t>
            </w:r>
            <w:r w:rsidR="00E171DE" w:rsidRPr="00E171DE">
              <w:rPr>
                <w:rFonts w:ascii="Times New Roman" w:hAnsi="Times New Roman"/>
              </w:rPr>
              <w:t xml:space="preserve"> działalności Rzecznika i jego Biura</w:t>
            </w:r>
            <w:r w:rsidR="00E171DE">
              <w:rPr>
                <w:rFonts w:ascii="Times New Roman" w:hAnsi="Times New Roman"/>
              </w:rPr>
              <w:t xml:space="preserve">. Katalog podmiotów rynku finansowego i wysokość uiszczanych przez nie opłat nie ulega zmianie. </w:t>
            </w:r>
          </w:p>
          <w:p w:rsidR="00855A49" w:rsidRDefault="00855A49" w:rsidP="000A4227">
            <w:pPr>
              <w:spacing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CF24C6">
              <w:rPr>
                <w:rFonts w:ascii="Times New Roman" w:hAnsi="Times New Roman"/>
                <w:lang w:eastAsia="pl-PL"/>
              </w:rPr>
              <w:lastRenderedPageBreak/>
              <w:t>Należy podkreślić, że po przejęciu zadań Rzecznika Finansowego przez Prezesa U</w:t>
            </w:r>
            <w:r w:rsidR="00CE3B03">
              <w:rPr>
                <w:rFonts w:ascii="Times New Roman" w:hAnsi="Times New Roman"/>
                <w:lang w:eastAsia="pl-PL"/>
              </w:rPr>
              <w:t>rzędu</w:t>
            </w:r>
            <w:r w:rsidRPr="00CF24C6">
              <w:rPr>
                <w:rFonts w:ascii="Times New Roman" w:hAnsi="Times New Roman"/>
                <w:lang w:eastAsia="pl-PL"/>
              </w:rPr>
              <w:t>, dzięki bardziej kompleksowej diagnozie problemów rynku, opartej na danych pozyskanych w związku z wykonywaniem tych uprawnień</w:t>
            </w:r>
            <w:r>
              <w:rPr>
                <w:rFonts w:ascii="Times New Roman" w:hAnsi="Times New Roman"/>
                <w:lang w:eastAsia="pl-PL"/>
              </w:rPr>
              <w:t>,</w:t>
            </w:r>
            <w:r w:rsidRPr="00CF24C6">
              <w:rPr>
                <w:rFonts w:ascii="Times New Roman" w:hAnsi="Times New Roman"/>
                <w:lang w:eastAsia="pl-PL"/>
              </w:rPr>
              <w:t xml:space="preserve"> narzędzia, który</w:t>
            </w:r>
            <w:r>
              <w:rPr>
                <w:rFonts w:ascii="Times New Roman" w:hAnsi="Times New Roman"/>
                <w:lang w:eastAsia="pl-PL"/>
              </w:rPr>
              <w:t xml:space="preserve">mi dysponuje Prezes Urzędu, służące ochronie </w:t>
            </w:r>
            <w:r w:rsidRPr="00CF24C6">
              <w:rPr>
                <w:rFonts w:ascii="Times New Roman" w:hAnsi="Times New Roman"/>
                <w:lang w:eastAsia="pl-PL"/>
              </w:rPr>
              <w:t>interesów klientów rynku finansowego</w:t>
            </w:r>
            <w:r>
              <w:rPr>
                <w:rFonts w:ascii="Times New Roman" w:hAnsi="Times New Roman"/>
                <w:lang w:eastAsia="pl-PL"/>
              </w:rPr>
              <w:t>, będą mogły</w:t>
            </w:r>
            <w:r w:rsidRPr="00CF24C6">
              <w:rPr>
                <w:rFonts w:ascii="Times New Roman" w:hAnsi="Times New Roman"/>
                <w:lang w:eastAsia="pl-PL"/>
              </w:rPr>
              <w:t xml:space="preserve"> zostać wykorzystane w szerszym zakresie</w:t>
            </w:r>
            <w:r>
              <w:rPr>
                <w:rFonts w:ascii="Times New Roman" w:hAnsi="Times New Roman"/>
                <w:lang w:eastAsia="pl-PL"/>
              </w:rPr>
              <w:t>.</w:t>
            </w:r>
            <w:r w:rsidRPr="00CF24C6">
              <w:rPr>
                <w:rFonts w:ascii="Times New Roman" w:hAnsi="Times New Roman"/>
                <w:lang w:eastAsia="pl-PL"/>
              </w:rPr>
              <w:t xml:space="preserve"> </w:t>
            </w:r>
            <w:r w:rsidR="00CF24C6" w:rsidRPr="00CF24C6">
              <w:rPr>
                <w:rFonts w:ascii="Times New Roman" w:hAnsi="Times New Roman"/>
                <w:lang w:eastAsia="pl-PL"/>
              </w:rPr>
              <w:t xml:space="preserve">Możliwe będzie </w:t>
            </w:r>
            <w:r w:rsidR="005A4893">
              <w:rPr>
                <w:rFonts w:ascii="Times New Roman" w:hAnsi="Times New Roman"/>
                <w:lang w:eastAsia="pl-PL"/>
              </w:rPr>
              <w:t xml:space="preserve">także </w:t>
            </w:r>
            <w:r w:rsidR="00CF24C6" w:rsidRPr="00CF24C6">
              <w:rPr>
                <w:rFonts w:ascii="Times New Roman" w:hAnsi="Times New Roman"/>
                <w:lang w:eastAsia="pl-PL"/>
              </w:rPr>
              <w:t>podejmowanie zintegrowanych działań</w:t>
            </w:r>
            <w:r w:rsidR="005A4893">
              <w:rPr>
                <w:rFonts w:ascii="Times New Roman" w:hAnsi="Times New Roman"/>
                <w:lang w:eastAsia="pl-PL"/>
              </w:rPr>
              <w:t>,</w:t>
            </w:r>
            <w:r w:rsidR="00CF24C6" w:rsidRPr="00CF24C6">
              <w:rPr>
                <w:rFonts w:ascii="Times New Roman" w:hAnsi="Times New Roman"/>
                <w:lang w:eastAsia="pl-PL"/>
              </w:rPr>
              <w:t xml:space="preserve"> mających na celu optymalne zabezpieczenie interesów konsumentów na rynku finansowym.</w:t>
            </w:r>
            <w:r w:rsidR="004C7411">
              <w:rPr>
                <w:rFonts w:ascii="Times New Roman" w:hAnsi="Times New Roman"/>
                <w:lang w:eastAsia="pl-PL"/>
              </w:rPr>
              <w:t xml:space="preserve"> Ze względu na zgromadzenie tego rodzaju</w:t>
            </w:r>
            <w:r w:rsidR="00CF24C6" w:rsidRPr="00CF24C6">
              <w:rPr>
                <w:rFonts w:ascii="Times New Roman" w:hAnsi="Times New Roman"/>
                <w:lang w:eastAsia="pl-PL"/>
              </w:rPr>
              <w:t xml:space="preserve"> danych w jednym organie centralnym, nie będzie konieczności wymiany informacji między organami, co pozwoli na szybsze </w:t>
            </w:r>
            <w:r w:rsidR="00416473">
              <w:rPr>
                <w:rFonts w:ascii="Times New Roman" w:hAnsi="Times New Roman"/>
                <w:lang w:eastAsia="pl-PL"/>
              </w:rPr>
              <w:br/>
            </w:r>
            <w:r w:rsidR="00CF24C6" w:rsidRPr="00CF24C6">
              <w:rPr>
                <w:rFonts w:ascii="Times New Roman" w:hAnsi="Times New Roman"/>
                <w:lang w:eastAsia="pl-PL"/>
              </w:rPr>
              <w:t>i bardziej skuteczne działani</w:t>
            </w:r>
            <w:r w:rsidR="00ED667D">
              <w:rPr>
                <w:rFonts w:ascii="Times New Roman" w:hAnsi="Times New Roman"/>
                <w:lang w:eastAsia="pl-PL"/>
              </w:rPr>
              <w:t>e na rzecz ochrony konsumentów, a tym samym sprawniejsze</w:t>
            </w:r>
            <w:r w:rsidR="00CF24C6" w:rsidRPr="00CF24C6">
              <w:rPr>
                <w:rFonts w:ascii="Times New Roman" w:hAnsi="Times New Roman"/>
                <w:lang w:eastAsia="pl-PL"/>
              </w:rPr>
              <w:t xml:space="preserve"> uruchomienie mechanizmów służących ochronie zb</w:t>
            </w:r>
            <w:r w:rsidR="00AA383D">
              <w:rPr>
                <w:rFonts w:ascii="Times New Roman" w:hAnsi="Times New Roman"/>
                <w:lang w:eastAsia="pl-PL"/>
              </w:rPr>
              <w:t>iorowych interesów konsumentów.</w:t>
            </w:r>
          </w:p>
          <w:p w:rsidR="00C1538C" w:rsidRPr="007929EE" w:rsidRDefault="00036029" w:rsidP="000A4227">
            <w:pPr>
              <w:spacing w:before="120" w:after="120" w:line="240" w:lineRule="auto"/>
              <w:jc w:val="both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P</w:t>
            </w:r>
            <w:r w:rsidR="00CF24C6" w:rsidRPr="00CF24C6">
              <w:rPr>
                <w:rFonts w:ascii="Times New Roman" w:hAnsi="Times New Roman"/>
                <w:lang w:eastAsia="pl-PL"/>
              </w:rPr>
              <w:t>ołączenie w jednym urzędzie zadań w zakresie ochrony interesów konsumentów na rynku finansowym pozwoli na prowadzenie spójnej i skutecznej kampanii informacyjnej</w:t>
            </w:r>
            <w:r w:rsidR="00FA2056">
              <w:rPr>
                <w:rFonts w:ascii="Times New Roman" w:hAnsi="Times New Roman"/>
                <w:lang w:eastAsia="pl-PL"/>
              </w:rPr>
              <w:t>,</w:t>
            </w:r>
            <w:r w:rsidR="00CF24C6" w:rsidRPr="00CF24C6">
              <w:rPr>
                <w:rFonts w:ascii="Times New Roman" w:hAnsi="Times New Roman"/>
                <w:lang w:eastAsia="pl-PL"/>
              </w:rPr>
              <w:t xml:space="preserve"> dotyczących praw klientów rynku finansowego, a co za tym idzie</w:t>
            </w:r>
            <w:r w:rsidR="00FA2056">
              <w:rPr>
                <w:rFonts w:ascii="Times New Roman" w:hAnsi="Times New Roman"/>
                <w:lang w:eastAsia="pl-PL"/>
              </w:rPr>
              <w:t>,</w:t>
            </w:r>
            <w:r w:rsidR="00CF24C6" w:rsidRPr="00CF24C6">
              <w:rPr>
                <w:rFonts w:ascii="Times New Roman" w:hAnsi="Times New Roman"/>
                <w:lang w:eastAsia="pl-PL"/>
              </w:rPr>
              <w:t xml:space="preserve"> zwiększenie jej skuteczności.</w:t>
            </w:r>
          </w:p>
        </w:tc>
      </w:tr>
      <w:tr w:rsidR="006A701A" w:rsidRPr="00424472" w:rsidTr="00461AD7">
        <w:trPr>
          <w:trHeight w:val="307"/>
          <w:jc w:val="center"/>
        </w:trPr>
        <w:tc>
          <w:tcPr>
            <w:tcW w:w="10774" w:type="dxa"/>
            <w:gridSpan w:val="29"/>
            <w:shd w:val="clear" w:color="auto" w:fill="99CCFF"/>
            <w:vAlign w:val="center"/>
          </w:tcPr>
          <w:p w:rsidR="006A701A" w:rsidRPr="00424472" w:rsidRDefault="009E3C4B" w:rsidP="00424472">
            <w:pPr>
              <w:numPr>
                <w:ilvl w:val="0"/>
                <w:numId w:val="1"/>
              </w:numPr>
              <w:spacing w:before="60" w:after="60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424472">
              <w:rPr>
                <w:rFonts w:ascii="Times New Roman" w:hAnsi="Times New Roman"/>
                <w:b/>
                <w:spacing w:val="-2"/>
              </w:rPr>
              <w:lastRenderedPageBreak/>
              <w:t>Jak problem został rozwiązany w innych krajach, w szczególności krajach członkowskich OECD/UE</w:t>
            </w:r>
            <w:r w:rsidR="006A701A" w:rsidRPr="00424472">
              <w:rPr>
                <w:rFonts w:ascii="Times New Roman" w:hAnsi="Times New Roman"/>
                <w:b/>
                <w:color w:val="000000"/>
              </w:rPr>
              <w:t>?</w:t>
            </w:r>
            <w:r w:rsidR="006A701A" w:rsidRPr="00424472">
              <w:rPr>
                <w:rFonts w:ascii="Times New Roman" w:hAnsi="Times New Roman"/>
                <w:i/>
                <w:color w:val="000000"/>
              </w:rPr>
              <w:t xml:space="preserve"> </w:t>
            </w:r>
          </w:p>
        </w:tc>
      </w:tr>
      <w:tr w:rsidR="006A701A" w:rsidRPr="00424472" w:rsidTr="00461AD7">
        <w:trPr>
          <w:trHeight w:val="468"/>
          <w:jc w:val="center"/>
        </w:trPr>
        <w:tc>
          <w:tcPr>
            <w:tcW w:w="10774" w:type="dxa"/>
            <w:gridSpan w:val="29"/>
            <w:shd w:val="clear" w:color="auto" w:fill="auto"/>
            <w:vAlign w:val="center"/>
          </w:tcPr>
          <w:p w:rsidR="00962724" w:rsidRPr="00424472" w:rsidRDefault="0003651C" w:rsidP="00424472">
            <w:pPr>
              <w:spacing w:before="120" w:after="120"/>
              <w:rPr>
                <w:rFonts w:ascii="Times New Roman" w:hAnsi="Times New Roman"/>
                <w:color w:val="000000"/>
                <w:spacing w:val="-2"/>
              </w:rPr>
            </w:pPr>
            <w:r w:rsidRPr="00424472">
              <w:rPr>
                <w:rFonts w:ascii="Times New Roman" w:hAnsi="Times New Roman"/>
                <w:color w:val="000000"/>
                <w:spacing w:val="-2"/>
              </w:rPr>
              <w:t>Ze względ</w:t>
            </w:r>
            <w:r w:rsidR="005C0069">
              <w:rPr>
                <w:rFonts w:ascii="Times New Roman" w:hAnsi="Times New Roman"/>
                <w:color w:val="000000"/>
                <w:spacing w:val="-2"/>
              </w:rPr>
              <w:t>u na szczegółowość projektowanych rozwiązań</w:t>
            </w:r>
            <w:r w:rsidRPr="00424472">
              <w:rPr>
                <w:rFonts w:ascii="Times New Roman" w:hAnsi="Times New Roman"/>
                <w:color w:val="000000"/>
                <w:spacing w:val="-2"/>
              </w:rPr>
              <w:t>, odstąpiono od prowadzenia analiz prawno-porównawczych.</w:t>
            </w:r>
          </w:p>
        </w:tc>
      </w:tr>
      <w:tr w:rsidR="006A701A" w:rsidRPr="00424472" w:rsidTr="00461AD7">
        <w:trPr>
          <w:trHeight w:val="359"/>
          <w:jc w:val="center"/>
        </w:trPr>
        <w:tc>
          <w:tcPr>
            <w:tcW w:w="10774" w:type="dxa"/>
            <w:gridSpan w:val="29"/>
            <w:shd w:val="clear" w:color="auto" w:fill="99CCFF"/>
            <w:vAlign w:val="center"/>
          </w:tcPr>
          <w:p w:rsidR="006A701A" w:rsidRPr="00424472" w:rsidRDefault="006A701A" w:rsidP="00424472">
            <w:pPr>
              <w:numPr>
                <w:ilvl w:val="0"/>
                <w:numId w:val="1"/>
              </w:numPr>
              <w:spacing w:before="60" w:after="60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424472">
              <w:rPr>
                <w:rFonts w:ascii="Times New Roman" w:hAnsi="Times New Roman"/>
                <w:b/>
                <w:color w:val="000000"/>
              </w:rPr>
              <w:t>Podmioty, na które oddziałuje projekt</w:t>
            </w:r>
          </w:p>
        </w:tc>
      </w:tr>
      <w:tr w:rsidR="00260F33" w:rsidRPr="00424472" w:rsidTr="00461AD7">
        <w:trPr>
          <w:trHeight w:val="142"/>
          <w:jc w:val="center"/>
        </w:trPr>
        <w:tc>
          <w:tcPr>
            <w:tcW w:w="2298" w:type="dxa"/>
            <w:gridSpan w:val="3"/>
            <w:shd w:val="clear" w:color="auto" w:fill="auto"/>
          </w:tcPr>
          <w:p w:rsidR="00260F33" w:rsidRPr="00424472" w:rsidRDefault="00260F33" w:rsidP="00424472">
            <w:pPr>
              <w:spacing w:before="4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424472">
              <w:rPr>
                <w:rFonts w:ascii="Times New Roman" w:hAnsi="Times New Roman"/>
                <w:color w:val="000000"/>
                <w:spacing w:val="-2"/>
              </w:rPr>
              <w:t>Grupa</w:t>
            </w:r>
          </w:p>
        </w:tc>
        <w:tc>
          <w:tcPr>
            <w:tcW w:w="3260" w:type="dxa"/>
            <w:gridSpan w:val="11"/>
            <w:shd w:val="clear" w:color="auto" w:fill="auto"/>
          </w:tcPr>
          <w:p w:rsidR="00260F33" w:rsidRPr="00424472" w:rsidRDefault="00563199" w:rsidP="00424472">
            <w:pPr>
              <w:spacing w:before="4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424472">
              <w:rPr>
                <w:rFonts w:ascii="Times New Roman" w:hAnsi="Times New Roman"/>
                <w:color w:val="000000"/>
                <w:spacing w:val="-2"/>
              </w:rPr>
              <w:t>Wielkość</w:t>
            </w:r>
          </w:p>
        </w:tc>
        <w:tc>
          <w:tcPr>
            <w:tcW w:w="1843" w:type="dxa"/>
            <w:gridSpan w:val="7"/>
            <w:shd w:val="clear" w:color="auto" w:fill="auto"/>
          </w:tcPr>
          <w:p w:rsidR="00260F33" w:rsidRPr="00424472" w:rsidRDefault="00260F33" w:rsidP="00424472">
            <w:pPr>
              <w:spacing w:before="4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424472">
              <w:rPr>
                <w:rFonts w:ascii="Times New Roman" w:hAnsi="Times New Roman"/>
                <w:color w:val="000000"/>
                <w:spacing w:val="-2"/>
              </w:rPr>
              <w:t>Źródło danych</w:t>
            </w:r>
            <w:r w:rsidRPr="00424472" w:rsidDel="00260F33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</w:tc>
        <w:tc>
          <w:tcPr>
            <w:tcW w:w="3373" w:type="dxa"/>
            <w:gridSpan w:val="8"/>
            <w:shd w:val="clear" w:color="auto" w:fill="auto"/>
          </w:tcPr>
          <w:p w:rsidR="00260F33" w:rsidRPr="00424472" w:rsidRDefault="00260F33" w:rsidP="00424472">
            <w:pPr>
              <w:spacing w:before="4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424472">
              <w:rPr>
                <w:rFonts w:ascii="Times New Roman" w:hAnsi="Times New Roman"/>
                <w:color w:val="000000"/>
                <w:spacing w:val="-2"/>
              </w:rPr>
              <w:t>Oddziaływanie</w:t>
            </w:r>
          </w:p>
        </w:tc>
      </w:tr>
      <w:tr w:rsidR="00055560" w:rsidRPr="00424472" w:rsidTr="00461AD7">
        <w:trPr>
          <w:trHeight w:val="707"/>
          <w:jc w:val="center"/>
        </w:trPr>
        <w:tc>
          <w:tcPr>
            <w:tcW w:w="2298" w:type="dxa"/>
            <w:gridSpan w:val="3"/>
            <w:shd w:val="clear" w:color="auto" w:fill="auto"/>
            <w:vAlign w:val="center"/>
          </w:tcPr>
          <w:p w:rsidR="00055560" w:rsidRPr="00B00A05" w:rsidRDefault="000A16A6" w:rsidP="00424472">
            <w:pPr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B00A05">
              <w:rPr>
                <w:rFonts w:ascii="Times New Roman" w:hAnsi="Times New Roman"/>
                <w:spacing w:val="-2"/>
                <w:sz w:val="20"/>
                <w:szCs w:val="20"/>
              </w:rPr>
              <w:t>Prezes Rady Ministrów</w:t>
            </w:r>
          </w:p>
        </w:tc>
        <w:tc>
          <w:tcPr>
            <w:tcW w:w="3260" w:type="dxa"/>
            <w:gridSpan w:val="11"/>
            <w:shd w:val="clear" w:color="auto" w:fill="auto"/>
            <w:vAlign w:val="center"/>
          </w:tcPr>
          <w:p w:rsidR="00055560" w:rsidRPr="003F1EC2" w:rsidRDefault="00286B8B" w:rsidP="00424472">
            <w:pPr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3F1EC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7"/>
            <w:shd w:val="clear" w:color="auto" w:fill="auto"/>
            <w:vAlign w:val="center"/>
          </w:tcPr>
          <w:p w:rsidR="00055560" w:rsidRPr="003F1EC2" w:rsidRDefault="003F1EC2" w:rsidP="00424472">
            <w:pPr>
              <w:jc w:val="center"/>
              <w:rPr>
                <w:rFonts w:ascii="Times New Roman" w:hAnsi="Times New Roman"/>
                <w:iCs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>-</w:t>
            </w:r>
          </w:p>
        </w:tc>
        <w:tc>
          <w:tcPr>
            <w:tcW w:w="337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064" w:rsidRDefault="00312548" w:rsidP="00424472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="00654C18">
              <w:rPr>
                <w:rFonts w:ascii="Times New Roman" w:hAnsi="Times New Roman"/>
                <w:sz w:val="20"/>
                <w:szCs w:val="20"/>
              </w:rPr>
              <w:t xml:space="preserve">bowiązek wydania </w:t>
            </w:r>
            <w:r w:rsidR="000770C0">
              <w:rPr>
                <w:rFonts w:ascii="Times New Roman" w:hAnsi="Times New Roman"/>
                <w:sz w:val="20"/>
                <w:szCs w:val="20"/>
              </w:rPr>
              <w:t>aktów wykonawczych do ustawy</w:t>
            </w:r>
            <w:r w:rsidR="00A800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80064" w:rsidRPr="003F1EC2" w:rsidRDefault="00A80064" w:rsidP="00424472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5560" w:rsidRPr="00424472" w:rsidTr="00461AD7">
        <w:trPr>
          <w:trHeight w:val="707"/>
          <w:jc w:val="center"/>
        </w:trPr>
        <w:tc>
          <w:tcPr>
            <w:tcW w:w="2298" w:type="dxa"/>
            <w:gridSpan w:val="3"/>
            <w:shd w:val="clear" w:color="auto" w:fill="auto"/>
            <w:vAlign w:val="center"/>
          </w:tcPr>
          <w:p w:rsidR="00055560" w:rsidRPr="00B00A05" w:rsidRDefault="000A16A6" w:rsidP="00424472">
            <w:pPr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B00A05">
              <w:rPr>
                <w:rFonts w:ascii="Times New Roman" w:hAnsi="Times New Roman"/>
                <w:spacing w:val="-2"/>
                <w:sz w:val="20"/>
                <w:szCs w:val="20"/>
              </w:rPr>
              <w:t>Prezes Urzędu Ochrony Konkurencji i Konsumentów</w:t>
            </w:r>
          </w:p>
        </w:tc>
        <w:tc>
          <w:tcPr>
            <w:tcW w:w="3260" w:type="dxa"/>
            <w:gridSpan w:val="11"/>
            <w:shd w:val="clear" w:color="auto" w:fill="auto"/>
            <w:vAlign w:val="center"/>
          </w:tcPr>
          <w:p w:rsidR="00055560" w:rsidRPr="003F1EC2" w:rsidRDefault="00286B8B" w:rsidP="00424472">
            <w:pPr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3F1EC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7"/>
            <w:shd w:val="clear" w:color="auto" w:fill="auto"/>
            <w:vAlign w:val="center"/>
          </w:tcPr>
          <w:p w:rsidR="00055560" w:rsidRPr="003F1EC2" w:rsidRDefault="003F1EC2" w:rsidP="00424472">
            <w:pPr>
              <w:jc w:val="center"/>
              <w:rPr>
                <w:rFonts w:ascii="Times New Roman" w:hAnsi="Times New Roman"/>
                <w:iCs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>-</w:t>
            </w:r>
          </w:p>
        </w:tc>
        <w:tc>
          <w:tcPr>
            <w:tcW w:w="337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4C" w:rsidRDefault="00037481" w:rsidP="0015014C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Przejęcie praw i obowiązków Rzecznika Finansowego w zakresie </w:t>
            </w:r>
            <w:r w:rsidR="00F825D2" w:rsidRPr="00F825D2">
              <w:rPr>
                <w:rFonts w:ascii="Times New Roman" w:hAnsi="Times New Roman"/>
                <w:sz w:val="20"/>
                <w:szCs w:val="20"/>
              </w:rPr>
              <w:t xml:space="preserve">ochrony interesów klientów </w:t>
            </w:r>
            <w:r w:rsidR="0015014C">
              <w:rPr>
                <w:rFonts w:ascii="Times New Roman" w:hAnsi="Times New Roman"/>
                <w:sz w:val="20"/>
                <w:szCs w:val="20"/>
              </w:rPr>
              <w:t xml:space="preserve">podmiotów </w:t>
            </w:r>
            <w:r w:rsidR="00F825D2" w:rsidRPr="00F825D2">
              <w:rPr>
                <w:rFonts w:ascii="Times New Roman" w:hAnsi="Times New Roman"/>
                <w:sz w:val="20"/>
                <w:szCs w:val="20"/>
              </w:rPr>
              <w:t>rynku finansowego</w:t>
            </w:r>
            <w:r w:rsidR="0015014C">
              <w:rPr>
                <w:rFonts w:ascii="Times New Roman" w:hAnsi="Times New Roman"/>
                <w:sz w:val="20"/>
                <w:szCs w:val="20"/>
              </w:rPr>
              <w:t>.</w:t>
            </w:r>
            <w:r w:rsidR="00F825D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22E8B" w:rsidRPr="003F1EC2" w:rsidRDefault="000770C0" w:rsidP="0015014C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Obsługa i realizacja zadań</w:t>
            </w:r>
            <w:r w:rsidR="00122E8B">
              <w:rPr>
                <w:rFonts w:ascii="Times New Roman" w:hAnsi="Times New Roman"/>
                <w:sz w:val="20"/>
                <w:szCs w:val="20"/>
              </w:rPr>
              <w:t xml:space="preserve"> związanych </w:t>
            </w:r>
            <w:r w:rsidR="00122E8B">
              <w:rPr>
                <w:rFonts w:ascii="Times New Roman" w:hAnsi="Times New Roman"/>
                <w:sz w:val="20"/>
                <w:szCs w:val="20"/>
              </w:rPr>
              <w:br/>
              <w:t>z funkcjonowaniem Funduszu Edukacji Finansowej, dysponowanie środkami Funduszu.</w:t>
            </w:r>
          </w:p>
        </w:tc>
      </w:tr>
      <w:tr w:rsidR="00D84364" w:rsidRPr="00424472" w:rsidTr="00580311">
        <w:trPr>
          <w:trHeight w:val="707"/>
          <w:jc w:val="center"/>
        </w:trPr>
        <w:tc>
          <w:tcPr>
            <w:tcW w:w="2298" w:type="dxa"/>
            <w:gridSpan w:val="3"/>
            <w:vMerge w:val="restart"/>
            <w:shd w:val="clear" w:color="auto" w:fill="auto"/>
          </w:tcPr>
          <w:p w:rsidR="00D84364" w:rsidRPr="00B00A05" w:rsidRDefault="00D84364" w:rsidP="00424472">
            <w:pPr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  <w:p w:rsidR="00D84364" w:rsidRPr="00B00A05" w:rsidRDefault="00D84364" w:rsidP="00424472">
            <w:pPr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B00A05">
              <w:rPr>
                <w:rFonts w:ascii="Times New Roman" w:hAnsi="Times New Roman"/>
                <w:spacing w:val="-2"/>
                <w:sz w:val="20"/>
                <w:szCs w:val="20"/>
              </w:rPr>
              <w:t>klienci podmiotów rynku finansowego</w:t>
            </w:r>
          </w:p>
        </w:tc>
        <w:tc>
          <w:tcPr>
            <w:tcW w:w="3260" w:type="dxa"/>
            <w:gridSpan w:val="11"/>
            <w:shd w:val="clear" w:color="auto" w:fill="auto"/>
            <w:vAlign w:val="center"/>
          </w:tcPr>
          <w:p w:rsidR="00D84364" w:rsidRPr="003F1EC2" w:rsidRDefault="00D84364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F1EC2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3,02 mln </w:t>
            </w:r>
          </w:p>
          <w:p w:rsidR="00D84364" w:rsidRPr="003F1EC2" w:rsidRDefault="00D84364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F1EC2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osób posiadających prywatne ubezpieczenie zdrowotne </w:t>
            </w:r>
          </w:p>
        </w:tc>
        <w:tc>
          <w:tcPr>
            <w:tcW w:w="1843" w:type="dxa"/>
            <w:gridSpan w:val="7"/>
            <w:vMerge w:val="restart"/>
            <w:shd w:val="clear" w:color="auto" w:fill="auto"/>
            <w:vAlign w:val="center"/>
          </w:tcPr>
          <w:p w:rsidR="00D84364" w:rsidRPr="003F1EC2" w:rsidRDefault="00D84364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F1EC2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PIU- Ubezpieczenia </w:t>
            </w:r>
            <w:r w:rsidRPr="003F1EC2">
              <w:rPr>
                <w:rFonts w:ascii="Times New Roman" w:hAnsi="Times New Roman"/>
                <w:spacing w:val="-2"/>
                <w:sz w:val="20"/>
                <w:szCs w:val="20"/>
              </w:rPr>
              <w:br/>
              <w:t xml:space="preserve">w liczbach 2019. Rynek ubezpieczeń </w:t>
            </w:r>
            <w:r w:rsidRPr="003F1EC2">
              <w:rPr>
                <w:rFonts w:ascii="Times New Roman" w:hAnsi="Times New Roman"/>
                <w:spacing w:val="-2"/>
                <w:sz w:val="20"/>
                <w:szCs w:val="20"/>
              </w:rPr>
              <w:br/>
              <w:t>w Polsce</w:t>
            </w:r>
          </w:p>
        </w:tc>
        <w:tc>
          <w:tcPr>
            <w:tcW w:w="3373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4364" w:rsidRDefault="00D84364" w:rsidP="00424472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Zmiana podmiotu wykonującego zadania w zakresie </w:t>
            </w:r>
            <w:r w:rsidRPr="00F825D2">
              <w:rPr>
                <w:rFonts w:ascii="Times New Roman" w:hAnsi="Times New Roman"/>
                <w:sz w:val="20"/>
                <w:szCs w:val="20"/>
              </w:rPr>
              <w:t xml:space="preserve">ochrony </w:t>
            </w:r>
            <w:r w:rsidR="00EA1A95">
              <w:rPr>
                <w:rFonts w:ascii="Times New Roman" w:hAnsi="Times New Roman"/>
                <w:sz w:val="20"/>
                <w:szCs w:val="20"/>
              </w:rPr>
              <w:t xml:space="preserve">indywidualnych </w:t>
            </w:r>
            <w:r w:rsidRPr="00F825D2">
              <w:rPr>
                <w:rFonts w:ascii="Times New Roman" w:hAnsi="Times New Roman"/>
                <w:sz w:val="20"/>
                <w:szCs w:val="20"/>
              </w:rPr>
              <w:t>interesów klientów rynku finansowego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r w:rsidR="00F54E21">
              <w:rPr>
                <w:rFonts w:ascii="Times New Roman" w:hAnsi="Times New Roman"/>
                <w:sz w:val="20"/>
                <w:szCs w:val="20"/>
              </w:rPr>
              <w:t xml:space="preserve">prowadzenia pozasądowego postępowania w sprawie rozwiązywania sporów między </w:t>
            </w:r>
            <w:r w:rsidRPr="00F825D2">
              <w:rPr>
                <w:rFonts w:ascii="Times New Roman" w:hAnsi="Times New Roman"/>
                <w:sz w:val="20"/>
                <w:szCs w:val="20"/>
              </w:rPr>
              <w:t>klientem a podmiotem rynku finansowego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54E21" w:rsidRDefault="00F54E21" w:rsidP="00424472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4E21" w:rsidRPr="003F1EC2" w:rsidRDefault="00F54E21" w:rsidP="0015014C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Zwolnienie od opłat </w:t>
            </w:r>
            <w:r w:rsidR="00580311">
              <w:rPr>
                <w:rFonts w:ascii="Times New Roman" w:hAnsi="Times New Roman"/>
                <w:sz w:val="20"/>
                <w:szCs w:val="20"/>
              </w:rPr>
              <w:t>za postępowanie przed Koordynatorem ds.</w:t>
            </w:r>
            <w:r w:rsidR="00580311" w:rsidRPr="00580311">
              <w:rPr>
                <w:rFonts w:ascii="Times New Roman" w:hAnsi="Times New Roman"/>
                <w:sz w:val="20"/>
                <w:szCs w:val="20"/>
              </w:rPr>
              <w:t xml:space="preserve"> pozas</w:t>
            </w:r>
            <w:r w:rsidR="0015014C">
              <w:rPr>
                <w:rFonts w:ascii="Times New Roman" w:hAnsi="Times New Roman"/>
                <w:sz w:val="20"/>
                <w:szCs w:val="20"/>
              </w:rPr>
              <w:t>ądowego rozwiązywania sporów mię</w:t>
            </w:r>
            <w:r w:rsidR="00580311" w:rsidRPr="00580311">
              <w:rPr>
                <w:rFonts w:ascii="Times New Roman" w:hAnsi="Times New Roman"/>
                <w:sz w:val="20"/>
                <w:szCs w:val="20"/>
              </w:rPr>
              <w:t>dzy klientem a podmiotem rynku finansowego</w:t>
            </w:r>
            <w:r w:rsidR="0015014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84364" w:rsidRPr="00424472" w:rsidTr="00580311">
        <w:trPr>
          <w:trHeight w:val="707"/>
          <w:jc w:val="center"/>
        </w:trPr>
        <w:tc>
          <w:tcPr>
            <w:tcW w:w="2298" w:type="dxa"/>
            <w:gridSpan w:val="3"/>
            <w:vMerge/>
            <w:shd w:val="clear" w:color="auto" w:fill="auto"/>
            <w:vAlign w:val="center"/>
          </w:tcPr>
          <w:p w:rsidR="00D84364" w:rsidRPr="00B00A05" w:rsidRDefault="00D84364" w:rsidP="00424472">
            <w:pPr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3260" w:type="dxa"/>
            <w:gridSpan w:val="11"/>
            <w:shd w:val="clear" w:color="auto" w:fill="auto"/>
            <w:vAlign w:val="center"/>
          </w:tcPr>
          <w:p w:rsidR="00D84364" w:rsidRPr="003F1EC2" w:rsidRDefault="00D84364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F1EC2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25,3 mln </w:t>
            </w:r>
          </w:p>
          <w:p w:rsidR="00D84364" w:rsidRPr="003F1EC2" w:rsidRDefault="00D84364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F1EC2">
              <w:rPr>
                <w:rFonts w:ascii="Times New Roman" w:hAnsi="Times New Roman"/>
                <w:spacing w:val="-2"/>
                <w:sz w:val="20"/>
                <w:szCs w:val="20"/>
              </w:rPr>
              <w:t>polis OC posiadaczy pojazdów mechanicznych na koniec 2019 r.</w:t>
            </w:r>
          </w:p>
        </w:tc>
        <w:tc>
          <w:tcPr>
            <w:tcW w:w="1843" w:type="dxa"/>
            <w:gridSpan w:val="7"/>
            <w:vMerge/>
            <w:shd w:val="clear" w:color="auto" w:fill="auto"/>
            <w:vAlign w:val="center"/>
          </w:tcPr>
          <w:p w:rsidR="00D84364" w:rsidRPr="003F1EC2" w:rsidRDefault="00D84364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337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4364" w:rsidRPr="003F1EC2" w:rsidRDefault="00D84364" w:rsidP="00424472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4364" w:rsidRPr="00424472" w:rsidTr="00580311">
        <w:trPr>
          <w:trHeight w:val="707"/>
          <w:jc w:val="center"/>
        </w:trPr>
        <w:tc>
          <w:tcPr>
            <w:tcW w:w="2298" w:type="dxa"/>
            <w:gridSpan w:val="3"/>
            <w:vMerge/>
            <w:shd w:val="clear" w:color="auto" w:fill="auto"/>
            <w:vAlign w:val="center"/>
          </w:tcPr>
          <w:p w:rsidR="00D84364" w:rsidRPr="00B00A05" w:rsidRDefault="00D84364" w:rsidP="00424472">
            <w:pPr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3260" w:type="dxa"/>
            <w:gridSpan w:val="11"/>
            <w:shd w:val="clear" w:color="auto" w:fill="auto"/>
            <w:vAlign w:val="center"/>
          </w:tcPr>
          <w:p w:rsidR="00D84364" w:rsidRPr="003F1EC2" w:rsidRDefault="00D84364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F1EC2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7,1 mln </w:t>
            </w:r>
          </w:p>
          <w:p w:rsidR="00D84364" w:rsidRPr="003F1EC2" w:rsidRDefault="00D84364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F1EC2">
              <w:rPr>
                <w:rFonts w:ascii="Times New Roman" w:hAnsi="Times New Roman"/>
                <w:spacing w:val="-2"/>
                <w:sz w:val="20"/>
                <w:szCs w:val="20"/>
              </w:rPr>
              <w:t>polis autocasco na koniec 2019 r.</w:t>
            </w:r>
          </w:p>
        </w:tc>
        <w:tc>
          <w:tcPr>
            <w:tcW w:w="1843" w:type="dxa"/>
            <w:gridSpan w:val="7"/>
            <w:vMerge/>
            <w:shd w:val="clear" w:color="auto" w:fill="auto"/>
            <w:vAlign w:val="center"/>
          </w:tcPr>
          <w:p w:rsidR="00D84364" w:rsidRPr="003F1EC2" w:rsidRDefault="00D84364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337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4364" w:rsidRPr="003F1EC2" w:rsidRDefault="00D84364" w:rsidP="00424472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4364" w:rsidRPr="00424472" w:rsidTr="00580311">
        <w:trPr>
          <w:trHeight w:val="707"/>
          <w:jc w:val="center"/>
        </w:trPr>
        <w:tc>
          <w:tcPr>
            <w:tcW w:w="2298" w:type="dxa"/>
            <w:gridSpan w:val="3"/>
            <w:vMerge/>
            <w:shd w:val="clear" w:color="auto" w:fill="auto"/>
            <w:vAlign w:val="center"/>
          </w:tcPr>
          <w:p w:rsidR="00D84364" w:rsidRPr="00B00A05" w:rsidRDefault="00D84364" w:rsidP="00424472">
            <w:pPr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3260" w:type="dxa"/>
            <w:gridSpan w:val="11"/>
            <w:shd w:val="clear" w:color="auto" w:fill="auto"/>
            <w:vAlign w:val="center"/>
          </w:tcPr>
          <w:p w:rsidR="00D84364" w:rsidRPr="003F1EC2" w:rsidRDefault="00D84364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F1EC2">
              <w:rPr>
                <w:rFonts w:ascii="Times New Roman" w:hAnsi="Times New Roman"/>
                <w:spacing w:val="-2"/>
                <w:sz w:val="20"/>
                <w:szCs w:val="20"/>
              </w:rPr>
              <w:t>54,23 mln</w:t>
            </w:r>
          </w:p>
          <w:p w:rsidR="00D84364" w:rsidRPr="003F1EC2" w:rsidRDefault="00D84364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F1EC2">
              <w:rPr>
                <w:rFonts w:ascii="Times New Roman" w:hAnsi="Times New Roman"/>
                <w:spacing w:val="-2"/>
                <w:sz w:val="20"/>
                <w:szCs w:val="20"/>
              </w:rPr>
              <w:t>polis pozostałych ubezpieczeń osobowych i majątkowych na koniec 2019 r.</w:t>
            </w:r>
          </w:p>
        </w:tc>
        <w:tc>
          <w:tcPr>
            <w:tcW w:w="1843" w:type="dxa"/>
            <w:gridSpan w:val="7"/>
            <w:vMerge/>
            <w:shd w:val="clear" w:color="auto" w:fill="auto"/>
            <w:vAlign w:val="center"/>
          </w:tcPr>
          <w:p w:rsidR="00D84364" w:rsidRPr="003F1EC2" w:rsidRDefault="00D84364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337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4364" w:rsidRPr="003F1EC2" w:rsidRDefault="00D84364" w:rsidP="00424472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4364" w:rsidRPr="00424472" w:rsidTr="00580311">
        <w:trPr>
          <w:trHeight w:val="707"/>
          <w:jc w:val="center"/>
        </w:trPr>
        <w:tc>
          <w:tcPr>
            <w:tcW w:w="2298" w:type="dxa"/>
            <w:gridSpan w:val="3"/>
            <w:vMerge/>
            <w:shd w:val="clear" w:color="auto" w:fill="auto"/>
            <w:vAlign w:val="center"/>
          </w:tcPr>
          <w:p w:rsidR="00D84364" w:rsidRPr="00B00A05" w:rsidRDefault="00D84364" w:rsidP="00424472">
            <w:pPr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3260" w:type="dxa"/>
            <w:gridSpan w:val="11"/>
            <w:shd w:val="clear" w:color="auto" w:fill="auto"/>
            <w:vAlign w:val="center"/>
          </w:tcPr>
          <w:p w:rsidR="00D84364" w:rsidRPr="003F1EC2" w:rsidRDefault="00D84364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  <w:p w:rsidR="00D84364" w:rsidRDefault="00D84364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365 tys. </w:t>
            </w:r>
          </w:p>
          <w:p w:rsidR="00D84364" w:rsidRPr="003F1EC2" w:rsidRDefault="00D84364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reklamacji złożonych</w:t>
            </w:r>
            <w:r w:rsidRPr="00A2534F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przez klientów do podmiotów rynku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A2534F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ubezpieczeniowo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–</w:t>
            </w:r>
            <w:r w:rsidRPr="00A2534F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emerytalnego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br/>
              <w:t>w 2019 r.</w:t>
            </w:r>
          </w:p>
          <w:p w:rsidR="00D84364" w:rsidRPr="003F1EC2" w:rsidRDefault="00D84364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shd w:val="clear" w:color="auto" w:fill="auto"/>
            <w:vAlign w:val="center"/>
          </w:tcPr>
          <w:p w:rsidR="00D84364" w:rsidRPr="003F1EC2" w:rsidRDefault="00D84364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Sprawozdanie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br/>
              <w:t>z działalności Rzecznika F</w:t>
            </w:r>
            <w:r w:rsidRPr="00025B5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inansowego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br/>
              <w:t>w 2019 r. o</w:t>
            </w:r>
            <w:r w:rsidRPr="00025B5A">
              <w:rPr>
                <w:rFonts w:ascii="Times New Roman" w:hAnsi="Times New Roman"/>
                <w:spacing w:val="-2"/>
                <w:sz w:val="20"/>
                <w:szCs w:val="20"/>
              </w:rPr>
              <w:t>raz uwagi o stanie przestrzegania prawa i interesów klientów podmiotów rynku finansowego</w:t>
            </w:r>
          </w:p>
        </w:tc>
        <w:tc>
          <w:tcPr>
            <w:tcW w:w="337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4364" w:rsidRPr="003F1EC2" w:rsidRDefault="00D84364" w:rsidP="00424472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4364" w:rsidRPr="00424472" w:rsidTr="00580311">
        <w:trPr>
          <w:trHeight w:val="707"/>
          <w:jc w:val="center"/>
        </w:trPr>
        <w:tc>
          <w:tcPr>
            <w:tcW w:w="2298" w:type="dxa"/>
            <w:gridSpan w:val="3"/>
            <w:vMerge/>
            <w:shd w:val="clear" w:color="auto" w:fill="auto"/>
            <w:vAlign w:val="center"/>
          </w:tcPr>
          <w:p w:rsidR="00D84364" w:rsidRPr="00B00A05" w:rsidRDefault="00D84364" w:rsidP="00424472">
            <w:pPr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3260" w:type="dxa"/>
            <w:gridSpan w:val="11"/>
            <w:shd w:val="clear" w:color="auto" w:fill="auto"/>
            <w:vAlign w:val="center"/>
          </w:tcPr>
          <w:p w:rsidR="00D84364" w:rsidRDefault="00D84364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15,7 mln </w:t>
            </w:r>
          </w:p>
          <w:p w:rsidR="00D84364" w:rsidRDefault="00D84364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członków otwartych funduszy emerytalnych </w:t>
            </w:r>
          </w:p>
          <w:p w:rsidR="00D84364" w:rsidRPr="003F1EC2" w:rsidRDefault="00D84364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(stan na 31.12.2019 r.)</w:t>
            </w:r>
          </w:p>
        </w:tc>
        <w:tc>
          <w:tcPr>
            <w:tcW w:w="1843" w:type="dxa"/>
            <w:gridSpan w:val="7"/>
            <w:shd w:val="clear" w:color="auto" w:fill="auto"/>
            <w:vAlign w:val="center"/>
          </w:tcPr>
          <w:p w:rsidR="00D84364" w:rsidRPr="003F1EC2" w:rsidRDefault="00D84364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ZUS</w:t>
            </w:r>
          </w:p>
        </w:tc>
        <w:tc>
          <w:tcPr>
            <w:tcW w:w="337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4364" w:rsidRPr="003F1EC2" w:rsidRDefault="00D84364" w:rsidP="00424472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502B" w:rsidRPr="00424472" w:rsidTr="00580311">
        <w:trPr>
          <w:trHeight w:val="707"/>
          <w:jc w:val="center"/>
        </w:trPr>
        <w:tc>
          <w:tcPr>
            <w:tcW w:w="2298" w:type="dxa"/>
            <w:gridSpan w:val="3"/>
            <w:vMerge/>
            <w:shd w:val="clear" w:color="auto" w:fill="auto"/>
            <w:vAlign w:val="center"/>
          </w:tcPr>
          <w:p w:rsidR="00A1502B" w:rsidRPr="00B00A05" w:rsidRDefault="00A1502B" w:rsidP="003F1EC2">
            <w:pPr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3260" w:type="dxa"/>
            <w:gridSpan w:val="11"/>
            <w:shd w:val="clear" w:color="auto" w:fill="auto"/>
            <w:vAlign w:val="center"/>
          </w:tcPr>
          <w:p w:rsidR="00A1502B" w:rsidRDefault="00A1502B" w:rsidP="003525F3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31,96 tys.</w:t>
            </w:r>
          </w:p>
          <w:p w:rsidR="00A1502B" w:rsidRDefault="00A1502B" w:rsidP="003525F3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B53598">
              <w:rPr>
                <w:rFonts w:ascii="Times New Roman" w:hAnsi="Times New Roman"/>
                <w:spacing w:val="-2"/>
                <w:sz w:val="20"/>
                <w:szCs w:val="20"/>
              </w:rPr>
              <w:t>członków pracowniczych funduszy emerytalnych </w:t>
            </w:r>
          </w:p>
          <w:p w:rsidR="00A1502B" w:rsidRPr="003F1EC2" w:rsidRDefault="00A1502B" w:rsidP="003525F3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(stan na 31.03.2020 r.)</w:t>
            </w:r>
          </w:p>
        </w:tc>
        <w:tc>
          <w:tcPr>
            <w:tcW w:w="1843" w:type="dxa"/>
            <w:gridSpan w:val="7"/>
            <w:vMerge w:val="restart"/>
            <w:shd w:val="clear" w:color="auto" w:fill="auto"/>
            <w:vAlign w:val="center"/>
          </w:tcPr>
          <w:p w:rsidR="00A1502B" w:rsidRPr="003F1EC2" w:rsidRDefault="00A1502B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KNF</w:t>
            </w:r>
          </w:p>
        </w:tc>
        <w:tc>
          <w:tcPr>
            <w:tcW w:w="337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02B" w:rsidRPr="003F1EC2" w:rsidRDefault="00A1502B" w:rsidP="00424472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502B" w:rsidRPr="00424472" w:rsidTr="00580311">
        <w:trPr>
          <w:trHeight w:val="707"/>
          <w:jc w:val="center"/>
        </w:trPr>
        <w:tc>
          <w:tcPr>
            <w:tcW w:w="2298" w:type="dxa"/>
            <w:gridSpan w:val="3"/>
            <w:vMerge/>
            <w:shd w:val="clear" w:color="auto" w:fill="auto"/>
            <w:vAlign w:val="center"/>
          </w:tcPr>
          <w:p w:rsidR="00A1502B" w:rsidRPr="00B00A05" w:rsidRDefault="00A1502B" w:rsidP="003F1EC2">
            <w:pPr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3260" w:type="dxa"/>
            <w:gridSpan w:val="11"/>
            <w:shd w:val="clear" w:color="auto" w:fill="auto"/>
            <w:vAlign w:val="center"/>
          </w:tcPr>
          <w:p w:rsidR="00A1502B" w:rsidRDefault="00A1502B" w:rsidP="003525F3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369,93 tys.</w:t>
            </w:r>
          </w:p>
          <w:p w:rsidR="00A1502B" w:rsidRDefault="00A1502B" w:rsidP="003525F3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członków pracowniczych programów emerytalnych </w:t>
            </w:r>
          </w:p>
          <w:p w:rsidR="00A1502B" w:rsidRDefault="00A1502B" w:rsidP="003525F3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(stan na 31.12.2018 r.)</w:t>
            </w:r>
          </w:p>
        </w:tc>
        <w:tc>
          <w:tcPr>
            <w:tcW w:w="1843" w:type="dxa"/>
            <w:gridSpan w:val="7"/>
            <w:vMerge/>
            <w:shd w:val="clear" w:color="auto" w:fill="auto"/>
            <w:vAlign w:val="center"/>
          </w:tcPr>
          <w:p w:rsidR="00A1502B" w:rsidRDefault="00A1502B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337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02B" w:rsidRPr="003F1EC2" w:rsidRDefault="00A1502B" w:rsidP="00424472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4364" w:rsidRPr="00424472" w:rsidTr="00580311">
        <w:trPr>
          <w:trHeight w:val="707"/>
          <w:jc w:val="center"/>
        </w:trPr>
        <w:tc>
          <w:tcPr>
            <w:tcW w:w="2298" w:type="dxa"/>
            <w:gridSpan w:val="3"/>
            <w:vMerge/>
            <w:shd w:val="clear" w:color="auto" w:fill="auto"/>
            <w:vAlign w:val="center"/>
          </w:tcPr>
          <w:p w:rsidR="00D84364" w:rsidRPr="00B00A05" w:rsidRDefault="00D84364" w:rsidP="003F1EC2">
            <w:pPr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3260" w:type="dxa"/>
            <w:gridSpan w:val="11"/>
            <w:shd w:val="clear" w:color="auto" w:fill="auto"/>
            <w:vAlign w:val="center"/>
          </w:tcPr>
          <w:p w:rsidR="00D84364" w:rsidRDefault="00D84364" w:rsidP="003525F3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1,01 mln</w:t>
            </w:r>
          </w:p>
          <w:p w:rsidR="00D84364" w:rsidRDefault="00D84364" w:rsidP="003525F3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osób posiadających IKE</w:t>
            </w:r>
          </w:p>
          <w:p w:rsidR="00D84364" w:rsidRPr="003F1EC2" w:rsidRDefault="00D84364" w:rsidP="003525F3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(stan na 30.06.2019 r.)</w:t>
            </w:r>
          </w:p>
        </w:tc>
        <w:tc>
          <w:tcPr>
            <w:tcW w:w="1843" w:type="dxa"/>
            <w:gridSpan w:val="7"/>
            <w:vMerge w:val="restart"/>
            <w:shd w:val="clear" w:color="auto" w:fill="auto"/>
            <w:vAlign w:val="center"/>
          </w:tcPr>
          <w:p w:rsidR="00D84364" w:rsidRPr="003F1EC2" w:rsidRDefault="00D84364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KNF - I</w:t>
            </w:r>
            <w:r w:rsidRPr="004A7182">
              <w:rPr>
                <w:rFonts w:ascii="Times New Roman" w:hAnsi="Times New Roman"/>
                <w:spacing w:val="-2"/>
                <w:sz w:val="20"/>
                <w:szCs w:val="20"/>
              </w:rPr>
              <w:t>ndywidualne konta emerytalne oraz indywidualne konta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zabezpieczenia emerytalnego w I</w:t>
            </w:r>
            <w:r w:rsidRPr="004A7182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połowie 2019 roku</w:t>
            </w:r>
          </w:p>
        </w:tc>
        <w:tc>
          <w:tcPr>
            <w:tcW w:w="337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4364" w:rsidRPr="003F1EC2" w:rsidRDefault="00D84364" w:rsidP="00424472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4364" w:rsidRPr="00424472" w:rsidTr="00580311">
        <w:trPr>
          <w:trHeight w:val="707"/>
          <w:jc w:val="center"/>
        </w:trPr>
        <w:tc>
          <w:tcPr>
            <w:tcW w:w="2298" w:type="dxa"/>
            <w:gridSpan w:val="3"/>
            <w:vMerge/>
            <w:shd w:val="clear" w:color="auto" w:fill="auto"/>
            <w:vAlign w:val="center"/>
          </w:tcPr>
          <w:p w:rsidR="00D84364" w:rsidRPr="00B00A05" w:rsidRDefault="00D84364" w:rsidP="003F1EC2">
            <w:pPr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3260" w:type="dxa"/>
            <w:gridSpan w:val="11"/>
            <w:shd w:val="clear" w:color="auto" w:fill="auto"/>
            <w:vAlign w:val="center"/>
          </w:tcPr>
          <w:p w:rsidR="00D84364" w:rsidRDefault="00D84364" w:rsidP="003525F3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0,69 mln </w:t>
            </w:r>
          </w:p>
          <w:p w:rsidR="00D84364" w:rsidRDefault="00D84364" w:rsidP="003525F3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osób posiadających IKZE</w:t>
            </w:r>
          </w:p>
          <w:p w:rsidR="00D84364" w:rsidRPr="003F1EC2" w:rsidRDefault="00D84364" w:rsidP="003525F3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(stan na 30.06.2019 r.)</w:t>
            </w:r>
          </w:p>
        </w:tc>
        <w:tc>
          <w:tcPr>
            <w:tcW w:w="1843" w:type="dxa"/>
            <w:gridSpan w:val="7"/>
            <w:vMerge/>
            <w:shd w:val="clear" w:color="auto" w:fill="auto"/>
            <w:vAlign w:val="center"/>
          </w:tcPr>
          <w:p w:rsidR="00D84364" w:rsidRPr="003F1EC2" w:rsidRDefault="00D84364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337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4364" w:rsidRPr="003F1EC2" w:rsidRDefault="00D84364" w:rsidP="00424472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4364" w:rsidRPr="00424472" w:rsidTr="00580311">
        <w:trPr>
          <w:trHeight w:val="707"/>
          <w:jc w:val="center"/>
        </w:trPr>
        <w:tc>
          <w:tcPr>
            <w:tcW w:w="2298" w:type="dxa"/>
            <w:gridSpan w:val="3"/>
            <w:vMerge/>
            <w:shd w:val="clear" w:color="auto" w:fill="auto"/>
            <w:vAlign w:val="center"/>
          </w:tcPr>
          <w:p w:rsidR="00D84364" w:rsidRPr="00B00A05" w:rsidRDefault="00D84364" w:rsidP="003F1EC2">
            <w:pPr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3260" w:type="dxa"/>
            <w:gridSpan w:val="11"/>
            <w:shd w:val="clear" w:color="auto" w:fill="auto"/>
            <w:vAlign w:val="center"/>
          </w:tcPr>
          <w:p w:rsidR="00D84364" w:rsidRDefault="00D84364" w:rsidP="003525F3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0,33 mln</w:t>
            </w:r>
          </w:p>
          <w:p w:rsidR="00D84364" w:rsidRDefault="00D84364" w:rsidP="003525F3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uczestników PPK</w:t>
            </w:r>
          </w:p>
          <w:p w:rsidR="00D84364" w:rsidRDefault="00D84364" w:rsidP="003525F3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(stan na 31.12.2019 r.)</w:t>
            </w:r>
          </w:p>
        </w:tc>
        <w:tc>
          <w:tcPr>
            <w:tcW w:w="1843" w:type="dxa"/>
            <w:gridSpan w:val="7"/>
            <w:shd w:val="clear" w:color="auto" w:fill="auto"/>
            <w:vAlign w:val="center"/>
          </w:tcPr>
          <w:p w:rsidR="00D84364" w:rsidRPr="003F1EC2" w:rsidRDefault="00D84364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KNF</w:t>
            </w:r>
          </w:p>
        </w:tc>
        <w:tc>
          <w:tcPr>
            <w:tcW w:w="337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4364" w:rsidRPr="003F1EC2" w:rsidRDefault="00D84364" w:rsidP="00424472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4364" w:rsidRPr="00424472" w:rsidTr="00580311">
        <w:trPr>
          <w:trHeight w:val="707"/>
          <w:jc w:val="center"/>
        </w:trPr>
        <w:tc>
          <w:tcPr>
            <w:tcW w:w="2298" w:type="dxa"/>
            <w:gridSpan w:val="3"/>
            <w:vMerge/>
            <w:shd w:val="clear" w:color="auto" w:fill="auto"/>
            <w:vAlign w:val="center"/>
          </w:tcPr>
          <w:p w:rsidR="00D84364" w:rsidRPr="00B00A05" w:rsidRDefault="00D84364" w:rsidP="003F1EC2">
            <w:pPr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3260" w:type="dxa"/>
            <w:gridSpan w:val="11"/>
            <w:shd w:val="clear" w:color="auto" w:fill="auto"/>
            <w:vAlign w:val="center"/>
          </w:tcPr>
          <w:p w:rsidR="00D84364" w:rsidRDefault="00D84364" w:rsidP="003525F3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45,61 mln </w:t>
            </w:r>
          </w:p>
          <w:p w:rsidR="00D84364" w:rsidRDefault="00AB079F" w:rsidP="003525F3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otwartych rachunków bankowych</w:t>
            </w:r>
          </w:p>
          <w:p w:rsidR="00D84364" w:rsidRDefault="00D84364" w:rsidP="003525F3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(stan na 21.12.2019 r.)</w:t>
            </w:r>
          </w:p>
        </w:tc>
        <w:tc>
          <w:tcPr>
            <w:tcW w:w="1843" w:type="dxa"/>
            <w:gridSpan w:val="7"/>
            <w:shd w:val="clear" w:color="auto" w:fill="auto"/>
            <w:vAlign w:val="center"/>
          </w:tcPr>
          <w:p w:rsidR="00D84364" w:rsidRDefault="00D84364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0096A">
              <w:rPr>
                <w:rFonts w:ascii="Times New Roman" w:hAnsi="Times New Roman"/>
                <w:spacing w:val="-2"/>
                <w:sz w:val="20"/>
                <w:szCs w:val="20"/>
              </w:rPr>
              <w:t>PRNews.pl</w:t>
            </w:r>
          </w:p>
        </w:tc>
        <w:tc>
          <w:tcPr>
            <w:tcW w:w="337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4364" w:rsidRPr="003F1EC2" w:rsidRDefault="00D84364" w:rsidP="00424472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4364" w:rsidRPr="00424472" w:rsidTr="00580311">
        <w:trPr>
          <w:trHeight w:val="707"/>
          <w:jc w:val="center"/>
        </w:trPr>
        <w:tc>
          <w:tcPr>
            <w:tcW w:w="2298" w:type="dxa"/>
            <w:gridSpan w:val="3"/>
            <w:vMerge/>
            <w:shd w:val="clear" w:color="auto" w:fill="auto"/>
            <w:vAlign w:val="center"/>
          </w:tcPr>
          <w:p w:rsidR="00D84364" w:rsidRPr="00B00A05" w:rsidRDefault="00D84364" w:rsidP="003F1EC2">
            <w:pPr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3260" w:type="dxa"/>
            <w:gridSpan w:val="11"/>
            <w:shd w:val="clear" w:color="auto" w:fill="auto"/>
            <w:vAlign w:val="center"/>
          </w:tcPr>
          <w:p w:rsidR="00D84364" w:rsidRDefault="00D84364" w:rsidP="003525F3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1,55, mln</w:t>
            </w:r>
          </w:p>
          <w:p w:rsidR="00D84364" w:rsidRDefault="00D84364" w:rsidP="003525F3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członków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SKOKów</w:t>
            </w:r>
            <w:proofErr w:type="spellEnd"/>
          </w:p>
          <w:p w:rsidR="00D84364" w:rsidRDefault="00D84364" w:rsidP="003525F3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(stan na 31.12.2018 r.)</w:t>
            </w:r>
          </w:p>
        </w:tc>
        <w:tc>
          <w:tcPr>
            <w:tcW w:w="1843" w:type="dxa"/>
            <w:gridSpan w:val="7"/>
            <w:shd w:val="clear" w:color="auto" w:fill="auto"/>
            <w:vAlign w:val="center"/>
          </w:tcPr>
          <w:p w:rsidR="00D84364" w:rsidRDefault="00D84364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GUS</w:t>
            </w:r>
          </w:p>
        </w:tc>
        <w:tc>
          <w:tcPr>
            <w:tcW w:w="337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4364" w:rsidRPr="003F1EC2" w:rsidRDefault="00D84364" w:rsidP="00424472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4364" w:rsidRPr="00424472" w:rsidTr="00580311">
        <w:trPr>
          <w:trHeight w:val="707"/>
          <w:jc w:val="center"/>
        </w:trPr>
        <w:tc>
          <w:tcPr>
            <w:tcW w:w="2298" w:type="dxa"/>
            <w:gridSpan w:val="3"/>
            <w:vMerge/>
            <w:shd w:val="clear" w:color="auto" w:fill="auto"/>
            <w:vAlign w:val="center"/>
          </w:tcPr>
          <w:p w:rsidR="00D84364" w:rsidRPr="00B00A05" w:rsidRDefault="00D84364" w:rsidP="003F1EC2">
            <w:pPr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3260" w:type="dxa"/>
            <w:gridSpan w:val="11"/>
            <w:shd w:val="clear" w:color="auto" w:fill="auto"/>
            <w:vAlign w:val="center"/>
          </w:tcPr>
          <w:p w:rsidR="00D84364" w:rsidRDefault="00D84364" w:rsidP="00CC4211">
            <w:pPr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CC4211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 xml:space="preserve">2,43 mln </w:t>
            </w:r>
          </w:p>
          <w:p w:rsidR="00D84364" w:rsidRDefault="00D84364" w:rsidP="00CC4211">
            <w:pPr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CC4211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klientów</w:t>
            </w:r>
            <w:r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 xml:space="preserve"> funduszy inwestycyjnych</w:t>
            </w:r>
          </w:p>
          <w:p w:rsidR="00D84364" w:rsidRPr="00224369" w:rsidRDefault="00D84364" w:rsidP="003525F3">
            <w:pPr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(stan na 30.06.2019 r.)</w:t>
            </w:r>
          </w:p>
        </w:tc>
        <w:tc>
          <w:tcPr>
            <w:tcW w:w="1843" w:type="dxa"/>
            <w:gridSpan w:val="7"/>
            <w:shd w:val="clear" w:color="auto" w:fill="auto"/>
            <w:vAlign w:val="center"/>
          </w:tcPr>
          <w:p w:rsidR="00D84364" w:rsidRDefault="00D84364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analizy.pl</w:t>
            </w:r>
          </w:p>
        </w:tc>
        <w:tc>
          <w:tcPr>
            <w:tcW w:w="337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4364" w:rsidRPr="003F1EC2" w:rsidRDefault="00D84364" w:rsidP="00424472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4364" w:rsidRPr="00424472" w:rsidTr="003F1EC2">
        <w:trPr>
          <w:trHeight w:val="707"/>
          <w:jc w:val="center"/>
        </w:trPr>
        <w:tc>
          <w:tcPr>
            <w:tcW w:w="2298" w:type="dxa"/>
            <w:gridSpan w:val="3"/>
            <w:vMerge/>
            <w:shd w:val="clear" w:color="auto" w:fill="auto"/>
            <w:vAlign w:val="center"/>
          </w:tcPr>
          <w:p w:rsidR="00D84364" w:rsidRPr="00B00A05" w:rsidRDefault="00D84364" w:rsidP="003F1EC2">
            <w:pPr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3260" w:type="dxa"/>
            <w:gridSpan w:val="11"/>
            <w:shd w:val="clear" w:color="auto" w:fill="auto"/>
            <w:vAlign w:val="center"/>
          </w:tcPr>
          <w:p w:rsidR="00D84364" w:rsidRDefault="00D84364" w:rsidP="00CC4211">
            <w:pPr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B81AC3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 xml:space="preserve">2,7 mln </w:t>
            </w:r>
          </w:p>
          <w:p w:rsidR="00D84364" w:rsidRPr="00CC4211" w:rsidRDefault="00D84364" w:rsidP="00CC4211">
            <w:pPr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B81AC3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pożyczek</w:t>
            </w:r>
            <w:r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 xml:space="preserve"> udzielonych przez firmy pożyczkowe w 2018 r.</w:t>
            </w:r>
          </w:p>
        </w:tc>
        <w:tc>
          <w:tcPr>
            <w:tcW w:w="1843" w:type="dxa"/>
            <w:gridSpan w:val="7"/>
            <w:shd w:val="clear" w:color="auto" w:fill="auto"/>
            <w:vAlign w:val="center"/>
          </w:tcPr>
          <w:p w:rsidR="00D84364" w:rsidRDefault="00D84364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CMS - </w:t>
            </w:r>
            <w:r w:rsidRPr="00B81AC3">
              <w:rPr>
                <w:rFonts w:ascii="Times New Roman" w:hAnsi="Times New Roman"/>
                <w:spacing w:val="-2"/>
                <w:sz w:val="20"/>
                <w:szCs w:val="20"/>
              </w:rPr>
              <w:t>Polski rynek usług pożyczkowych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2019</w:t>
            </w:r>
          </w:p>
        </w:tc>
        <w:tc>
          <w:tcPr>
            <w:tcW w:w="337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364" w:rsidRPr="003F1EC2" w:rsidRDefault="00D84364" w:rsidP="00424472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0311" w:rsidRPr="00424472" w:rsidTr="00580311">
        <w:trPr>
          <w:trHeight w:val="707"/>
          <w:jc w:val="center"/>
        </w:trPr>
        <w:tc>
          <w:tcPr>
            <w:tcW w:w="2298" w:type="dxa"/>
            <w:gridSpan w:val="3"/>
            <w:vMerge w:val="restart"/>
            <w:shd w:val="clear" w:color="auto" w:fill="auto"/>
          </w:tcPr>
          <w:p w:rsidR="00580311" w:rsidRPr="00B00A05" w:rsidRDefault="00580311" w:rsidP="003F1EC2">
            <w:pPr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  <w:p w:rsidR="00580311" w:rsidRPr="00B00A05" w:rsidRDefault="00580311" w:rsidP="003F1EC2">
            <w:pPr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B00A05">
              <w:rPr>
                <w:rFonts w:ascii="Times New Roman" w:hAnsi="Times New Roman"/>
                <w:spacing w:val="-2"/>
                <w:sz w:val="20"/>
                <w:szCs w:val="20"/>
              </w:rPr>
              <w:t>podmioty rynku finansowego</w:t>
            </w:r>
          </w:p>
        </w:tc>
        <w:tc>
          <w:tcPr>
            <w:tcW w:w="3260" w:type="dxa"/>
            <w:gridSpan w:val="11"/>
            <w:shd w:val="clear" w:color="auto" w:fill="auto"/>
            <w:vAlign w:val="center"/>
          </w:tcPr>
          <w:p w:rsidR="00580311" w:rsidRPr="003F1EC2" w:rsidRDefault="00580311" w:rsidP="003525F3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F1EC2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59 </w:t>
            </w:r>
          </w:p>
          <w:p w:rsidR="00580311" w:rsidRPr="003F1EC2" w:rsidRDefault="00580311" w:rsidP="003525F3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F1EC2">
              <w:rPr>
                <w:rFonts w:ascii="Times New Roman" w:hAnsi="Times New Roman"/>
                <w:spacing w:val="-2"/>
                <w:sz w:val="20"/>
                <w:szCs w:val="20"/>
              </w:rPr>
              <w:t>krajowych zakładów</w:t>
            </w:r>
          </w:p>
          <w:p w:rsidR="00580311" w:rsidRPr="003F1EC2" w:rsidRDefault="00580311" w:rsidP="003525F3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F1EC2">
              <w:rPr>
                <w:rFonts w:ascii="Times New Roman" w:hAnsi="Times New Roman"/>
                <w:spacing w:val="-2"/>
                <w:sz w:val="20"/>
                <w:szCs w:val="20"/>
              </w:rPr>
              <w:t>ubezpieczeń/reasekuracji</w:t>
            </w:r>
          </w:p>
        </w:tc>
        <w:tc>
          <w:tcPr>
            <w:tcW w:w="1843" w:type="dxa"/>
            <w:gridSpan w:val="7"/>
            <w:shd w:val="clear" w:color="auto" w:fill="auto"/>
            <w:vAlign w:val="center"/>
          </w:tcPr>
          <w:p w:rsidR="00580311" w:rsidRPr="003F1EC2" w:rsidRDefault="00580311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F1EC2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KNF – Raport </w:t>
            </w:r>
            <w:r w:rsidRPr="003F1EC2">
              <w:rPr>
                <w:rFonts w:ascii="Times New Roman" w:hAnsi="Times New Roman"/>
                <w:spacing w:val="-2"/>
                <w:sz w:val="20"/>
                <w:szCs w:val="20"/>
              </w:rPr>
              <w:br/>
              <w:t>o stanie sektora ubezpieczeń po IV kwartałach 2019 roku</w:t>
            </w:r>
          </w:p>
        </w:tc>
        <w:tc>
          <w:tcPr>
            <w:tcW w:w="3373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11" w:rsidRDefault="00580311" w:rsidP="00580311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Zmiana podmiotu wykonującego zadania w zakresie </w:t>
            </w:r>
            <w:r w:rsidRPr="00F825D2">
              <w:rPr>
                <w:rFonts w:ascii="Times New Roman" w:hAnsi="Times New Roman"/>
                <w:sz w:val="20"/>
                <w:szCs w:val="20"/>
              </w:rPr>
              <w:t xml:space="preserve">ochrony </w:t>
            </w:r>
            <w:r w:rsidR="00EA1A95">
              <w:rPr>
                <w:rFonts w:ascii="Times New Roman" w:hAnsi="Times New Roman"/>
                <w:sz w:val="20"/>
                <w:szCs w:val="20"/>
              </w:rPr>
              <w:t xml:space="preserve">indywidualnych </w:t>
            </w:r>
            <w:r w:rsidRPr="00F825D2">
              <w:rPr>
                <w:rFonts w:ascii="Times New Roman" w:hAnsi="Times New Roman"/>
                <w:sz w:val="20"/>
                <w:szCs w:val="20"/>
              </w:rPr>
              <w:t>interesów klientów</w:t>
            </w:r>
            <w:r w:rsidR="0015014C">
              <w:rPr>
                <w:rFonts w:ascii="Times New Roman" w:hAnsi="Times New Roman"/>
                <w:sz w:val="20"/>
                <w:szCs w:val="20"/>
              </w:rPr>
              <w:t xml:space="preserve"> podmiotów</w:t>
            </w:r>
            <w:r w:rsidRPr="00F825D2">
              <w:rPr>
                <w:rFonts w:ascii="Times New Roman" w:hAnsi="Times New Roman"/>
                <w:sz w:val="20"/>
                <w:szCs w:val="20"/>
              </w:rPr>
              <w:t xml:space="preserve"> rynku finansowego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prowadzenia pozasądowego postępowania w sprawie rozwiązywania sporów między</w:t>
            </w:r>
            <w:r w:rsidR="005B02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25D2">
              <w:rPr>
                <w:rFonts w:ascii="Times New Roman" w:hAnsi="Times New Roman"/>
                <w:sz w:val="20"/>
                <w:szCs w:val="20"/>
              </w:rPr>
              <w:t>klientem a podmiotem rynku finansowego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80311" w:rsidRDefault="00580311" w:rsidP="00424472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80311" w:rsidRPr="003F1EC2" w:rsidRDefault="00580311" w:rsidP="00424472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0311" w:rsidRPr="00424472" w:rsidTr="00580311">
        <w:trPr>
          <w:trHeight w:val="707"/>
          <w:jc w:val="center"/>
        </w:trPr>
        <w:tc>
          <w:tcPr>
            <w:tcW w:w="2298" w:type="dxa"/>
            <w:gridSpan w:val="3"/>
            <w:vMerge/>
            <w:shd w:val="clear" w:color="auto" w:fill="auto"/>
            <w:vAlign w:val="center"/>
          </w:tcPr>
          <w:p w:rsidR="00580311" w:rsidRPr="00B00A05" w:rsidRDefault="00580311" w:rsidP="00424472">
            <w:pPr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3260" w:type="dxa"/>
            <w:gridSpan w:val="11"/>
            <w:shd w:val="clear" w:color="auto" w:fill="auto"/>
            <w:vAlign w:val="center"/>
          </w:tcPr>
          <w:p w:rsidR="00580311" w:rsidRPr="003F1EC2" w:rsidRDefault="00580311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F1EC2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39 </w:t>
            </w:r>
          </w:p>
          <w:p w:rsidR="00580311" w:rsidRPr="003F1EC2" w:rsidRDefault="00580311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F1EC2">
              <w:rPr>
                <w:rFonts w:ascii="Times New Roman" w:hAnsi="Times New Roman"/>
                <w:spacing w:val="-2"/>
                <w:sz w:val="20"/>
                <w:szCs w:val="20"/>
              </w:rPr>
              <w:t>krajowych instytucji płatniczych</w:t>
            </w:r>
          </w:p>
        </w:tc>
        <w:tc>
          <w:tcPr>
            <w:tcW w:w="1843" w:type="dxa"/>
            <w:gridSpan w:val="7"/>
            <w:vMerge w:val="restart"/>
            <w:shd w:val="clear" w:color="auto" w:fill="auto"/>
            <w:vAlign w:val="center"/>
          </w:tcPr>
          <w:p w:rsidR="00580311" w:rsidRPr="003F1EC2" w:rsidRDefault="00580311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F1EC2">
              <w:rPr>
                <w:rFonts w:ascii="Times New Roman" w:hAnsi="Times New Roman"/>
                <w:spacing w:val="-2"/>
                <w:sz w:val="20"/>
                <w:szCs w:val="20"/>
              </w:rPr>
              <w:t>https://e-rup.knf.gov.pl/</w:t>
            </w:r>
          </w:p>
        </w:tc>
        <w:tc>
          <w:tcPr>
            <w:tcW w:w="337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11" w:rsidRPr="003F1EC2" w:rsidRDefault="00580311" w:rsidP="00424472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0311" w:rsidRPr="00424472" w:rsidTr="00580311">
        <w:trPr>
          <w:trHeight w:val="707"/>
          <w:jc w:val="center"/>
        </w:trPr>
        <w:tc>
          <w:tcPr>
            <w:tcW w:w="2298" w:type="dxa"/>
            <w:gridSpan w:val="3"/>
            <w:vMerge/>
            <w:shd w:val="clear" w:color="auto" w:fill="auto"/>
            <w:vAlign w:val="center"/>
          </w:tcPr>
          <w:p w:rsidR="00580311" w:rsidRPr="00B00A05" w:rsidRDefault="00580311" w:rsidP="00424472">
            <w:pPr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3260" w:type="dxa"/>
            <w:gridSpan w:val="11"/>
            <w:shd w:val="clear" w:color="auto" w:fill="auto"/>
            <w:vAlign w:val="center"/>
          </w:tcPr>
          <w:p w:rsidR="00580311" w:rsidRPr="003F1EC2" w:rsidRDefault="00580311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F1EC2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64 </w:t>
            </w:r>
          </w:p>
          <w:p w:rsidR="00580311" w:rsidRPr="003F1EC2" w:rsidRDefault="00580311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F1EC2">
              <w:rPr>
                <w:rFonts w:ascii="Times New Roman" w:hAnsi="Times New Roman"/>
                <w:spacing w:val="-2"/>
                <w:sz w:val="20"/>
                <w:szCs w:val="20"/>
              </w:rPr>
              <w:t>małe instytucje płatnicze</w:t>
            </w:r>
          </w:p>
        </w:tc>
        <w:tc>
          <w:tcPr>
            <w:tcW w:w="1843" w:type="dxa"/>
            <w:gridSpan w:val="7"/>
            <w:vMerge/>
            <w:shd w:val="clear" w:color="auto" w:fill="auto"/>
            <w:vAlign w:val="center"/>
          </w:tcPr>
          <w:p w:rsidR="00580311" w:rsidRPr="003F1EC2" w:rsidRDefault="00580311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337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11" w:rsidRPr="003F1EC2" w:rsidRDefault="00580311" w:rsidP="00424472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0311" w:rsidRPr="00424472" w:rsidTr="00580311">
        <w:trPr>
          <w:trHeight w:val="707"/>
          <w:jc w:val="center"/>
        </w:trPr>
        <w:tc>
          <w:tcPr>
            <w:tcW w:w="2298" w:type="dxa"/>
            <w:gridSpan w:val="3"/>
            <w:vMerge/>
            <w:shd w:val="clear" w:color="auto" w:fill="auto"/>
            <w:vAlign w:val="center"/>
          </w:tcPr>
          <w:p w:rsidR="00580311" w:rsidRPr="00B00A05" w:rsidRDefault="00580311" w:rsidP="00424472">
            <w:pPr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3260" w:type="dxa"/>
            <w:gridSpan w:val="11"/>
            <w:shd w:val="clear" w:color="auto" w:fill="auto"/>
            <w:vAlign w:val="center"/>
          </w:tcPr>
          <w:p w:rsidR="00580311" w:rsidRPr="003F1EC2" w:rsidRDefault="00580311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F1EC2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3 </w:t>
            </w:r>
          </w:p>
          <w:p w:rsidR="00580311" w:rsidRPr="003F1EC2" w:rsidRDefault="00580311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F1EC2">
              <w:rPr>
                <w:rFonts w:ascii="Times New Roman" w:hAnsi="Times New Roman"/>
                <w:spacing w:val="-2"/>
                <w:sz w:val="20"/>
                <w:szCs w:val="20"/>
              </w:rPr>
              <w:t>dostawców świadczących wyłącznie usługę dostępu do informacji o rachunku</w:t>
            </w:r>
          </w:p>
        </w:tc>
        <w:tc>
          <w:tcPr>
            <w:tcW w:w="1843" w:type="dxa"/>
            <w:gridSpan w:val="7"/>
            <w:vMerge/>
            <w:shd w:val="clear" w:color="auto" w:fill="auto"/>
            <w:vAlign w:val="center"/>
          </w:tcPr>
          <w:p w:rsidR="00580311" w:rsidRPr="003F1EC2" w:rsidRDefault="00580311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337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11" w:rsidRPr="003F1EC2" w:rsidRDefault="00580311" w:rsidP="00424472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0311" w:rsidRPr="00424472" w:rsidTr="00580311">
        <w:trPr>
          <w:trHeight w:val="707"/>
          <w:jc w:val="center"/>
        </w:trPr>
        <w:tc>
          <w:tcPr>
            <w:tcW w:w="2298" w:type="dxa"/>
            <w:gridSpan w:val="3"/>
            <w:vMerge/>
            <w:shd w:val="clear" w:color="auto" w:fill="auto"/>
            <w:vAlign w:val="center"/>
          </w:tcPr>
          <w:p w:rsidR="00580311" w:rsidRPr="00B00A05" w:rsidRDefault="00580311" w:rsidP="00424472">
            <w:pPr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3260" w:type="dxa"/>
            <w:gridSpan w:val="11"/>
            <w:shd w:val="clear" w:color="auto" w:fill="auto"/>
            <w:vAlign w:val="center"/>
          </w:tcPr>
          <w:p w:rsidR="00580311" w:rsidRPr="003F1EC2" w:rsidRDefault="00580311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F1EC2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1447 </w:t>
            </w:r>
          </w:p>
          <w:p w:rsidR="00580311" w:rsidRPr="003F1EC2" w:rsidRDefault="00580311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F1EC2">
              <w:rPr>
                <w:rFonts w:ascii="Times New Roman" w:hAnsi="Times New Roman"/>
                <w:spacing w:val="-2"/>
                <w:sz w:val="20"/>
                <w:szCs w:val="20"/>
              </w:rPr>
              <w:t>biur usług płatniczych</w:t>
            </w:r>
          </w:p>
        </w:tc>
        <w:tc>
          <w:tcPr>
            <w:tcW w:w="1843" w:type="dxa"/>
            <w:gridSpan w:val="7"/>
            <w:vMerge/>
            <w:shd w:val="clear" w:color="auto" w:fill="auto"/>
            <w:vAlign w:val="center"/>
          </w:tcPr>
          <w:p w:rsidR="00580311" w:rsidRPr="003F1EC2" w:rsidRDefault="00580311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337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11" w:rsidRPr="003F1EC2" w:rsidRDefault="00580311" w:rsidP="00424472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0311" w:rsidRPr="00424472" w:rsidTr="00580311">
        <w:trPr>
          <w:trHeight w:val="707"/>
          <w:jc w:val="center"/>
        </w:trPr>
        <w:tc>
          <w:tcPr>
            <w:tcW w:w="2298" w:type="dxa"/>
            <w:gridSpan w:val="3"/>
            <w:vMerge/>
            <w:shd w:val="clear" w:color="auto" w:fill="auto"/>
            <w:vAlign w:val="center"/>
          </w:tcPr>
          <w:p w:rsidR="00580311" w:rsidRPr="00B00A05" w:rsidRDefault="00580311" w:rsidP="00424472">
            <w:pPr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3260" w:type="dxa"/>
            <w:gridSpan w:val="11"/>
            <w:shd w:val="clear" w:color="auto" w:fill="auto"/>
            <w:vAlign w:val="center"/>
          </w:tcPr>
          <w:p w:rsidR="00580311" w:rsidRPr="003F1EC2" w:rsidRDefault="00580311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F1EC2">
              <w:rPr>
                <w:rFonts w:ascii="Times New Roman" w:hAnsi="Times New Roman"/>
                <w:spacing w:val="-2"/>
                <w:sz w:val="20"/>
                <w:szCs w:val="20"/>
              </w:rPr>
              <w:t>1</w:t>
            </w:r>
          </w:p>
          <w:p w:rsidR="00580311" w:rsidRPr="003F1EC2" w:rsidRDefault="00580311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F1EC2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krajowa instytucja pieniądza elektronicznego</w:t>
            </w:r>
          </w:p>
        </w:tc>
        <w:tc>
          <w:tcPr>
            <w:tcW w:w="1843" w:type="dxa"/>
            <w:gridSpan w:val="7"/>
            <w:vMerge/>
            <w:shd w:val="clear" w:color="auto" w:fill="auto"/>
            <w:vAlign w:val="center"/>
          </w:tcPr>
          <w:p w:rsidR="00580311" w:rsidRPr="003F1EC2" w:rsidRDefault="00580311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337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11" w:rsidRPr="003F1EC2" w:rsidRDefault="00580311" w:rsidP="00424472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0311" w:rsidRPr="00424472" w:rsidTr="00580311">
        <w:trPr>
          <w:trHeight w:val="707"/>
          <w:jc w:val="center"/>
        </w:trPr>
        <w:tc>
          <w:tcPr>
            <w:tcW w:w="2298" w:type="dxa"/>
            <w:gridSpan w:val="3"/>
            <w:vMerge/>
            <w:shd w:val="clear" w:color="auto" w:fill="auto"/>
            <w:vAlign w:val="center"/>
          </w:tcPr>
          <w:p w:rsidR="00580311" w:rsidRPr="00B00A05" w:rsidRDefault="00580311" w:rsidP="00424472">
            <w:pPr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3260" w:type="dxa"/>
            <w:gridSpan w:val="11"/>
            <w:shd w:val="clear" w:color="auto" w:fill="auto"/>
            <w:vAlign w:val="center"/>
          </w:tcPr>
          <w:p w:rsidR="00580311" w:rsidRPr="003F1EC2" w:rsidRDefault="00580311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F1EC2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869 </w:t>
            </w:r>
          </w:p>
          <w:p w:rsidR="00580311" w:rsidRPr="003F1EC2" w:rsidRDefault="00580311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F1EC2">
              <w:rPr>
                <w:rFonts w:ascii="Times New Roman" w:hAnsi="Times New Roman"/>
                <w:spacing w:val="-2"/>
                <w:sz w:val="20"/>
                <w:szCs w:val="20"/>
              </w:rPr>
              <w:t>oddziałów instytucji wpisanych do rejestru KNF</w:t>
            </w:r>
          </w:p>
        </w:tc>
        <w:tc>
          <w:tcPr>
            <w:tcW w:w="1843" w:type="dxa"/>
            <w:gridSpan w:val="7"/>
            <w:vMerge/>
            <w:shd w:val="clear" w:color="auto" w:fill="auto"/>
            <w:vAlign w:val="center"/>
          </w:tcPr>
          <w:p w:rsidR="00580311" w:rsidRPr="003F1EC2" w:rsidRDefault="00580311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337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11" w:rsidRPr="003F1EC2" w:rsidRDefault="00580311" w:rsidP="00424472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0311" w:rsidRPr="00424472" w:rsidTr="00580311">
        <w:trPr>
          <w:trHeight w:val="707"/>
          <w:jc w:val="center"/>
        </w:trPr>
        <w:tc>
          <w:tcPr>
            <w:tcW w:w="2298" w:type="dxa"/>
            <w:gridSpan w:val="3"/>
            <w:vMerge/>
            <w:shd w:val="clear" w:color="auto" w:fill="auto"/>
            <w:vAlign w:val="center"/>
          </w:tcPr>
          <w:p w:rsidR="00580311" w:rsidRPr="00B00A05" w:rsidRDefault="00580311" w:rsidP="00424472">
            <w:pPr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3260" w:type="dxa"/>
            <w:gridSpan w:val="11"/>
            <w:shd w:val="clear" w:color="auto" w:fill="auto"/>
            <w:vAlign w:val="center"/>
          </w:tcPr>
          <w:p w:rsidR="00580311" w:rsidRPr="003F1EC2" w:rsidRDefault="00580311" w:rsidP="00B9513D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F1EC2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27 </w:t>
            </w:r>
          </w:p>
          <w:p w:rsidR="00580311" w:rsidRPr="003F1EC2" w:rsidRDefault="00580311" w:rsidP="00B9513D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F1EC2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spółdzielczych kas oszczędnościowo - kredytowych </w:t>
            </w:r>
          </w:p>
        </w:tc>
        <w:tc>
          <w:tcPr>
            <w:tcW w:w="1843" w:type="dxa"/>
            <w:gridSpan w:val="7"/>
            <w:vMerge/>
            <w:shd w:val="clear" w:color="auto" w:fill="auto"/>
            <w:vAlign w:val="center"/>
          </w:tcPr>
          <w:p w:rsidR="00580311" w:rsidRPr="003F1EC2" w:rsidRDefault="00580311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337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11" w:rsidRPr="003F1EC2" w:rsidRDefault="00580311" w:rsidP="00424472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6D9" w:rsidRPr="00424472" w:rsidTr="00580311">
        <w:trPr>
          <w:trHeight w:val="707"/>
          <w:jc w:val="center"/>
        </w:trPr>
        <w:tc>
          <w:tcPr>
            <w:tcW w:w="2298" w:type="dxa"/>
            <w:gridSpan w:val="3"/>
            <w:vMerge/>
            <w:shd w:val="clear" w:color="auto" w:fill="auto"/>
            <w:vAlign w:val="center"/>
          </w:tcPr>
          <w:p w:rsidR="000316D9" w:rsidRPr="00B00A05" w:rsidRDefault="000316D9" w:rsidP="00424472">
            <w:pPr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3260" w:type="dxa"/>
            <w:gridSpan w:val="11"/>
            <w:shd w:val="clear" w:color="auto" w:fill="auto"/>
            <w:vAlign w:val="center"/>
          </w:tcPr>
          <w:p w:rsidR="000316D9" w:rsidRDefault="000316D9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2</w:t>
            </w:r>
          </w:p>
          <w:p w:rsidR="000316D9" w:rsidRPr="003F1EC2" w:rsidRDefault="000316D9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podmioty zarządzające pracowniczymi funduszami emerytalnymi</w:t>
            </w:r>
          </w:p>
        </w:tc>
        <w:tc>
          <w:tcPr>
            <w:tcW w:w="1843" w:type="dxa"/>
            <w:gridSpan w:val="7"/>
            <w:vMerge w:val="restart"/>
            <w:shd w:val="clear" w:color="auto" w:fill="auto"/>
            <w:vAlign w:val="center"/>
          </w:tcPr>
          <w:p w:rsidR="000316D9" w:rsidRDefault="000316D9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KNF</w:t>
            </w:r>
          </w:p>
        </w:tc>
        <w:tc>
          <w:tcPr>
            <w:tcW w:w="337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16D9" w:rsidRPr="003F1EC2" w:rsidRDefault="000316D9" w:rsidP="00424472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6D9" w:rsidRPr="00424472" w:rsidTr="00580311">
        <w:trPr>
          <w:trHeight w:val="707"/>
          <w:jc w:val="center"/>
        </w:trPr>
        <w:tc>
          <w:tcPr>
            <w:tcW w:w="2298" w:type="dxa"/>
            <w:gridSpan w:val="3"/>
            <w:vMerge/>
            <w:shd w:val="clear" w:color="auto" w:fill="auto"/>
            <w:vAlign w:val="center"/>
          </w:tcPr>
          <w:p w:rsidR="000316D9" w:rsidRPr="00B00A05" w:rsidRDefault="000316D9" w:rsidP="00424472">
            <w:pPr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3260" w:type="dxa"/>
            <w:gridSpan w:val="11"/>
            <w:shd w:val="clear" w:color="auto" w:fill="auto"/>
            <w:vAlign w:val="center"/>
          </w:tcPr>
          <w:p w:rsidR="000316D9" w:rsidRDefault="000316D9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A8697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1205 </w:t>
            </w:r>
          </w:p>
          <w:p w:rsidR="000316D9" w:rsidRPr="003F1EC2" w:rsidRDefault="000316D9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pracowniczych </w:t>
            </w:r>
            <w:r w:rsidRPr="00A8697E">
              <w:rPr>
                <w:rFonts w:ascii="Times New Roman" w:hAnsi="Times New Roman"/>
                <w:spacing w:val="-2"/>
                <w:sz w:val="20"/>
                <w:szCs w:val="20"/>
              </w:rPr>
              <w:t>programów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emerytalnych</w:t>
            </w:r>
            <w:r w:rsidRPr="00A8697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zarządzanych przez 25 podmiotów</w:t>
            </w:r>
          </w:p>
        </w:tc>
        <w:tc>
          <w:tcPr>
            <w:tcW w:w="1843" w:type="dxa"/>
            <w:gridSpan w:val="7"/>
            <w:vMerge/>
            <w:shd w:val="clear" w:color="auto" w:fill="auto"/>
            <w:vAlign w:val="center"/>
          </w:tcPr>
          <w:p w:rsidR="000316D9" w:rsidRDefault="000316D9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337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16D9" w:rsidRPr="003F1EC2" w:rsidRDefault="000316D9" w:rsidP="00424472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0311" w:rsidRPr="00424472" w:rsidTr="00580311">
        <w:trPr>
          <w:trHeight w:val="707"/>
          <w:jc w:val="center"/>
        </w:trPr>
        <w:tc>
          <w:tcPr>
            <w:tcW w:w="2298" w:type="dxa"/>
            <w:gridSpan w:val="3"/>
            <w:vMerge/>
            <w:shd w:val="clear" w:color="auto" w:fill="auto"/>
            <w:vAlign w:val="center"/>
          </w:tcPr>
          <w:p w:rsidR="00580311" w:rsidRPr="00B00A05" w:rsidRDefault="00580311" w:rsidP="00424472">
            <w:pPr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3260" w:type="dxa"/>
            <w:gridSpan w:val="11"/>
            <w:shd w:val="clear" w:color="auto" w:fill="auto"/>
            <w:vAlign w:val="center"/>
          </w:tcPr>
          <w:p w:rsidR="00580311" w:rsidRPr="003F1EC2" w:rsidRDefault="00580311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F1EC2">
              <w:rPr>
                <w:rFonts w:ascii="Times New Roman" w:hAnsi="Times New Roman"/>
                <w:spacing w:val="-2"/>
                <w:sz w:val="20"/>
                <w:szCs w:val="20"/>
              </w:rPr>
              <w:t>Bank Gospodarstwa Krajowego</w:t>
            </w:r>
          </w:p>
        </w:tc>
        <w:tc>
          <w:tcPr>
            <w:tcW w:w="1843" w:type="dxa"/>
            <w:gridSpan w:val="7"/>
            <w:shd w:val="clear" w:color="auto" w:fill="auto"/>
            <w:vAlign w:val="center"/>
          </w:tcPr>
          <w:p w:rsidR="00580311" w:rsidRPr="003F1EC2" w:rsidRDefault="00580311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337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11" w:rsidRPr="003F1EC2" w:rsidRDefault="00580311" w:rsidP="00424472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0311" w:rsidRPr="00424472" w:rsidTr="00580311">
        <w:trPr>
          <w:trHeight w:val="707"/>
          <w:jc w:val="center"/>
        </w:trPr>
        <w:tc>
          <w:tcPr>
            <w:tcW w:w="2298" w:type="dxa"/>
            <w:gridSpan w:val="3"/>
            <w:vMerge/>
            <w:shd w:val="clear" w:color="auto" w:fill="auto"/>
            <w:vAlign w:val="center"/>
          </w:tcPr>
          <w:p w:rsidR="00580311" w:rsidRPr="00B00A05" w:rsidRDefault="00580311" w:rsidP="00424472">
            <w:pPr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3260" w:type="dxa"/>
            <w:gridSpan w:val="11"/>
            <w:shd w:val="clear" w:color="auto" w:fill="auto"/>
            <w:vAlign w:val="center"/>
          </w:tcPr>
          <w:p w:rsidR="00580311" w:rsidRPr="003F1EC2" w:rsidRDefault="00580311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F1EC2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30 </w:t>
            </w:r>
          </w:p>
          <w:p w:rsidR="00580311" w:rsidRPr="003F1EC2" w:rsidRDefault="00580311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F1EC2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krajowych banków komercyjnych </w:t>
            </w:r>
          </w:p>
          <w:p w:rsidR="00580311" w:rsidRPr="003F1EC2" w:rsidRDefault="00580311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F1EC2">
              <w:rPr>
                <w:rFonts w:ascii="Times New Roman" w:hAnsi="Times New Roman"/>
                <w:spacing w:val="-2"/>
                <w:sz w:val="20"/>
                <w:szCs w:val="20"/>
              </w:rPr>
              <w:t>(stan na 30.05.2020 r.)</w:t>
            </w:r>
          </w:p>
        </w:tc>
        <w:tc>
          <w:tcPr>
            <w:tcW w:w="1843" w:type="dxa"/>
            <w:gridSpan w:val="7"/>
            <w:vMerge w:val="restart"/>
            <w:shd w:val="clear" w:color="auto" w:fill="auto"/>
            <w:vAlign w:val="center"/>
          </w:tcPr>
          <w:p w:rsidR="00580311" w:rsidRPr="003F1EC2" w:rsidRDefault="00580311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F1EC2">
              <w:rPr>
                <w:rFonts w:ascii="Times New Roman" w:hAnsi="Times New Roman"/>
                <w:spacing w:val="-2"/>
                <w:sz w:val="20"/>
                <w:szCs w:val="20"/>
              </w:rPr>
              <w:t>KNF – dane miesięczne sektora bankowego - maj 2020</w:t>
            </w:r>
          </w:p>
        </w:tc>
        <w:tc>
          <w:tcPr>
            <w:tcW w:w="337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11" w:rsidRPr="003F1EC2" w:rsidRDefault="00580311" w:rsidP="00424472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0311" w:rsidRPr="00424472" w:rsidTr="00580311">
        <w:trPr>
          <w:trHeight w:val="707"/>
          <w:jc w:val="center"/>
        </w:trPr>
        <w:tc>
          <w:tcPr>
            <w:tcW w:w="2298" w:type="dxa"/>
            <w:gridSpan w:val="3"/>
            <w:vMerge/>
            <w:shd w:val="clear" w:color="auto" w:fill="auto"/>
            <w:vAlign w:val="center"/>
          </w:tcPr>
          <w:p w:rsidR="00580311" w:rsidRPr="00B00A05" w:rsidRDefault="00580311" w:rsidP="00424472">
            <w:pPr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3260" w:type="dxa"/>
            <w:gridSpan w:val="11"/>
            <w:shd w:val="clear" w:color="auto" w:fill="auto"/>
            <w:vAlign w:val="center"/>
          </w:tcPr>
          <w:p w:rsidR="00580311" w:rsidRPr="003F1EC2" w:rsidRDefault="00580311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F1EC2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33 </w:t>
            </w:r>
          </w:p>
          <w:p w:rsidR="00580311" w:rsidRPr="003F1EC2" w:rsidRDefault="00580311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F1EC2">
              <w:rPr>
                <w:rFonts w:ascii="Times New Roman" w:hAnsi="Times New Roman"/>
                <w:spacing w:val="-2"/>
                <w:sz w:val="20"/>
                <w:szCs w:val="20"/>
              </w:rPr>
              <w:t>oddziały instytucji kredytowych</w:t>
            </w:r>
          </w:p>
          <w:p w:rsidR="00580311" w:rsidRPr="003F1EC2" w:rsidRDefault="00580311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F1EC2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(stan na 30.05.2020 r.) </w:t>
            </w:r>
          </w:p>
        </w:tc>
        <w:tc>
          <w:tcPr>
            <w:tcW w:w="1843" w:type="dxa"/>
            <w:gridSpan w:val="7"/>
            <w:vMerge/>
            <w:shd w:val="clear" w:color="auto" w:fill="auto"/>
            <w:vAlign w:val="center"/>
          </w:tcPr>
          <w:p w:rsidR="00580311" w:rsidRPr="003F1EC2" w:rsidRDefault="00580311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337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11" w:rsidRPr="003F1EC2" w:rsidRDefault="00580311" w:rsidP="00424472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0311" w:rsidRPr="00424472" w:rsidTr="00580311">
        <w:trPr>
          <w:trHeight w:val="707"/>
          <w:jc w:val="center"/>
        </w:trPr>
        <w:tc>
          <w:tcPr>
            <w:tcW w:w="2298" w:type="dxa"/>
            <w:gridSpan w:val="3"/>
            <w:vMerge/>
            <w:shd w:val="clear" w:color="auto" w:fill="auto"/>
            <w:vAlign w:val="center"/>
          </w:tcPr>
          <w:p w:rsidR="00580311" w:rsidRPr="00B00A05" w:rsidRDefault="00580311" w:rsidP="00424472">
            <w:pPr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3260" w:type="dxa"/>
            <w:gridSpan w:val="11"/>
            <w:shd w:val="clear" w:color="auto" w:fill="auto"/>
            <w:vAlign w:val="center"/>
          </w:tcPr>
          <w:p w:rsidR="00580311" w:rsidRPr="003F1EC2" w:rsidRDefault="00580311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F1EC2">
              <w:rPr>
                <w:rFonts w:ascii="Times New Roman" w:hAnsi="Times New Roman"/>
                <w:spacing w:val="-2"/>
                <w:sz w:val="20"/>
                <w:szCs w:val="20"/>
              </w:rPr>
              <w:t>61</w:t>
            </w:r>
          </w:p>
          <w:p w:rsidR="00580311" w:rsidRPr="003F1EC2" w:rsidRDefault="00580311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F1EC2">
              <w:rPr>
                <w:rFonts w:ascii="Times New Roman" w:hAnsi="Times New Roman"/>
                <w:spacing w:val="-2"/>
                <w:sz w:val="20"/>
                <w:szCs w:val="20"/>
              </w:rPr>
              <w:t>towarzystw funduszy inwestycyjnych</w:t>
            </w:r>
          </w:p>
        </w:tc>
        <w:tc>
          <w:tcPr>
            <w:tcW w:w="1843" w:type="dxa"/>
            <w:gridSpan w:val="7"/>
            <w:vMerge w:val="restart"/>
            <w:shd w:val="clear" w:color="auto" w:fill="auto"/>
            <w:vAlign w:val="center"/>
          </w:tcPr>
          <w:p w:rsidR="00580311" w:rsidRPr="003F1EC2" w:rsidRDefault="00580311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F1EC2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KNF - Raport dotyczący sytuacji finansowej towarzystw funduszy inwestycyjnych </w:t>
            </w:r>
            <w:r w:rsidRPr="003F1EC2">
              <w:rPr>
                <w:rFonts w:ascii="Times New Roman" w:hAnsi="Times New Roman"/>
                <w:spacing w:val="-2"/>
                <w:sz w:val="20"/>
                <w:szCs w:val="20"/>
              </w:rPr>
              <w:br/>
              <w:t>w 2018 roku</w:t>
            </w:r>
          </w:p>
        </w:tc>
        <w:tc>
          <w:tcPr>
            <w:tcW w:w="337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11" w:rsidRPr="003F1EC2" w:rsidRDefault="00580311" w:rsidP="00424472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0311" w:rsidRPr="00424472" w:rsidTr="00580311">
        <w:trPr>
          <w:trHeight w:val="707"/>
          <w:jc w:val="center"/>
        </w:trPr>
        <w:tc>
          <w:tcPr>
            <w:tcW w:w="2298" w:type="dxa"/>
            <w:gridSpan w:val="3"/>
            <w:vMerge/>
            <w:shd w:val="clear" w:color="auto" w:fill="auto"/>
            <w:vAlign w:val="center"/>
          </w:tcPr>
          <w:p w:rsidR="00580311" w:rsidRPr="00B00A05" w:rsidRDefault="00580311" w:rsidP="00424472">
            <w:pPr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3260" w:type="dxa"/>
            <w:gridSpan w:val="11"/>
            <w:shd w:val="clear" w:color="auto" w:fill="auto"/>
            <w:vAlign w:val="center"/>
          </w:tcPr>
          <w:p w:rsidR="00580311" w:rsidRPr="003F1EC2" w:rsidRDefault="00580311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F1EC2">
              <w:rPr>
                <w:rFonts w:ascii="Times New Roman" w:hAnsi="Times New Roman"/>
                <w:spacing w:val="-2"/>
                <w:sz w:val="20"/>
                <w:szCs w:val="20"/>
              </w:rPr>
              <w:t>878</w:t>
            </w:r>
          </w:p>
          <w:p w:rsidR="00580311" w:rsidRPr="003F1EC2" w:rsidRDefault="00580311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F1EC2">
              <w:rPr>
                <w:rFonts w:ascii="Times New Roman" w:hAnsi="Times New Roman"/>
                <w:spacing w:val="-2"/>
                <w:sz w:val="20"/>
                <w:szCs w:val="20"/>
              </w:rPr>
              <w:t>funduszy inwestycyjnych</w:t>
            </w:r>
          </w:p>
        </w:tc>
        <w:tc>
          <w:tcPr>
            <w:tcW w:w="1843" w:type="dxa"/>
            <w:gridSpan w:val="7"/>
            <w:vMerge/>
            <w:shd w:val="clear" w:color="auto" w:fill="auto"/>
            <w:vAlign w:val="center"/>
          </w:tcPr>
          <w:p w:rsidR="00580311" w:rsidRPr="003F1EC2" w:rsidRDefault="00580311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337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11" w:rsidRPr="003F1EC2" w:rsidRDefault="00580311" w:rsidP="00424472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0311" w:rsidRPr="00424472" w:rsidTr="00580311">
        <w:trPr>
          <w:trHeight w:val="353"/>
          <w:jc w:val="center"/>
        </w:trPr>
        <w:tc>
          <w:tcPr>
            <w:tcW w:w="2298" w:type="dxa"/>
            <w:gridSpan w:val="3"/>
            <w:vMerge/>
            <w:shd w:val="clear" w:color="auto" w:fill="auto"/>
            <w:vAlign w:val="center"/>
          </w:tcPr>
          <w:p w:rsidR="00580311" w:rsidRPr="00B00A05" w:rsidRDefault="00580311" w:rsidP="00424472">
            <w:pPr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3260" w:type="dxa"/>
            <w:gridSpan w:val="11"/>
            <w:shd w:val="clear" w:color="auto" w:fill="auto"/>
            <w:vAlign w:val="center"/>
          </w:tcPr>
          <w:p w:rsidR="00580311" w:rsidRPr="003F1EC2" w:rsidRDefault="00580311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F1EC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zarządzający ASI</w:t>
            </w:r>
          </w:p>
        </w:tc>
        <w:tc>
          <w:tcPr>
            <w:tcW w:w="1843" w:type="dxa"/>
            <w:gridSpan w:val="7"/>
            <w:vMerge w:val="restart"/>
            <w:shd w:val="clear" w:color="auto" w:fill="auto"/>
            <w:vAlign w:val="center"/>
          </w:tcPr>
          <w:p w:rsidR="00580311" w:rsidRPr="003F1EC2" w:rsidRDefault="00580311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F1EC2">
              <w:rPr>
                <w:rFonts w:ascii="Times New Roman" w:hAnsi="Times New Roman"/>
                <w:spacing w:val="-2"/>
                <w:sz w:val="20"/>
                <w:szCs w:val="20"/>
              </w:rPr>
              <w:t>KNF - Rejestr Zarządzających Alternatywnymi Spółkami Inwestycyjnymi</w:t>
            </w:r>
          </w:p>
        </w:tc>
        <w:tc>
          <w:tcPr>
            <w:tcW w:w="337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11" w:rsidRPr="003F1EC2" w:rsidRDefault="00580311" w:rsidP="00424472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0311" w:rsidRPr="00424472" w:rsidTr="00580311">
        <w:trPr>
          <w:trHeight w:val="352"/>
          <w:jc w:val="center"/>
        </w:trPr>
        <w:tc>
          <w:tcPr>
            <w:tcW w:w="2298" w:type="dxa"/>
            <w:gridSpan w:val="3"/>
            <w:vMerge/>
            <w:shd w:val="clear" w:color="auto" w:fill="auto"/>
            <w:vAlign w:val="center"/>
          </w:tcPr>
          <w:p w:rsidR="00580311" w:rsidRPr="00B00A05" w:rsidRDefault="00580311" w:rsidP="00424472">
            <w:pPr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1630" w:type="dxa"/>
            <w:gridSpan w:val="5"/>
            <w:shd w:val="clear" w:color="auto" w:fill="auto"/>
            <w:vAlign w:val="center"/>
          </w:tcPr>
          <w:p w:rsidR="00580311" w:rsidRPr="003F1EC2" w:rsidRDefault="00580311" w:rsidP="0042447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F1EC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43 wewnętrznie zarządzających ASI</w:t>
            </w:r>
          </w:p>
          <w:p w:rsidR="00580311" w:rsidRPr="003F1EC2" w:rsidRDefault="00580311" w:rsidP="0042447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F1EC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(stan na 30.07.2020 r.)</w:t>
            </w:r>
          </w:p>
        </w:tc>
        <w:tc>
          <w:tcPr>
            <w:tcW w:w="1630" w:type="dxa"/>
            <w:gridSpan w:val="6"/>
            <w:shd w:val="clear" w:color="auto" w:fill="auto"/>
            <w:vAlign w:val="center"/>
          </w:tcPr>
          <w:p w:rsidR="00580311" w:rsidRPr="003F1EC2" w:rsidRDefault="00580311" w:rsidP="0042447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F1EC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124</w:t>
            </w:r>
          </w:p>
          <w:p w:rsidR="00580311" w:rsidRPr="003F1EC2" w:rsidRDefault="00580311" w:rsidP="0042447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F1EC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zewnętrznie zarządzających ASI</w:t>
            </w:r>
          </w:p>
          <w:p w:rsidR="00580311" w:rsidRPr="003F1EC2" w:rsidRDefault="00580311" w:rsidP="0042447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F1EC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(stan na 30.07.2020 r.)</w:t>
            </w:r>
          </w:p>
        </w:tc>
        <w:tc>
          <w:tcPr>
            <w:tcW w:w="1843" w:type="dxa"/>
            <w:gridSpan w:val="7"/>
            <w:vMerge/>
            <w:shd w:val="clear" w:color="auto" w:fill="auto"/>
            <w:vAlign w:val="center"/>
          </w:tcPr>
          <w:p w:rsidR="00580311" w:rsidRPr="003F1EC2" w:rsidRDefault="00580311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337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11" w:rsidRPr="003F1EC2" w:rsidRDefault="00580311" w:rsidP="00424472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0311" w:rsidRPr="00424472" w:rsidTr="00580311">
        <w:trPr>
          <w:trHeight w:val="707"/>
          <w:jc w:val="center"/>
        </w:trPr>
        <w:tc>
          <w:tcPr>
            <w:tcW w:w="2298" w:type="dxa"/>
            <w:gridSpan w:val="3"/>
            <w:vMerge/>
            <w:shd w:val="clear" w:color="auto" w:fill="auto"/>
            <w:vAlign w:val="center"/>
          </w:tcPr>
          <w:p w:rsidR="00580311" w:rsidRPr="00B00A05" w:rsidRDefault="00580311" w:rsidP="00424472">
            <w:pPr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3260" w:type="dxa"/>
            <w:gridSpan w:val="11"/>
            <w:shd w:val="clear" w:color="auto" w:fill="auto"/>
            <w:vAlign w:val="center"/>
          </w:tcPr>
          <w:p w:rsidR="00580311" w:rsidRPr="003F1EC2" w:rsidRDefault="00580311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F1EC2">
              <w:rPr>
                <w:rFonts w:ascii="Times New Roman" w:hAnsi="Times New Roman"/>
                <w:spacing w:val="-2"/>
                <w:sz w:val="20"/>
                <w:szCs w:val="20"/>
              </w:rPr>
              <w:t>82</w:t>
            </w:r>
          </w:p>
          <w:p w:rsidR="00580311" w:rsidRPr="003F1EC2" w:rsidRDefault="00580311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F1EC2">
              <w:rPr>
                <w:rFonts w:ascii="Times New Roman" w:hAnsi="Times New Roman"/>
                <w:spacing w:val="-2"/>
                <w:sz w:val="20"/>
                <w:szCs w:val="20"/>
              </w:rPr>
              <w:t>alternatywne spółki inwestycyjne</w:t>
            </w:r>
          </w:p>
          <w:p w:rsidR="00580311" w:rsidRPr="003F1EC2" w:rsidRDefault="00580311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F1EC2">
              <w:rPr>
                <w:rFonts w:ascii="Times New Roman" w:hAnsi="Times New Roman"/>
                <w:spacing w:val="-2"/>
                <w:sz w:val="20"/>
                <w:szCs w:val="20"/>
              </w:rPr>
              <w:t>(stan na 19.02.2019 r.)</w:t>
            </w:r>
          </w:p>
        </w:tc>
        <w:tc>
          <w:tcPr>
            <w:tcW w:w="1843" w:type="dxa"/>
            <w:gridSpan w:val="7"/>
            <w:vMerge/>
            <w:shd w:val="clear" w:color="auto" w:fill="auto"/>
            <w:vAlign w:val="center"/>
          </w:tcPr>
          <w:p w:rsidR="00580311" w:rsidRPr="003F1EC2" w:rsidRDefault="00580311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337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11" w:rsidRPr="003F1EC2" w:rsidRDefault="00580311" w:rsidP="00424472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0311" w:rsidRPr="00424472" w:rsidTr="00580311">
        <w:trPr>
          <w:trHeight w:val="707"/>
          <w:jc w:val="center"/>
        </w:trPr>
        <w:tc>
          <w:tcPr>
            <w:tcW w:w="2298" w:type="dxa"/>
            <w:gridSpan w:val="3"/>
            <w:vMerge/>
            <w:shd w:val="clear" w:color="auto" w:fill="auto"/>
            <w:vAlign w:val="center"/>
          </w:tcPr>
          <w:p w:rsidR="00580311" w:rsidRPr="00B00A05" w:rsidRDefault="00580311" w:rsidP="00424472">
            <w:pPr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3260" w:type="dxa"/>
            <w:gridSpan w:val="11"/>
            <w:shd w:val="clear" w:color="auto" w:fill="auto"/>
            <w:vAlign w:val="center"/>
          </w:tcPr>
          <w:p w:rsidR="00580311" w:rsidRPr="003F1EC2" w:rsidRDefault="00580311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F1EC2">
              <w:rPr>
                <w:rFonts w:ascii="Times New Roman" w:hAnsi="Times New Roman"/>
                <w:spacing w:val="-2"/>
                <w:sz w:val="20"/>
                <w:szCs w:val="20"/>
              </w:rPr>
              <w:t>Zakład Ubezpieczeń Społecznych</w:t>
            </w:r>
          </w:p>
        </w:tc>
        <w:tc>
          <w:tcPr>
            <w:tcW w:w="1843" w:type="dxa"/>
            <w:gridSpan w:val="7"/>
            <w:shd w:val="clear" w:color="auto" w:fill="auto"/>
            <w:vAlign w:val="center"/>
          </w:tcPr>
          <w:p w:rsidR="00580311" w:rsidRPr="003F1EC2" w:rsidRDefault="00580311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337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11" w:rsidRPr="003F1EC2" w:rsidRDefault="00580311" w:rsidP="00424472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0311" w:rsidRPr="00424472" w:rsidTr="00580311">
        <w:trPr>
          <w:trHeight w:val="707"/>
          <w:jc w:val="center"/>
        </w:trPr>
        <w:tc>
          <w:tcPr>
            <w:tcW w:w="2298" w:type="dxa"/>
            <w:gridSpan w:val="3"/>
            <w:vMerge/>
            <w:shd w:val="clear" w:color="auto" w:fill="auto"/>
            <w:vAlign w:val="center"/>
          </w:tcPr>
          <w:p w:rsidR="00580311" w:rsidRPr="00B00A05" w:rsidRDefault="00580311" w:rsidP="00424472">
            <w:pPr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3260" w:type="dxa"/>
            <w:gridSpan w:val="11"/>
            <w:shd w:val="clear" w:color="auto" w:fill="auto"/>
            <w:vAlign w:val="center"/>
          </w:tcPr>
          <w:p w:rsidR="00580311" w:rsidRPr="003F1EC2" w:rsidRDefault="00580311" w:rsidP="00917C93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F1EC2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25 </w:t>
            </w:r>
          </w:p>
          <w:p w:rsidR="00580311" w:rsidRPr="003F1EC2" w:rsidRDefault="00580311" w:rsidP="00917C93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F1EC2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zakładów ubezpieczeń prowadzących działalność operacyjną  </w:t>
            </w:r>
          </w:p>
        </w:tc>
        <w:tc>
          <w:tcPr>
            <w:tcW w:w="1843" w:type="dxa"/>
            <w:gridSpan w:val="7"/>
            <w:shd w:val="clear" w:color="auto" w:fill="auto"/>
            <w:vAlign w:val="center"/>
          </w:tcPr>
          <w:p w:rsidR="00580311" w:rsidRPr="003F1EC2" w:rsidRDefault="00580311" w:rsidP="00424472">
            <w:pPr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3F1EC2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KNF - </w:t>
            </w:r>
            <w:r w:rsidRPr="003F1EC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Biuletyn Kwartalny. Rynek ubezpieczeń 1/2020</w:t>
            </w:r>
          </w:p>
        </w:tc>
        <w:tc>
          <w:tcPr>
            <w:tcW w:w="337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11" w:rsidRPr="003F1EC2" w:rsidRDefault="00580311" w:rsidP="00424472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0311" w:rsidRPr="00424472" w:rsidTr="00580311">
        <w:trPr>
          <w:trHeight w:val="707"/>
          <w:jc w:val="center"/>
        </w:trPr>
        <w:tc>
          <w:tcPr>
            <w:tcW w:w="2298" w:type="dxa"/>
            <w:gridSpan w:val="3"/>
            <w:vMerge/>
            <w:shd w:val="clear" w:color="auto" w:fill="auto"/>
            <w:vAlign w:val="center"/>
          </w:tcPr>
          <w:p w:rsidR="00580311" w:rsidRPr="00B00A05" w:rsidRDefault="00580311" w:rsidP="00424472">
            <w:pPr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3260" w:type="dxa"/>
            <w:gridSpan w:val="11"/>
            <w:shd w:val="clear" w:color="auto" w:fill="auto"/>
            <w:vAlign w:val="center"/>
          </w:tcPr>
          <w:p w:rsidR="00580311" w:rsidRPr="003F1EC2" w:rsidRDefault="00580311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F1EC2">
              <w:rPr>
                <w:rFonts w:ascii="Times New Roman" w:hAnsi="Times New Roman"/>
                <w:spacing w:val="-2"/>
                <w:sz w:val="20"/>
                <w:szCs w:val="20"/>
              </w:rPr>
              <w:t>10 OFE</w:t>
            </w:r>
          </w:p>
          <w:p w:rsidR="00580311" w:rsidRPr="003F1EC2" w:rsidRDefault="00580311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F1EC2">
              <w:rPr>
                <w:rFonts w:ascii="Times New Roman" w:hAnsi="Times New Roman"/>
                <w:spacing w:val="-2"/>
                <w:sz w:val="20"/>
                <w:szCs w:val="20"/>
              </w:rPr>
              <w:t>(stan na kwiecień 2019)</w:t>
            </w:r>
          </w:p>
        </w:tc>
        <w:tc>
          <w:tcPr>
            <w:tcW w:w="1843" w:type="dxa"/>
            <w:gridSpan w:val="7"/>
            <w:shd w:val="clear" w:color="auto" w:fill="auto"/>
            <w:vAlign w:val="center"/>
          </w:tcPr>
          <w:p w:rsidR="00580311" w:rsidRPr="003F1EC2" w:rsidRDefault="00580311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F1EC2">
              <w:rPr>
                <w:rFonts w:ascii="Times New Roman" w:hAnsi="Times New Roman"/>
                <w:spacing w:val="-2"/>
                <w:sz w:val="20"/>
                <w:szCs w:val="20"/>
              </w:rPr>
              <w:t>KNF - Dane miesięczne OFE</w:t>
            </w:r>
          </w:p>
        </w:tc>
        <w:tc>
          <w:tcPr>
            <w:tcW w:w="337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11" w:rsidRPr="003F1EC2" w:rsidRDefault="00580311" w:rsidP="00424472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0311" w:rsidRPr="00424472" w:rsidTr="00580311">
        <w:trPr>
          <w:trHeight w:val="707"/>
          <w:jc w:val="center"/>
        </w:trPr>
        <w:tc>
          <w:tcPr>
            <w:tcW w:w="2298" w:type="dxa"/>
            <w:gridSpan w:val="3"/>
            <w:vMerge/>
            <w:shd w:val="clear" w:color="auto" w:fill="auto"/>
            <w:vAlign w:val="center"/>
          </w:tcPr>
          <w:p w:rsidR="00580311" w:rsidRPr="00B00A05" w:rsidRDefault="00580311" w:rsidP="00424472">
            <w:pPr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3260" w:type="dxa"/>
            <w:gridSpan w:val="11"/>
            <w:shd w:val="clear" w:color="auto" w:fill="auto"/>
            <w:vAlign w:val="center"/>
          </w:tcPr>
          <w:p w:rsidR="00580311" w:rsidRPr="003F1EC2" w:rsidRDefault="00580311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F1EC2">
              <w:rPr>
                <w:rFonts w:ascii="Times New Roman" w:hAnsi="Times New Roman"/>
                <w:spacing w:val="-2"/>
                <w:sz w:val="20"/>
                <w:szCs w:val="20"/>
              </w:rPr>
              <w:t>404</w:t>
            </w:r>
            <w:r w:rsidRPr="003F1EC2">
              <w:rPr>
                <w:rFonts w:ascii="Times New Roman" w:hAnsi="Times New Roman"/>
                <w:spacing w:val="-2"/>
                <w:sz w:val="20"/>
                <w:szCs w:val="20"/>
              </w:rPr>
              <w:tab/>
            </w:r>
          </w:p>
          <w:p w:rsidR="00580311" w:rsidRPr="003F1EC2" w:rsidRDefault="00580311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F1EC2">
              <w:rPr>
                <w:rFonts w:ascii="Times New Roman" w:hAnsi="Times New Roman"/>
                <w:spacing w:val="-2"/>
                <w:sz w:val="20"/>
                <w:szCs w:val="20"/>
              </w:rPr>
              <w:t>instytucje pożyczkowe</w:t>
            </w:r>
          </w:p>
          <w:p w:rsidR="00580311" w:rsidRPr="003F1EC2" w:rsidRDefault="00580311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F1EC2">
              <w:rPr>
                <w:rFonts w:ascii="Times New Roman" w:hAnsi="Times New Roman"/>
                <w:spacing w:val="-2"/>
                <w:sz w:val="20"/>
                <w:szCs w:val="20"/>
              </w:rPr>
              <w:t>(stan na luty 2019 r.)</w:t>
            </w:r>
          </w:p>
        </w:tc>
        <w:tc>
          <w:tcPr>
            <w:tcW w:w="1843" w:type="dxa"/>
            <w:gridSpan w:val="7"/>
            <w:shd w:val="clear" w:color="auto" w:fill="auto"/>
            <w:vAlign w:val="center"/>
          </w:tcPr>
          <w:p w:rsidR="00580311" w:rsidRPr="003F1EC2" w:rsidRDefault="00580311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F1EC2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PZIP, FRRF - Raport Sektor pożyczek </w:t>
            </w:r>
            <w:proofErr w:type="spellStart"/>
            <w:r w:rsidRPr="003F1EC2">
              <w:rPr>
                <w:rFonts w:ascii="Times New Roman" w:hAnsi="Times New Roman"/>
                <w:spacing w:val="-2"/>
                <w:sz w:val="20"/>
                <w:szCs w:val="20"/>
              </w:rPr>
              <w:t>pozabankowych</w:t>
            </w:r>
            <w:proofErr w:type="spellEnd"/>
          </w:p>
        </w:tc>
        <w:tc>
          <w:tcPr>
            <w:tcW w:w="337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11" w:rsidRPr="003F1EC2" w:rsidRDefault="00580311" w:rsidP="00424472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0311" w:rsidRPr="00424472" w:rsidTr="00580311">
        <w:trPr>
          <w:trHeight w:val="707"/>
          <w:jc w:val="center"/>
        </w:trPr>
        <w:tc>
          <w:tcPr>
            <w:tcW w:w="2298" w:type="dxa"/>
            <w:gridSpan w:val="3"/>
            <w:vMerge/>
            <w:shd w:val="clear" w:color="auto" w:fill="auto"/>
            <w:vAlign w:val="center"/>
          </w:tcPr>
          <w:p w:rsidR="00580311" w:rsidRPr="00B00A05" w:rsidRDefault="00580311" w:rsidP="00424472">
            <w:pPr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3260" w:type="dxa"/>
            <w:gridSpan w:val="11"/>
            <w:shd w:val="clear" w:color="auto" w:fill="auto"/>
            <w:vAlign w:val="center"/>
          </w:tcPr>
          <w:p w:rsidR="00580311" w:rsidRPr="003F1EC2" w:rsidRDefault="00580311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F1EC2">
              <w:rPr>
                <w:rFonts w:ascii="Times New Roman" w:hAnsi="Times New Roman"/>
                <w:spacing w:val="-2"/>
                <w:sz w:val="20"/>
                <w:szCs w:val="20"/>
              </w:rPr>
              <w:t>Ubezpieczeniowy Fundusz Gwarancyjny</w:t>
            </w:r>
          </w:p>
        </w:tc>
        <w:tc>
          <w:tcPr>
            <w:tcW w:w="1843" w:type="dxa"/>
            <w:gridSpan w:val="7"/>
            <w:shd w:val="clear" w:color="auto" w:fill="auto"/>
            <w:vAlign w:val="center"/>
          </w:tcPr>
          <w:p w:rsidR="00580311" w:rsidRPr="003F1EC2" w:rsidRDefault="00580311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337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11" w:rsidRPr="003F1EC2" w:rsidRDefault="00580311" w:rsidP="00424472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0311" w:rsidRPr="00424472" w:rsidTr="00580311">
        <w:trPr>
          <w:trHeight w:val="707"/>
          <w:jc w:val="center"/>
        </w:trPr>
        <w:tc>
          <w:tcPr>
            <w:tcW w:w="2298" w:type="dxa"/>
            <w:gridSpan w:val="3"/>
            <w:vMerge/>
            <w:shd w:val="clear" w:color="auto" w:fill="auto"/>
            <w:vAlign w:val="center"/>
          </w:tcPr>
          <w:p w:rsidR="00580311" w:rsidRPr="00B00A05" w:rsidRDefault="00580311" w:rsidP="00424472">
            <w:pPr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3260" w:type="dxa"/>
            <w:gridSpan w:val="11"/>
            <w:shd w:val="clear" w:color="auto" w:fill="auto"/>
            <w:vAlign w:val="center"/>
          </w:tcPr>
          <w:p w:rsidR="00580311" w:rsidRPr="003F1EC2" w:rsidRDefault="00580311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F1EC2">
              <w:rPr>
                <w:rFonts w:ascii="Times New Roman" w:hAnsi="Times New Roman"/>
                <w:spacing w:val="-2"/>
                <w:sz w:val="20"/>
                <w:szCs w:val="20"/>
              </w:rPr>
              <w:t>Polskie Biuro Ubezpieczycieli Komunikacyjnych</w:t>
            </w:r>
          </w:p>
        </w:tc>
        <w:tc>
          <w:tcPr>
            <w:tcW w:w="1843" w:type="dxa"/>
            <w:gridSpan w:val="7"/>
            <w:shd w:val="clear" w:color="auto" w:fill="auto"/>
            <w:vAlign w:val="center"/>
          </w:tcPr>
          <w:p w:rsidR="00580311" w:rsidRPr="003F1EC2" w:rsidRDefault="00580311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337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11" w:rsidRPr="003F1EC2" w:rsidRDefault="00580311" w:rsidP="00424472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0311" w:rsidRPr="00424472" w:rsidTr="00580311">
        <w:trPr>
          <w:trHeight w:val="707"/>
          <w:jc w:val="center"/>
        </w:trPr>
        <w:tc>
          <w:tcPr>
            <w:tcW w:w="2298" w:type="dxa"/>
            <w:gridSpan w:val="3"/>
            <w:vMerge/>
            <w:shd w:val="clear" w:color="auto" w:fill="auto"/>
            <w:vAlign w:val="center"/>
          </w:tcPr>
          <w:p w:rsidR="00580311" w:rsidRPr="00B00A05" w:rsidRDefault="00580311" w:rsidP="00424472">
            <w:pPr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3260" w:type="dxa"/>
            <w:gridSpan w:val="11"/>
            <w:shd w:val="clear" w:color="auto" w:fill="auto"/>
            <w:vAlign w:val="center"/>
          </w:tcPr>
          <w:p w:rsidR="00580311" w:rsidRPr="003F1EC2" w:rsidRDefault="00580311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F1EC2">
              <w:rPr>
                <w:rFonts w:ascii="Times New Roman" w:hAnsi="Times New Roman"/>
                <w:spacing w:val="-2"/>
                <w:sz w:val="20"/>
                <w:szCs w:val="20"/>
              </w:rPr>
              <w:t>726</w:t>
            </w:r>
          </w:p>
          <w:p w:rsidR="00580311" w:rsidRPr="003F1EC2" w:rsidRDefault="00580311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F1EC2">
              <w:rPr>
                <w:rFonts w:ascii="Times New Roman" w:hAnsi="Times New Roman"/>
                <w:spacing w:val="-2"/>
                <w:sz w:val="20"/>
                <w:szCs w:val="20"/>
              </w:rPr>
              <w:t>pośredników kredytu hipotecznego</w:t>
            </w:r>
          </w:p>
        </w:tc>
        <w:tc>
          <w:tcPr>
            <w:tcW w:w="1843" w:type="dxa"/>
            <w:gridSpan w:val="7"/>
            <w:shd w:val="clear" w:color="auto" w:fill="auto"/>
            <w:vAlign w:val="center"/>
          </w:tcPr>
          <w:p w:rsidR="00580311" w:rsidRPr="003F1EC2" w:rsidRDefault="00580311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F1EC2">
              <w:rPr>
                <w:rFonts w:ascii="Times New Roman" w:hAnsi="Times New Roman"/>
                <w:spacing w:val="-2"/>
                <w:sz w:val="20"/>
                <w:szCs w:val="20"/>
              </w:rPr>
              <w:t>KNF - Rejestr Pośredników Kredytowych - Dział I (pośrednicy kredytu hipotecznego)</w:t>
            </w:r>
          </w:p>
        </w:tc>
        <w:tc>
          <w:tcPr>
            <w:tcW w:w="337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11" w:rsidRPr="003F1EC2" w:rsidRDefault="00580311" w:rsidP="00424472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0311" w:rsidRPr="00424472" w:rsidTr="00580311">
        <w:trPr>
          <w:trHeight w:val="707"/>
          <w:jc w:val="center"/>
        </w:trPr>
        <w:tc>
          <w:tcPr>
            <w:tcW w:w="2298" w:type="dxa"/>
            <w:gridSpan w:val="3"/>
            <w:vMerge/>
            <w:shd w:val="clear" w:color="auto" w:fill="auto"/>
            <w:vAlign w:val="center"/>
          </w:tcPr>
          <w:p w:rsidR="00580311" w:rsidRPr="00B00A05" w:rsidRDefault="00580311" w:rsidP="00424472">
            <w:pPr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3260" w:type="dxa"/>
            <w:gridSpan w:val="11"/>
            <w:shd w:val="clear" w:color="auto" w:fill="auto"/>
            <w:vAlign w:val="center"/>
          </w:tcPr>
          <w:p w:rsidR="00580311" w:rsidRPr="003F1EC2" w:rsidRDefault="00580311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F1EC2">
              <w:rPr>
                <w:rFonts w:ascii="Times New Roman" w:hAnsi="Times New Roman"/>
                <w:spacing w:val="-2"/>
                <w:sz w:val="20"/>
                <w:szCs w:val="20"/>
              </w:rPr>
              <w:t>34227</w:t>
            </w:r>
          </w:p>
          <w:p w:rsidR="00580311" w:rsidRPr="003F1EC2" w:rsidRDefault="00580311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F1EC2">
              <w:rPr>
                <w:rFonts w:ascii="Times New Roman" w:hAnsi="Times New Roman"/>
                <w:spacing w:val="-2"/>
                <w:sz w:val="20"/>
                <w:szCs w:val="20"/>
              </w:rPr>
              <w:t>pośredników kredytu konsumenckiego</w:t>
            </w:r>
          </w:p>
        </w:tc>
        <w:tc>
          <w:tcPr>
            <w:tcW w:w="1843" w:type="dxa"/>
            <w:gridSpan w:val="7"/>
            <w:shd w:val="clear" w:color="auto" w:fill="auto"/>
            <w:vAlign w:val="center"/>
          </w:tcPr>
          <w:p w:rsidR="00580311" w:rsidRPr="003F1EC2" w:rsidRDefault="00580311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F1EC2">
              <w:rPr>
                <w:rFonts w:ascii="Times New Roman" w:hAnsi="Times New Roman"/>
                <w:spacing w:val="-2"/>
                <w:sz w:val="20"/>
                <w:szCs w:val="20"/>
              </w:rPr>
              <w:t>KNF - Rejestr Pośredników Kredyto</w:t>
            </w:r>
            <w:r w:rsidRPr="003F1EC2">
              <w:rPr>
                <w:rFonts w:ascii="Times New Roman" w:hAnsi="Times New Roman"/>
                <w:spacing w:val="-2"/>
                <w:sz w:val="20"/>
                <w:szCs w:val="20"/>
              </w:rPr>
              <w:lastRenderedPageBreak/>
              <w:t>wych - Dział II (pośrednicy kredytu konsumenckiego)</w:t>
            </w:r>
          </w:p>
        </w:tc>
        <w:tc>
          <w:tcPr>
            <w:tcW w:w="337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11" w:rsidRPr="003F1EC2" w:rsidRDefault="00580311" w:rsidP="00424472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0311" w:rsidRPr="00424472" w:rsidTr="00580311">
        <w:trPr>
          <w:trHeight w:val="707"/>
          <w:jc w:val="center"/>
        </w:trPr>
        <w:tc>
          <w:tcPr>
            <w:tcW w:w="2298" w:type="dxa"/>
            <w:gridSpan w:val="3"/>
            <w:vMerge/>
            <w:shd w:val="clear" w:color="auto" w:fill="auto"/>
            <w:vAlign w:val="center"/>
          </w:tcPr>
          <w:p w:rsidR="00580311" w:rsidRPr="00B00A05" w:rsidRDefault="00580311" w:rsidP="00424472">
            <w:pPr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3260" w:type="dxa"/>
            <w:gridSpan w:val="11"/>
            <w:shd w:val="clear" w:color="auto" w:fill="auto"/>
            <w:vAlign w:val="center"/>
          </w:tcPr>
          <w:p w:rsidR="00580311" w:rsidRPr="003F1EC2" w:rsidRDefault="00580311" w:rsidP="007A3AD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F1EC2">
              <w:rPr>
                <w:rFonts w:ascii="Times New Roman" w:hAnsi="Times New Roman"/>
                <w:spacing w:val="-2"/>
                <w:sz w:val="20"/>
                <w:szCs w:val="20"/>
              </w:rPr>
              <w:t>2896</w:t>
            </w:r>
          </w:p>
          <w:p w:rsidR="00580311" w:rsidRPr="003F1EC2" w:rsidRDefault="00580311" w:rsidP="007A3AD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F1EC2">
              <w:rPr>
                <w:rFonts w:ascii="Times New Roman" w:hAnsi="Times New Roman"/>
                <w:spacing w:val="-2"/>
                <w:sz w:val="20"/>
                <w:szCs w:val="20"/>
              </w:rPr>
              <w:t>brokerów ubezpieczeniowych</w:t>
            </w:r>
          </w:p>
          <w:p w:rsidR="00580311" w:rsidRPr="003F1EC2" w:rsidRDefault="00580311" w:rsidP="007A3AD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F1EC2">
              <w:rPr>
                <w:rFonts w:ascii="Times New Roman" w:hAnsi="Times New Roman"/>
                <w:spacing w:val="-2"/>
                <w:sz w:val="20"/>
                <w:szCs w:val="20"/>
              </w:rPr>
              <w:t>(stan na 30.07.2020 r.)</w:t>
            </w:r>
          </w:p>
        </w:tc>
        <w:tc>
          <w:tcPr>
            <w:tcW w:w="1843" w:type="dxa"/>
            <w:gridSpan w:val="7"/>
            <w:vMerge w:val="restart"/>
            <w:shd w:val="clear" w:color="auto" w:fill="auto"/>
            <w:vAlign w:val="center"/>
          </w:tcPr>
          <w:p w:rsidR="00580311" w:rsidRPr="003F1EC2" w:rsidRDefault="00580311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F1EC2">
              <w:rPr>
                <w:rFonts w:ascii="Times New Roman" w:hAnsi="Times New Roman"/>
                <w:spacing w:val="-2"/>
                <w:sz w:val="20"/>
                <w:szCs w:val="20"/>
              </w:rPr>
              <w:t>Rejestr pośredników ubezpieczeniowych KNF</w:t>
            </w:r>
          </w:p>
        </w:tc>
        <w:tc>
          <w:tcPr>
            <w:tcW w:w="337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11" w:rsidRPr="003F1EC2" w:rsidRDefault="00580311" w:rsidP="00424472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0311" w:rsidRPr="00424472" w:rsidTr="00461AD7">
        <w:trPr>
          <w:trHeight w:val="707"/>
          <w:jc w:val="center"/>
        </w:trPr>
        <w:tc>
          <w:tcPr>
            <w:tcW w:w="2298" w:type="dxa"/>
            <w:gridSpan w:val="3"/>
            <w:vMerge/>
            <w:shd w:val="clear" w:color="auto" w:fill="auto"/>
            <w:vAlign w:val="center"/>
          </w:tcPr>
          <w:p w:rsidR="00580311" w:rsidRPr="00B00A05" w:rsidRDefault="00580311" w:rsidP="00424472">
            <w:pPr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3260" w:type="dxa"/>
            <w:gridSpan w:val="11"/>
            <w:shd w:val="clear" w:color="auto" w:fill="auto"/>
            <w:vAlign w:val="center"/>
          </w:tcPr>
          <w:p w:rsidR="00580311" w:rsidRPr="003F1EC2" w:rsidRDefault="00580311" w:rsidP="005D15ED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F1EC2">
              <w:rPr>
                <w:rFonts w:ascii="Times New Roman" w:hAnsi="Times New Roman"/>
                <w:spacing w:val="-2"/>
                <w:sz w:val="20"/>
                <w:szCs w:val="20"/>
              </w:rPr>
              <w:t>91051</w:t>
            </w:r>
          </w:p>
          <w:p w:rsidR="00580311" w:rsidRPr="003F1EC2" w:rsidRDefault="00580311" w:rsidP="005D15ED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F1EC2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agentów ubezpieczeniowych </w:t>
            </w:r>
          </w:p>
          <w:p w:rsidR="00580311" w:rsidRPr="003F1EC2" w:rsidRDefault="00580311" w:rsidP="005D15ED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F1EC2">
              <w:rPr>
                <w:rFonts w:ascii="Times New Roman" w:hAnsi="Times New Roman"/>
                <w:spacing w:val="-2"/>
                <w:sz w:val="20"/>
                <w:szCs w:val="20"/>
              </w:rPr>
              <w:t>(stan na 30.07.2020 r.)</w:t>
            </w:r>
          </w:p>
        </w:tc>
        <w:tc>
          <w:tcPr>
            <w:tcW w:w="1843" w:type="dxa"/>
            <w:gridSpan w:val="7"/>
            <w:vMerge/>
            <w:shd w:val="clear" w:color="auto" w:fill="auto"/>
            <w:vAlign w:val="center"/>
          </w:tcPr>
          <w:p w:rsidR="00580311" w:rsidRPr="003F1EC2" w:rsidRDefault="00580311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337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11" w:rsidRPr="003F1EC2" w:rsidRDefault="00580311" w:rsidP="00424472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02C2" w:rsidRPr="00424472" w:rsidTr="00461AD7">
        <w:trPr>
          <w:trHeight w:val="707"/>
          <w:jc w:val="center"/>
        </w:trPr>
        <w:tc>
          <w:tcPr>
            <w:tcW w:w="2298" w:type="dxa"/>
            <w:gridSpan w:val="3"/>
            <w:shd w:val="clear" w:color="auto" w:fill="auto"/>
            <w:vAlign w:val="center"/>
          </w:tcPr>
          <w:p w:rsidR="005802C2" w:rsidRPr="00B00A05" w:rsidRDefault="009F0071" w:rsidP="00424472">
            <w:pPr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B00A05">
              <w:rPr>
                <w:rFonts w:ascii="Times New Roman" w:hAnsi="Times New Roman"/>
                <w:spacing w:val="-2"/>
                <w:sz w:val="20"/>
                <w:szCs w:val="20"/>
              </w:rPr>
              <w:t>Rzecznik Finansowy</w:t>
            </w:r>
          </w:p>
        </w:tc>
        <w:tc>
          <w:tcPr>
            <w:tcW w:w="3260" w:type="dxa"/>
            <w:gridSpan w:val="11"/>
            <w:shd w:val="clear" w:color="auto" w:fill="auto"/>
            <w:vAlign w:val="center"/>
          </w:tcPr>
          <w:p w:rsidR="00E12809" w:rsidRPr="003F1EC2" w:rsidRDefault="00286B8B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F1EC2">
              <w:rPr>
                <w:rFonts w:ascii="Times New Roman" w:hAnsi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7"/>
            <w:shd w:val="clear" w:color="auto" w:fill="auto"/>
            <w:vAlign w:val="center"/>
          </w:tcPr>
          <w:p w:rsidR="005802C2" w:rsidRPr="003F1EC2" w:rsidRDefault="003F1EC2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337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C2" w:rsidRDefault="0015014C" w:rsidP="00C9534E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Zniesienie Rzecznika Finansowego.</w:t>
            </w:r>
          </w:p>
          <w:p w:rsidR="00BB1F0D" w:rsidRDefault="00BB1F0D" w:rsidP="000A4227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Obowiązek przekazania Prezesowi U</w:t>
            </w:r>
            <w:r w:rsidR="00CE3B03">
              <w:rPr>
                <w:rFonts w:ascii="Times New Roman" w:hAnsi="Times New Roman"/>
                <w:sz w:val="20"/>
                <w:szCs w:val="20"/>
              </w:rPr>
              <w:t>rzędu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5014C">
              <w:rPr>
                <w:rFonts w:ascii="Times New Roman" w:hAnsi="Times New Roman"/>
                <w:sz w:val="20"/>
                <w:szCs w:val="20"/>
              </w:rPr>
              <w:t xml:space="preserve">mienia ruchomego, należności i zobowiązań RF i BRF. </w:t>
            </w:r>
          </w:p>
          <w:p w:rsidR="00677476" w:rsidRPr="003F1EC2" w:rsidRDefault="00677476" w:rsidP="000A4227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Obowiązek przekazania Prezesowi U</w:t>
            </w:r>
            <w:r w:rsidR="00CE3B03">
              <w:rPr>
                <w:rFonts w:ascii="Times New Roman" w:hAnsi="Times New Roman"/>
                <w:sz w:val="20"/>
                <w:szCs w:val="20"/>
              </w:rPr>
              <w:t>rzędu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imiennego</w:t>
            </w:r>
            <w:r w:rsidRPr="00677476">
              <w:rPr>
                <w:rFonts w:ascii="Times New Roman" w:hAnsi="Times New Roman"/>
                <w:sz w:val="20"/>
                <w:szCs w:val="20"/>
              </w:rPr>
              <w:t xml:space="preserve"> wykaz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677476">
              <w:rPr>
                <w:rFonts w:ascii="Times New Roman" w:hAnsi="Times New Roman"/>
                <w:sz w:val="20"/>
                <w:szCs w:val="20"/>
              </w:rPr>
              <w:t xml:space="preserve"> pracowników Biura Rzecznika Finansowego wraz</w:t>
            </w:r>
            <w:r w:rsidR="001501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7476">
              <w:rPr>
                <w:rFonts w:ascii="Times New Roman" w:hAnsi="Times New Roman"/>
                <w:sz w:val="20"/>
                <w:szCs w:val="20"/>
              </w:rPr>
              <w:t>z podaniem ich stanowisk pracy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12929" w:rsidRPr="00424472" w:rsidTr="00461AD7">
        <w:trPr>
          <w:trHeight w:val="707"/>
          <w:jc w:val="center"/>
        </w:trPr>
        <w:tc>
          <w:tcPr>
            <w:tcW w:w="2298" w:type="dxa"/>
            <w:gridSpan w:val="3"/>
            <w:shd w:val="clear" w:color="auto" w:fill="auto"/>
            <w:vAlign w:val="center"/>
          </w:tcPr>
          <w:p w:rsidR="00612929" w:rsidRPr="00B00A05" w:rsidRDefault="009F0071" w:rsidP="00424472">
            <w:pPr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B00A0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Biuro Rzecznika Finansowego </w:t>
            </w:r>
          </w:p>
        </w:tc>
        <w:tc>
          <w:tcPr>
            <w:tcW w:w="3260" w:type="dxa"/>
            <w:gridSpan w:val="11"/>
            <w:shd w:val="clear" w:color="auto" w:fill="auto"/>
            <w:vAlign w:val="center"/>
          </w:tcPr>
          <w:p w:rsidR="0040433B" w:rsidRPr="003F1EC2" w:rsidRDefault="00EC23B4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F1EC2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105 osób </w:t>
            </w:r>
          </w:p>
          <w:p w:rsidR="00EC23B4" w:rsidRPr="003F1EC2" w:rsidRDefault="00EC23B4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F1EC2">
              <w:rPr>
                <w:rFonts w:ascii="Times New Roman" w:hAnsi="Times New Roman"/>
                <w:spacing w:val="-2"/>
                <w:sz w:val="20"/>
                <w:szCs w:val="20"/>
              </w:rPr>
              <w:t>(stan na dzień 31.12.2019 r.)</w:t>
            </w:r>
          </w:p>
        </w:tc>
        <w:tc>
          <w:tcPr>
            <w:tcW w:w="1843" w:type="dxa"/>
            <w:gridSpan w:val="7"/>
            <w:shd w:val="clear" w:color="auto" w:fill="auto"/>
            <w:vAlign w:val="center"/>
          </w:tcPr>
          <w:p w:rsidR="00612929" w:rsidRPr="003F1EC2" w:rsidRDefault="00EC23B4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F1EC2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NIK - Informacja </w:t>
            </w:r>
            <w:r w:rsidR="00B77190">
              <w:rPr>
                <w:rFonts w:ascii="Times New Roman" w:hAnsi="Times New Roman"/>
                <w:spacing w:val="-2"/>
                <w:sz w:val="20"/>
                <w:szCs w:val="20"/>
              </w:rPr>
              <w:br/>
            </w:r>
            <w:r w:rsidRPr="003F1EC2">
              <w:rPr>
                <w:rFonts w:ascii="Times New Roman" w:hAnsi="Times New Roman"/>
                <w:spacing w:val="-2"/>
                <w:sz w:val="20"/>
                <w:szCs w:val="20"/>
              </w:rPr>
              <w:t>o wy</w:t>
            </w:r>
            <w:r w:rsidR="00286B8B" w:rsidRPr="003F1EC2">
              <w:rPr>
                <w:rFonts w:ascii="Times New Roman" w:hAnsi="Times New Roman"/>
                <w:spacing w:val="-2"/>
                <w:sz w:val="20"/>
                <w:szCs w:val="20"/>
              </w:rPr>
              <w:t>nikach kontroli. Wykonanie w 2019</w:t>
            </w:r>
            <w:r w:rsidRPr="003F1EC2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r. planu finansowego Rzecznika Finansowego</w:t>
            </w:r>
          </w:p>
        </w:tc>
        <w:tc>
          <w:tcPr>
            <w:tcW w:w="337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29" w:rsidRDefault="00677476" w:rsidP="00424472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Likwidacja B</w:t>
            </w:r>
            <w:r w:rsidR="00CE3B03">
              <w:rPr>
                <w:rFonts w:ascii="Times New Roman" w:hAnsi="Times New Roman"/>
                <w:sz w:val="20"/>
                <w:szCs w:val="20"/>
              </w:rPr>
              <w:t xml:space="preserve">iura 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="00CE3B03">
              <w:rPr>
                <w:rFonts w:ascii="Times New Roman" w:hAnsi="Times New Roman"/>
                <w:sz w:val="20"/>
                <w:szCs w:val="20"/>
              </w:rPr>
              <w:t xml:space="preserve">zecznika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 w:rsidR="00CE3B03">
              <w:rPr>
                <w:rFonts w:ascii="Times New Roman" w:hAnsi="Times New Roman"/>
                <w:sz w:val="20"/>
                <w:szCs w:val="20"/>
              </w:rPr>
              <w:t>inansowego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677476" w:rsidRDefault="00677476" w:rsidP="00424472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77476" w:rsidRPr="003F1EC2" w:rsidRDefault="00DF09DF" w:rsidP="00CE3B03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Przejście pracowników B</w:t>
            </w:r>
            <w:r w:rsidR="00CE3B03">
              <w:rPr>
                <w:rFonts w:ascii="Times New Roman" w:hAnsi="Times New Roman"/>
                <w:sz w:val="20"/>
                <w:szCs w:val="20"/>
              </w:rPr>
              <w:t>iura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 UOKiK.</w:t>
            </w:r>
          </w:p>
        </w:tc>
      </w:tr>
      <w:tr w:rsidR="008808C1" w:rsidRPr="00424472" w:rsidTr="00461AD7">
        <w:trPr>
          <w:trHeight w:val="707"/>
          <w:jc w:val="center"/>
        </w:trPr>
        <w:tc>
          <w:tcPr>
            <w:tcW w:w="2298" w:type="dxa"/>
            <w:gridSpan w:val="3"/>
            <w:shd w:val="clear" w:color="auto" w:fill="auto"/>
            <w:vAlign w:val="center"/>
          </w:tcPr>
          <w:p w:rsidR="008808C1" w:rsidRPr="00B00A05" w:rsidRDefault="008808C1" w:rsidP="00424472">
            <w:pPr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B00A05">
              <w:rPr>
                <w:rFonts w:ascii="Times New Roman" w:hAnsi="Times New Roman"/>
                <w:spacing w:val="-2"/>
                <w:sz w:val="20"/>
                <w:szCs w:val="20"/>
              </w:rPr>
              <w:t>Koordynator ds. pozasądowego rozwiązywania sporów</w:t>
            </w:r>
          </w:p>
        </w:tc>
        <w:tc>
          <w:tcPr>
            <w:tcW w:w="3260" w:type="dxa"/>
            <w:gridSpan w:val="11"/>
            <w:shd w:val="clear" w:color="auto" w:fill="auto"/>
            <w:vAlign w:val="center"/>
          </w:tcPr>
          <w:p w:rsidR="008808C1" w:rsidRPr="003F1EC2" w:rsidRDefault="00286B8B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F1EC2">
              <w:rPr>
                <w:rFonts w:ascii="Times New Roman" w:hAnsi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7"/>
            <w:shd w:val="clear" w:color="auto" w:fill="auto"/>
            <w:vAlign w:val="center"/>
          </w:tcPr>
          <w:p w:rsidR="008808C1" w:rsidRPr="003F1EC2" w:rsidRDefault="003F1EC2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337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8C1" w:rsidRPr="003F1EC2" w:rsidRDefault="005B0217" w:rsidP="005B0217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Prowadzenie pozasądowych postępowań </w:t>
            </w:r>
            <w:r w:rsidRPr="005B0217">
              <w:rPr>
                <w:rFonts w:ascii="Times New Roman" w:hAnsi="Times New Roman"/>
                <w:sz w:val="20"/>
                <w:szCs w:val="20"/>
              </w:rPr>
              <w:t>w sprawie rozwiązywania sporów między klientem a podmiotem rynku finansowego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7242A4" w:rsidRPr="00424472" w:rsidTr="00461AD7">
        <w:trPr>
          <w:trHeight w:val="707"/>
          <w:jc w:val="center"/>
        </w:trPr>
        <w:tc>
          <w:tcPr>
            <w:tcW w:w="2298" w:type="dxa"/>
            <w:gridSpan w:val="3"/>
            <w:shd w:val="clear" w:color="auto" w:fill="auto"/>
            <w:vAlign w:val="center"/>
          </w:tcPr>
          <w:p w:rsidR="007242A4" w:rsidRPr="00B00A05" w:rsidRDefault="00E149B2" w:rsidP="00424472">
            <w:pPr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Rada Edukacji Finansowej</w:t>
            </w:r>
          </w:p>
        </w:tc>
        <w:tc>
          <w:tcPr>
            <w:tcW w:w="3260" w:type="dxa"/>
            <w:gridSpan w:val="11"/>
            <w:shd w:val="clear" w:color="auto" w:fill="auto"/>
            <w:vAlign w:val="center"/>
          </w:tcPr>
          <w:p w:rsidR="007242A4" w:rsidRPr="003F1EC2" w:rsidRDefault="00E149B2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11 osób</w:t>
            </w:r>
          </w:p>
        </w:tc>
        <w:tc>
          <w:tcPr>
            <w:tcW w:w="1843" w:type="dxa"/>
            <w:gridSpan w:val="7"/>
            <w:shd w:val="clear" w:color="auto" w:fill="auto"/>
            <w:vAlign w:val="center"/>
          </w:tcPr>
          <w:p w:rsidR="007242A4" w:rsidRDefault="00AA7DC1" w:rsidP="00424472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art. 4</w:t>
            </w:r>
            <w:r w:rsidR="00D76474">
              <w:rPr>
                <w:rFonts w:ascii="Times New Roman" w:hAnsi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projektu</w:t>
            </w:r>
          </w:p>
        </w:tc>
        <w:tc>
          <w:tcPr>
            <w:tcW w:w="337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A4" w:rsidRDefault="00B752A3" w:rsidP="005B0217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="00305ADF" w:rsidRPr="00305ADF">
              <w:rPr>
                <w:rFonts w:ascii="Times New Roman" w:hAnsi="Times New Roman"/>
                <w:sz w:val="20"/>
                <w:szCs w:val="20"/>
              </w:rPr>
              <w:t>pracowywanie dla Prezesa Urzędu opinii, propozycji i wniosków w sprawach związanych z edukacj</w:t>
            </w:r>
            <w:r w:rsidR="00305ADF">
              <w:rPr>
                <w:rFonts w:ascii="Times New Roman" w:hAnsi="Times New Roman"/>
                <w:sz w:val="20"/>
                <w:szCs w:val="20"/>
              </w:rPr>
              <w:t>ą</w:t>
            </w:r>
            <w:r w:rsidR="00305ADF" w:rsidRPr="00305ADF">
              <w:rPr>
                <w:rFonts w:ascii="Times New Roman" w:hAnsi="Times New Roman"/>
                <w:sz w:val="20"/>
                <w:szCs w:val="20"/>
              </w:rPr>
              <w:t xml:space="preserve"> finansową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97A9F" w:rsidRPr="00424472" w:rsidTr="00461AD7">
        <w:trPr>
          <w:trHeight w:val="302"/>
          <w:jc w:val="center"/>
        </w:trPr>
        <w:tc>
          <w:tcPr>
            <w:tcW w:w="10774" w:type="dxa"/>
            <w:gridSpan w:val="29"/>
            <w:shd w:val="clear" w:color="auto" w:fill="99CCFF"/>
            <w:vAlign w:val="center"/>
          </w:tcPr>
          <w:p w:rsidR="00897A9F" w:rsidRPr="00424472" w:rsidRDefault="00897A9F" w:rsidP="00424472">
            <w:pPr>
              <w:numPr>
                <w:ilvl w:val="0"/>
                <w:numId w:val="1"/>
              </w:numPr>
              <w:spacing w:before="60" w:after="60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424472">
              <w:rPr>
                <w:rFonts w:ascii="Times New Roman" w:hAnsi="Times New Roman"/>
                <w:b/>
                <w:color w:val="000000"/>
              </w:rPr>
              <w:t>Informacje na temat zakresu, czasu trwania i podsumowanie wyników konsultacji</w:t>
            </w:r>
          </w:p>
        </w:tc>
      </w:tr>
      <w:tr w:rsidR="00897A9F" w:rsidRPr="00424472" w:rsidTr="00461AD7">
        <w:trPr>
          <w:trHeight w:val="342"/>
          <w:jc w:val="center"/>
        </w:trPr>
        <w:tc>
          <w:tcPr>
            <w:tcW w:w="10774" w:type="dxa"/>
            <w:gridSpan w:val="29"/>
            <w:shd w:val="clear" w:color="auto" w:fill="FFFFFF"/>
          </w:tcPr>
          <w:p w:rsidR="00931D6A" w:rsidRPr="00AB4896" w:rsidRDefault="0095634E" w:rsidP="00B41E35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AB4896">
              <w:rPr>
                <w:rFonts w:ascii="Times New Roman" w:hAnsi="Times New Roman"/>
                <w:shd w:val="clear" w:color="auto" w:fill="FFFFFF"/>
              </w:rPr>
              <w:t xml:space="preserve">Projekt </w:t>
            </w:r>
            <w:r w:rsidR="00924496" w:rsidRPr="00AB4896">
              <w:rPr>
                <w:rFonts w:ascii="Times New Roman" w:hAnsi="Times New Roman"/>
                <w:shd w:val="clear" w:color="auto" w:fill="FFFFFF"/>
              </w:rPr>
              <w:t>ustawy</w:t>
            </w:r>
            <w:r w:rsidRPr="00AB4896">
              <w:rPr>
                <w:rFonts w:ascii="Times New Roman" w:hAnsi="Times New Roman"/>
                <w:shd w:val="clear" w:color="auto" w:fill="FFFFFF"/>
              </w:rPr>
              <w:t xml:space="preserve"> zostanie udostępniony w Biuletynie Informacji Publicznej na stronie podmiotowej Rządowego Centrum Legislacji, w serwisie Rządowy Proces Legislacyjny</w:t>
            </w:r>
            <w:r w:rsidR="000770C0">
              <w:rPr>
                <w:rFonts w:ascii="Times New Roman" w:hAnsi="Times New Roman"/>
                <w:shd w:val="clear" w:color="auto" w:fill="FFFFFF"/>
              </w:rPr>
              <w:t>.</w:t>
            </w:r>
            <w:r w:rsidRPr="00AB4896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  <w:p w:rsidR="00DC5A2E" w:rsidRPr="00AB4896" w:rsidRDefault="00B41E35" w:rsidP="00B41E35">
            <w:pPr>
              <w:jc w:val="both"/>
              <w:rPr>
                <w:rFonts w:ascii="Times New Roman" w:hAnsi="Times New Roman"/>
              </w:rPr>
            </w:pPr>
            <w:r w:rsidRPr="00AB4896">
              <w:rPr>
                <w:rFonts w:ascii="Times New Roman" w:hAnsi="Times New Roman"/>
              </w:rPr>
              <w:t xml:space="preserve">W ramach </w:t>
            </w:r>
            <w:r w:rsidR="00A20D9C" w:rsidRPr="00AB4896">
              <w:rPr>
                <w:rFonts w:ascii="Times New Roman" w:hAnsi="Times New Roman"/>
              </w:rPr>
              <w:t xml:space="preserve">konsultacji publicznych i </w:t>
            </w:r>
            <w:r w:rsidRPr="00AB4896">
              <w:rPr>
                <w:rFonts w:ascii="Times New Roman" w:hAnsi="Times New Roman"/>
              </w:rPr>
              <w:t xml:space="preserve">opiniowania projekt zostanie przekazany </w:t>
            </w:r>
            <w:r w:rsidR="00A20D9C" w:rsidRPr="00AB4896">
              <w:rPr>
                <w:rFonts w:ascii="Times New Roman" w:hAnsi="Times New Roman"/>
              </w:rPr>
              <w:t xml:space="preserve">m. in. </w:t>
            </w:r>
            <w:r w:rsidRPr="00AB4896">
              <w:rPr>
                <w:rFonts w:ascii="Times New Roman" w:hAnsi="Times New Roman"/>
              </w:rPr>
              <w:t>następującym podmiotom:</w:t>
            </w:r>
          </w:p>
          <w:p w:rsidR="0015014C" w:rsidRPr="00F34EE9" w:rsidRDefault="0015014C" w:rsidP="0015014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F34EE9">
              <w:rPr>
                <w:rFonts w:ascii="Times New Roman" w:hAnsi="Times New Roman"/>
                <w:color w:val="000000"/>
                <w:lang w:eastAsia="pl-PL"/>
              </w:rPr>
              <w:t>Prezes Urzędu Ochrony Konkurencji i Konsumentów</w:t>
            </w:r>
            <w:r w:rsidR="00DE6B44">
              <w:rPr>
                <w:rFonts w:ascii="Times New Roman" w:hAnsi="Times New Roman"/>
                <w:color w:val="000000"/>
                <w:lang w:eastAsia="pl-PL"/>
              </w:rPr>
              <w:t>;</w:t>
            </w:r>
          </w:p>
          <w:p w:rsidR="0015014C" w:rsidRPr="00F34EE9" w:rsidRDefault="0015014C" w:rsidP="0015014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F34EE9">
              <w:rPr>
                <w:rFonts w:ascii="Times New Roman" w:hAnsi="Times New Roman"/>
                <w:color w:val="000000"/>
                <w:lang w:eastAsia="pl-PL"/>
              </w:rPr>
              <w:t xml:space="preserve">Rzecznik Finansowy; </w:t>
            </w:r>
          </w:p>
          <w:p w:rsidR="0015014C" w:rsidRPr="00F34EE9" w:rsidRDefault="0015014C" w:rsidP="0015014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F34EE9">
              <w:rPr>
                <w:rFonts w:ascii="Times New Roman" w:hAnsi="Times New Roman"/>
                <w:color w:val="000000"/>
                <w:lang w:eastAsia="pl-PL"/>
              </w:rPr>
              <w:t>Przewodniczący Komisji Nadzoru Finansowego;</w:t>
            </w:r>
          </w:p>
          <w:p w:rsidR="0015014C" w:rsidRPr="00F34EE9" w:rsidRDefault="0015014C" w:rsidP="0015014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F34EE9">
              <w:rPr>
                <w:rFonts w:ascii="Times New Roman" w:hAnsi="Times New Roman"/>
                <w:color w:val="000000"/>
                <w:lang w:eastAsia="pl-PL"/>
              </w:rPr>
              <w:t>Prezes Narodowego Banku Polskiego;</w:t>
            </w:r>
          </w:p>
          <w:p w:rsidR="0015014C" w:rsidRPr="00F34EE9" w:rsidRDefault="0015014C" w:rsidP="0015014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F34EE9">
              <w:rPr>
                <w:rFonts w:ascii="Times New Roman" w:hAnsi="Times New Roman"/>
                <w:color w:val="000000"/>
                <w:lang w:eastAsia="pl-PL"/>
              </w:rPr>
              <w:t>Prezes Bankowego Funduszu Gwarancyjnego;</w:t>
            </w:r>
          </w:p>
          <w:p w:rsidR="0015014C" w:rsidRPr="00F34EE9" w:rsidRDefault="0015014C" w:rsidP="0015014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F34EE9">
              <w:rPr>
                <w:rFonts w:ascii="Times New Roman" w:hAnsi="Times New Roman"/>
                <w:color w:val="000000"/>
                <w:lang w:eastAsia="pl-PL"/>
              </w:rPr>
              <w:t>Prezes Sądu Najwyższego</w:t>
            </w:r>
          </w:p>
          <w:p w:rsidR="0015014C" w:rsidRPr="00F34EE9" w:rsidRDefault="0015014C" w:rsidP="0015014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F34EE9">
              <w:rPr>
                <w:rFonts w:ascii="Times New Roman" w:hAnsi="Times New Roman"/>
                <w:color w:val="000000"/>
                <w:lang w:eastAsia="pl-PL"/>
              </w:rPr>
              <w:t>Prezes Prokuratorii Generalnej Rzeczypospolitej Polskiej;</w:t>
            </w:r>
          </w:p>
          <w:p w:rsidR="0015014C" w:rsidRDefault="0015014C" w:rsidP="0015014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F34EE9">
              <w:rPr>
                <w:rFonts w:ascii="Times New Roman" w:hAnsi="Times New Roman"/>
                <w:color w:val="000000"/>
                <w:lang w:eastAsia="pl-PL"/>
              </w:rPr>
              <w:t>Prezes Urzędu Ochrony Danych Osobowych</w:t>
            </w:r>
          </w:p>
          <w:p w:rsidR="0015014C" w:rsidRDefault="0015014C" w:rsidP="0015014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Prezes Ubezpieczeniowego Funduszu Gwarancyjnego</w:t>
            </w:r>
          </w:p>
          <w:p w:rsidR="0015014C" w:rsidRPr="00F34EE9" w:rsidRDefault="0015014C" w:rsidP="0015014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F34EE9">
              <w:rPr>
                <w:rFonts w:ascii="Times New Roman" w:hAnsi="Times New Roman"/>
                <w:color w:val="000000"/>
                <w:lang w:eastAsia="pl-PL"/>
              </w:rPr>
              <w:t>Prezes Związku Banków Polskich;</w:t>
            </w:r>
          </w:p>
          <w:p w:rsidR="0015014C" w:rsidRPr="00F34EE9" w:rsidRDefault="0015014C" w:rsidP="0015014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F34EE9">
              <w:rPr>
                <w:rFonts w:ascii="Times New Roman" w:hAnsi="Times New Roman"/>
                <w:lang w:eastAsia="pl-PL"/>
              </w:rPr>
              <w:t>Prezes Polskiej Agencji Nadzoru Audytowego</w:t>
            </w:r>
          </w:p>
          <w:p w:rsidR="0015014C" w:rsidRPr="00F34EE9" w:rsidRDefault="0015014C" w:rsidP="0015014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F34EE9">
              <w:rPr>
                <w:rFonts w:ascii="Times New Roman" w:hAnsi="Times New Roman"/>
                <w:color w:val="000000"/>
                <w:lang w:eastAsia="pl-PL"/>
              </w:rPr>
              <w:t>Prezes Giełdy Papierów Wartościowych SA;</w:t>
            </w:r>
          </w:p>
          <w:p w:rsidR="0015014C" w:rsidRPr="00F34EE9" w:rsidRDefault="0015014C" w:rsidP="0015014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F34EE9">
              <w:rPr>
                <w:rFonts w:ascii="Times New Roman" w:hAnsi="Times New Roman"/>
                <w:color w:val="000000"/>
                <w:lang w:eastAsia="pl-PL"/>
              </w:rPr>
              <w:t>Prezes Izby Domów Maklerskich;</w:t>
            </w:r>
          </w:p>
          <w:p w:rsidR="0015014C" w:rsidRPr="00F34EE9" w:rsidRDefault="0015014C" w:rsidP="0015014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F34EE9">
              <w:rPr>
                <w:rFonts w:ascii="Times New Roman" w:hAnsi="Times New Roman"/>
                <w:color w:val="000000"/>
                <w:lang w:eastAsia="pl-PL"/>
              </w:rPr>
              <w:t>Prezes Izby Zarządzających Funduszami i Aktywami;</w:t>
            </w:r>
          </w:p>
          <w:p w:rsidR="0015014C" w:rsidRPr="00C26BAA" w:rsidRDefault="0015014C" w:rsidP="0015014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F34EE9">
              <w:rPr>
                <w:rFonts w:ascii="Times New Roman" w:hAnsi="Times New Roman"/>
                <w:color w:val="000000"/>
                <w:lang w:eastAsia="pl-PL"/>
              </w:rPr>
              <w:t>Prezes Kasy Krajowej SKOK;</w:t>
            </w:r>
          </w:p>
          <w:p w:rsidR="0015014C" w:rsidRPr="00F34EE9" w:rsidRDefault="0015014C" w:rsidP="0015014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eastAsia="pl-PL"/>
              </w:rPr>
            </w:pPr>
            <w:r w:rsidRPr="00F34EE9">
              <w:rPr>
                <w:rFonts w:ascii="Times New Roman" w:hAnsi="Times New Roman"/>
                <w:lang w:eastAsia="pl-PL"/>
              </w:rPr>
              <w:t>Przewodniczący Federacji Przedsiębiorców Polskich;</w:t>
            </w:r>
          </w:p>
          <w:p w:rsidR="0015014C" w:rsidRPr="00C26BAA" w:rsidRDefault="00DE6B44" w:rsidP="0015014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Prezes Busi</w:t>
            </w:r>
            <w:r w:rsidR="0015014C" w:rsidRPr="00F34EE9">
              <w:rPr>
                <w:rFonts w:ascii="Times New Roman" w:hAnsi="Times New Roman"/>
                <w:lang w:eastAsia="pl-PL"/>
              </w:rPr>
              <w:t>ness Center Club</w:t>
            </w:r>
          </w:p>
          <w:p w:rsidR="0015014C" w:rsidRPr="00F34EE9" w:rsidRDefault="0015014C" w:rsidP="0015014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eastAsia="pl-PL"/>
              </w:rPr>
            </w:pPr>
            <w:r w:rsidRPr="00F34EE9">
              <w:rPr>
                <w:rFonts w:ascii="Times New Roman" w:hAnsi="Times New Roman"/>
                <w:lang w:eastAsia="pl-PL"/>
              </w:rPr>
              <w:t>Prezes Polskiej Izby Biegłych Rewidentów;</w:t>
            </w:r>
          </w:p>
          <w:p w:rsidR="0015014C" w:rsidRPr="00F34EE9" w:rsidRDefault="0015014C" w:rsidP="0015014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eastAsia="pl-PL"/>
              </w:rPr>
            </w:pPr>
            <w:r w:rsidRPr="00F34EE9">
              <w:rPr>
                <w:rFonts w:ascii="Times New Roman" w:hAnsi="Times New Roman"/>
                <w:lang w:eastAsia="pl-PL"/>
              </w:rPr>
              <w:t>Prezes Polskiej Izby Ubezpieczeń;</w:t>
            </w:r>
          </w:p>
          <w:p w:rsidR="00E97734" w:rsidRPr="00AB4896" w:rsidRDefault="00E97734" w:rsidP="00DE6B4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color w:val="000000"/>
                <w:lang w:eastAsia="pl-PL"/>
              </w:rPr>
            </w:pPr>
          </w:p>
        </w:tc>
      </w:tr>
      <w:tr w:rsidR="00897A9F" w:rsidRPr="00424472" w:rsidTr="00461AD7">
        <w:trPr>
          <w:trHeight w:val="363"/>
          <w:jc w:val="center"/>
        </w:trPr>
        <w:tc>
          <w:tcPr>
            <w:tcW w:w="10774" w:type="dxa"/>
            <w:gridSpan w:val="29"/>
            <w:shd w:val="clear" w:color="auto" w:fill="99CCFF"/>
            <w:vAlign w:val="center"/>
          </w:tcPr>
          <w:p w:rsidR="00897A9F" w:rsidRPr="00424472" w:rsidRDefault="00897A9F" w:rsidP="00424472">
            <w:pPr>
              <w:numPr>
                <w:ilvl w:val="0"/>
                <w:numId w:val="1"/>
              </w:numPr>
              <w:spacing w:before="60" w:after="60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424472">
              <w:rPr>
                <w:rFonts w:ascii="Times New Roman" w:hAnsi="Times New Roman"/>
                <w:b/>
                <w:color w:val="000000"/>
              </w:rPr>
              <w:lastRenderedPageBreak/>
              <w:t xml:space="preserve"> Wpływ na sektor finansów publicznych</w:t>
            </w:r>
          </w:p>
        </w:tc>
      </w:tr>
      <w:tr w:rsidR="00897A9F" w:rsidRPr="00424472" w:rsidTr="00461AD7">
        <w:trPr>
          <w:trHeight w:val="142"/>
          <w:jc w:val="center"/>
        </w:trPr>
        <w:tc>
          <w:tcPr>
            <w:tcW w:w="3123" w:type="dxa"/>
            <w:gridSpan w:val="4"/>
            <w:vMerge w:val="restart"/>
            <w:shd w:val="clear" w:color="auto" w:fill="FFFFFF"/>
            <w:vAlign w:val="center"/>
          </w:tcPr>
          <w:p w:rsidR="00897A9F" w:rsidRPr="00424472" w:rsidRDefault="00897A9F" w:rsidP="00424472">
            <w:pPr>
              <w:spacing w:before="40" w:after="40"/>
              <w:rPr>
                <w:rFonts w:ascii="Times New Roman" w:hAnsi="Times New Roman"/>
                <w:i/>
                <w:color w:val="000000"/>
              </w:rPr>
            </w:pPr>
            <w:r w:rsidRPr="00424472">
              <w:rPr>
                <w:rFonts w:ascii="Times New Roman" w:hAnsi="Times New Roman"/>
                <w:color w:val="000000"/>
              </w:rPr>
              <w:t>(ceny stałe z 20</w:t>
            </w:r>
            <w:r w:rsidR="0095634E" w:rsidRPr="00424472">
              <w:rPr>
                <w:rFonts w:ascii="Times New Roman" w:hAnsi="Times New Roman"/>
                <w:color w:val="000000"/>
              </w:rPr>
              <w:t>20</w:t>
            </w:r>
            <w:r w:rsidRPr="00424472">
              <w:rPr>
                <w:rFonts w:ascii="Times New Roman" w:hAnsi="Times New Roman"/>
                <w:color w:val="000000"/>
              </w:rPr>
              <w:t xml:space="preserve"> r.)</w:t>
            </w:r>
          </w:p>
        </w:tc>
        <w:tc>
          <w:tcPr>
            <w:tcW w:w="7651" w:type="dxa"/>
            <w:gridSpan w:val="25"/>
            <w:shd w:val="clear" w:color="auto" w:fill="FFFFFF"/>
          </w:tcPr>
          <w:p w:rsidR="00897A9F" w:rsidRPr="00424472" w:rsidRDefault="00897A9F" w:rsidP="00424472">
            <w:pPr>
              <w:spacing w:before="40" w:after="40"/>
              <w:jc w:val="center"/>
              <w:rPr>
                <w:rFonts w:ascii="Times New Roman" w:hAnsi="Times New Roman"/>
                <w:i/>
                <w:color w:val="000000"/>
                <w:spacing w:val="-2"/>
              </w:rPr>
            </w:pPr>
            <w:r w:rsidRPr="00424472">
              <w:rPr>
                <w:rFonts w:ascii="Times New Roman" w:hAnsi="Times New Roman"/>
                <w:color w:val="000000"/>
              </w:rPr>
              <w:t>Skutki w okresie 10 lat od wejścia w życie zmian [mln zł]</w:t>
            </w:r>
          </w:p>
        </w:tc>
      </w:tr>
      <w:tr w:rsidR="0040727F" w:rsidRPr="00424472" w:rsidTr="00857FDC">
        <w:trPr>
          <w:trHeight w:val="142"/>
          <w:jc w:val="center"/>
        </w:trPr>
        <w:tc>
          <w:tcPr>
            <w:tcW w:w="3123" w:type="dxa"/>
            <w:gridSpan w:val="4"/>
            <w:vMerge/>
            <w:shd w:val="clear" w:color="auto" w:fill="FFFFFF"/>
          </w:tcPr>
          <w:p w:rsidR="0040727F" w:rsidRPr="00424472" w:rsidRDefault="0040727F" w:rsidP="00424472">
            <w:pPr>
              <w:spacing w:before="40" w:after="40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569" w:type="dxa"/>
            <w:gridSpan w:val="2"/>
            <w:shd w:val="clear" w:color="auto" w:fill="D9D9D9" w:themeFill="background1" w:themeFillShade="D9"/>
            <w:vAlign w:val="center"/>
          </w:tcPr>
          <w:p w:rsidR="0040727F" w:rsidRPr="00424472" w:rsidRDefault="0040727F" w:rsidP="004244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447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3"/>
            <w:shd w:val="clear" w:color="auto" w:fill="D9D9D9" w:themeFill="background1" w:themeFillShade="D9"/>
            <w:vAlign w:val="center"/>
          </w:tcPr>
          <w:p w:rsidR="0040727F" w:rsidRPr="00424472" w:rsidRDefault="0040727F" w:rsidP="004244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447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70" w:type="dxa"/>
            <w:gridSpan w:val="2"/>
            <w:shd w:val="clear" w:color="auto" w:fill="D9D9D9" w:themeFill="background1" w:themeFillShade="D9"/>
            <w:vAlign w:val="center"/>
          </w:tcPr>
          <w:p w:rsidR="0040727F" w:rsidRPr="00424472" w:rsidRDefault="0040727F" w:rsidP="004244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447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9" w:type="dxa"/>
            <w:gridSpan w:val="2"/>
            <w:shd w:val="clear" w:color="auto" w:fill="D9D9D9" w:themeFill="background1" w:themeFillShade="D9"/>
            <w:vAlign w:val="center"/>
          </w:tcPr>
          <w:p w:rsidR="0040727F" w:rsidRPr="00424472" w:rsidRDefault="0040727F" w:rsidP="004244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447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70" w:type="dxa"/>
            <w:gridSpan w:val="3"/>
            <w:shd w:val="clear" w:color="auto" w:fill="D9D9D9" w:themeFill="background1" w:themeFillShade="D9"/>
            <w:vAlign w:val="center"/>
          </w:tcPr>
          <w:p w:rsidR="0040727F" w:rsidRPr="00424472" w:rsidRDefault="0040727F" w:rsidP="004244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447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79" w:type="dxa"/>
            <w:gridSpan w:val="2"/>
            <w:shd w:val="clear" w:color="auto" w:fill="D9D9D9" w:themeFill="background1" w:themeFillShade="D9"/>
            <w:vAlign w:val="center"/>
          </w:tcPr>
          <w:p w:rsidR="0040727F" w:rsidRPr="00424472" w:rsidRDefault="0040727F" w:rsidP="004244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447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75" w:type="dxa"/>
            <w:gridSpan w:val="2"/>
            <w:shd w:val="clear" w:color="auto" w:fill="D9D9D9" w:themeFill="background1" w:themeFillShade="D9"/>
            <w:vAlign w:val="center"/>
          </w:tcPr>
          <w:p w:rsidR="0040727F" w:rsidRPr="00424472" w:rsidRDefault="0040727F" w:rsidP="004244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4472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67" w:type="dxa"/>
            <w:gridSpan w:val="3"/>
            <w:shd w:val="clear" w:color="auto" w:fill="D9D9D9" w:themeFill="background1" w:themeFillShade="D9"/>
            <w:vAlign w:val="center"/>
          </w:tcPr>
          <w:p w:rsidR="0040727F" w:rsidRPr="00424472" w:rsidRDefault="0040727F" w:rsidP="004244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4472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0727F" w:rsidRPr="00424472" w:rsidRDefault="0040727F" w:rsidP="004244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4472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40727F" w:rsidRPr="00424472" w:rsidRDefault="0040727F" w:rsidP="004244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4472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0727F" w:rsidRPr="00424472" w:rsidRDefault="0040727F" w:rsidP="004244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447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28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40727F" w:rsidRPr="00424472" w:rsidRDefault="0040727F" w:rsidP="00424472">
            <w:pPr>
              <w:spacing w:before="40" w:after="40"/>
              <w:jc w:val="center"/>
              <w:rPr>
                <w:rFonts w:ascii="Times New Roman" w:hAnsi="Times New Roman"/>
                <w:i/>
                <w:color w:val="000000"/>
                <w:spacing w:val="-2"/>
              </w:rPr>
            </w:pPr>
            <w:r w:rsidRPr="00424472">
              <w:rPr>
                <w:rFonts w:ascii="Times New Roman" w:hAnsi="Times New Roman"/>
                <w:i/>
                <w:color w:val="000000"/>
                <w:spacing w:val="-2"/>
              </w:rPr>
              <w:t xml:space="preserve">Łącznie </w:t>
            </w:r>
            <w:r w:rsidRPr="00424472">
              <w:rPr>
                <w:rFonts w:ascii="Times New Roman" w:hAnsi="Times New Roman"/>
                <w:i/>
                <w:color w:val="000000"/>
                <w:spacing w:val="-2"/>
              </w:rPr>
              <w:br/>
              <w:t>(0-10)</w:t>
            </w:r>
          </w:p>
        </w:tc>
      </w:tr>
      <w:tr w:rsidR="0040727F" w:rsidRPr="00424472" w:rsidTr="00857FDC">
        <w:trPr>
          <w:trHeight w:val="321"/>
          <w:jc w:val="center"/>
        </w:trPr>
        <w:tc>
          <w:tcPr>
            <w:tcW w:w="3123" w:type="dxa"/>
            <w:gridSpan w:val="4"/>
            <w:shd w:val="clear" w:color="auto" w:fill="FFFFFF"/>
            <w:vAlign w:val="center"/>
          </w:tcPr>
          <w:p w:rsidR="0040727F" w:rsidRPr="00424472" w:rsidRDefault="0040727F" w:rsidP="00424472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ROK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:rsidR="0040727F" w:rsidRPr="00461AD7" w:rsidRDefault="0040727F" w:rsidP="00424472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61AD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:rsidR="0040727F" w:rsidRPr="00461AD7" w:rsidRDefault="0040727F" w:rsidP="00424472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61AD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:rsidR="0040727F" w:rsidRPr="00461AD7" w:rsidRDefault="0040727F" w:rsidP="00424472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61AD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:rsidR="0040727F" w:rsidRPr="00461AD7" w:rsidRDefault="0040727F" w:rsidP="00424472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61AD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:rsidR="0040727F" w:rsidRPr="00461AD7" w:rsidRDefault="0040727F" w:rsidP="00424472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61AD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579" w:type="dxa"/>
            <w:gridSpan w:val="2"/>
            <w:shd w:val="clear" w:color="auto" w:fill="FFFFFF"/>
            <w:vAlign w:val="center"/>
          </w:tcPr>
          <w:p w:rsidR="0040727F" w:rsidRPr="00461AD7" w:rsidRDefault="0040727F" w:rsidP="00424472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61AD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675" w:type="dxa"/>
            <w:gridSpan w:val="2"/>
            <w:shd w:val="clear" w:color="auto" w:fill="FFFFFF"/>
            <w:vAlign w:val="center"/>
          </w:tcPr>
          <w:p w:rsidR="0040727F" w:rsidRPr="00461AD7" w:rsidRDefault="0040727F" w:rsidP="00424472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61AD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567" w:type="dxa"/>
            <w:gridSpan w:val="3"/>
            <w:shd w:val="clear" w:color="auto" w:fill="FFFFFF"/>
            <w:vAlign w:val="center"/>
          </w:tcPr>
          <w:p w:rsidR="0040727F" w:rsidRPr="00461AD7" w:rsidRDefault="0040727F" w:rsidP="00424472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61AD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0727F" w:rsidRPr="00461AD7" w:rsidRDefault="0040727F" w:rsidP="00424472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61AD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40727F" w:rsidRPr="00461AD7" w:rsidRDefault="0040727F" w:rsidP="00424472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61AD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0727F" w:rsidRPr="00461AD7" w:rsidRDefault="0040727F" w:rsidP="00424472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61AD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1281" w:type="dxa"/>
            <w:gridSpan w:val="2"/>
            <w:vMerge/>
            <w:shd w:val="clear" w:color="auto" w:fill="FFFFFF"/>
          </w:tcPr>
          <w:p w:rsidR="0040727F" w:rsidRPr="0040727F" w:rsidRDefault="0040727F" w:rsidP="00424472">
            <w:pPr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</w:pPr>
          </w:p>
        </w:tc>
      </w:tr>
      <w:tr w:rsidR="003E0271" w:rsidRPr="00424472" w:rsidTr="00D76474">
        <w:trPr>
          <w:trHeight w:val="321"/>
          <w:jc w:val="center"/>
        </w:trPr>
        <w:tc>
          <w:tcPr>
            <w:tcW w:w="3123" w:type="dxa"/>
            <w:gridSpan w:val="4"/>
            <w:shd w:val="clear" w:color="auto" w:fill="FFFFFF"/>
            <w:vAlign w:val="center"/>
          </w:tcPr>
          <w:p w:rsidR="003E0271" w:rsidRPr="00424472" w:rsidRDefault="003E0271" w:rsidP="003E0271">
            <w:pPr>
              <w:rPr>
                <w:rFonts w:ascii="Times New Roman" w:hAnsi="Times New Roman"/>
                <w:color w:val="000000"/>
              </w:rPr>
            </w:pPr>
            <w:r w:rsidRPr="00424472">
              <w:rPr>
                <w:rFonts w:ascii="Times New Roman" w:hAnsi="Times New Roman"/>
                <w:b/>
                <w:color w:val="000000"/>
              </w:rPr>
              <w:t>Dochody ogółem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:rsidR="003E0271" w:rsidRPr="008971D4" w:rsidRDefault="003E0271" w:rsidP="003E0271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:rsidR="003E0271" w:rsidRPr="008971D4" w:rsidRDefault="003E0271" w:rsidP="003E0271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31,68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:rsidR="003E0271" w:rsidRPr="008971D4" w:rsidRDefault="003E0271" w:rsidP="003E0271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32,48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:rsidR="003E0271" w:rsidRPr="008971D4" w:rsidRDefault="003E0271" w:rsidP="003E0271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33,29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:rsidR="003E0271" w:rsidRPr="008971D4" w:rsidRDefault="003E0271" w:rsidP="003E0271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34,13</w:t>
            </w:r>
          </w:p>
        </w:tc>
        <w:tc>
          <w:tcPr>
            <w:tcW w:w="579" w:type="dxa"/>
            <w:gridSpan w:val="2"/>
            <w:shd w:val="clear" w:color="auto" w:fill="FFFFFF"/>
            <w:vAlign w:val="center"/>
          </w:tcPr>
          <w:p w:rsidR="003E0271" w:rsidRPr="008971D4" w:rsidRDefault="003E0271" w:rsidP="003E0271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34,99</w:t>
            </w:r>
          </w:p>
        </w:tc>
        <w:tc>
          <w:tcPr>
            <w:tcW w:w="675" w:type="dxa"/>
            <w:gridSpan w:val="2"/>
            <w:shd w:val="clear" w:color="auto" w:fill="FFFFFF"/>
            <w:vAlign w:val="center"/>
          </w:tcPr>
          <w:p w:rsidR="003E0271" w:rsidRPr="008971D4" w:rsidRDefault="003E0271" w:rsidP="003E0271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35,86</w:t>
            </w:r>
          </w:p>
        </w:tc>
        <w:tc>
          <w:tcPr>
            <w:tcW w:w="567" w:type="dxa"/>
            <w:gridSpan w:val="3"/>
            <w:shd w:val="clear" w:color="auto" w:fill="FFFFFF"/>
            <w:vAlign w:val="center"/>
          </w:tcPr>
          <w:p w:rsidR="003E0271" w:rsidRPr="008971D4" w:rsidRDefault="003E0271" w:rsidP="003E0271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36,76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E0271" w:rsidRPr="008971D4" w:rsidRDefault="003E0271" w:rsidP="003E0271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37,69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3E0271" w:rsidRPr="008971D4" w:rsidRDefault="003E0271" w:rsidP="003E0271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38,63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E0271" w:rsidRPr="008971D4" w:rsidRDefault="003E0271" w:rsidP="003E0271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39,60</w:t>
            </w:r>
          </w:p>
        </w:tc>
        <w:tc>
          <w:tcPr>
            <w:tcW w:w="1281" w:type="dxa"/>
            <w:gridSpan w:val="2"/>
            <w:shd w:val="clear" w:color="auto" w:fill="FFFFFF"/>
            <w:vAlign w:val="center"/>
          </w:tcPr>
          <w:p w:rsidR="003E0271" w:rsidRPr="008971D4" w:rsidRDefault="003E0271" w:rsidP="003E0271">
            <w:pPr>
              <w:rPr>
                <w:rFonts w:ascii="Times New Roman" w:hAnsi="Times New Roman"/>
                <w:color w:val="000000"/>
                <w:spacing w:val="-2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355,12</w:t>
            </w:r>
          </w:p>
        </w:tc>
      </w:tr>
      <w:tr w:rsidR="003E0271" w:rsidRPr="00424472" w:rsidTr="00857FDC">
        <w:trPr>
          <w:trHeight w:val="321"/>
          <w:jc w:val="center"/>
        </w:trPr>
        <w:tc>
          <w:tcPr>
            <w:tcW w:w="3123" w:type="dxa"/>
            <w:gridSpan w:val="4"/>
            <w:shd w:val="clear" w:color="auto" w:fill="FFFFFF"/>
            <w:vAlign w:val="center"/>
          </w:tcPr>
          <w:p w:rsidR="003E0271" w:rsidRPr="00424472" w:rsidRDefault="003E0271" w:rsidP="003E0271">
            <w:pPr>
              <w:rPr>
                <w:rFonts w:ascii="Times New Roman" w:hAnsi="Times New Roman"/>
                <w:color w:val="000000"/>
              </w:rPr>
            </w:pPr>
            <w:r w:rsidRPr="00424472">
              <w:rPr>
                <w:rFonts w:ascii="Times New Roman" w:hAnsi="Times New Roman"/>
                <w:color w:val="000000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:rsidR="003E0271" w:rsidRPr="008971D4" w:rsidRDefault="003E0271" w:rsidP="003E0271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:rsidR="003E0271" w:rsidRPr="008971D4" w:rsidRDefault="003E0271" w:rsidP="003E0271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31,68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:rsidR="003E0271" w:rsidRPr="008971D4" w:rsidRDefault="003E0271" w:rsidP="003E0271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32,48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:rsidR="003E0271" w:rsidRPr="00B56469" w:rsidRDefault="003E0271" w:rsidP="003E0271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33,29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:rsidR="003E0271" w:rsidRPr="008971D4" w:rsidRDefault="003E0271" w:rsidP="003E0271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34,13</w:t>
            </w:r>
          </w:p>
        </w:tc>
        <w:tc>
          <w:tcPr>
            <w:tcW w:w="579" w:type="dxa"/>
            <w:gridSpan w:val="2"/>
            <w:shd w:val="clear" w:color="auto" w:fill="FFFFFF"/>
            <w:vAlign w:val="center"/>
          </w:tcPr>
          <w:p w:rsidR="003E0271" w:rsidRPr="008971D4" w:rsidRDefault="003E0271" w:rsidP="003E0271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34,99</w:t>
            </w:r>
          </w:p>
        </w:tc>
        <w:tc>
          <w:tcPr>
            <w:tcW w:w="675" w:type="dxa"/>
            <w:gridSpan w:val="2"/>
            <w:shd w:val="clear" w:color="auto" w:fill="FFFFFF"/>
            <w:vAlign w:val="center"/>
          </w:tcPr>
          <w:p w:rsidR="003E0271" w:rsidRPr="008971D4" w:rsidRDefault="003E0271" w:rsidP="003E0271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35,86</w:t>
            </w:r>
          </w:p>
        </w:tc>
        <w:tc>
          <w:tcPr>
            <w:tcW w:w="567" w:type="dxa"/>
            <w:gridSpan w:val="3"/>
            <w:shd w:val="clear" w:color="auto" w:fill="FFFFFF"/>
            <w:vAlign w:val="center"/>
          </w:tcPr>
          <w:p w:rsidR="003E0271" w:rsidRPr="008971D4" w:rsidRDefault="003E0271" w:rsidP="003E0271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36,76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E0271" w:rsidRPr="008971D4" w:rsidRDefault="003E0271" w:rsidP="003E0271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37,69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3E0271" w:rsidRPr="008971D4" w:rsidRDefault="003E0271" w:rsidP="003E0271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38,63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E0271" w:rsidRPr="008971D4" w:rsidRDefault="003E0271" w:rsidP="003E0271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39,60</w:t>
            </w:r>
          </w:p>
        </w:tc>
        <w:tc>
          <w:tcPr>
            <w:tcW w:w="1281" w:type="dxa"/>
            <w:gridSpan w:val="2"/>
            <w:shd w:val="clear" w:color="auto" w:fill="FFFFFF"/>
            <w:vAlign w:val="center"/>
          </w:tcPr>
          <w:p w:rsidR="003E0271" w:rsidRPr="008971D4" w:rsidRDefault="003E0271" w:rsidP="003E0271">
            <w:pPr>
              <w:rPr>
                <w:rFonts w:ascii="Times New Roman" w:hAnsi="Times New Roman"/>
                <w:color w:val="000000"/>
                <w:spacing w:val="-2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355,12</w:t>
            </w:r>
          </w:p>
        </w:tc>
      </w:tr>
      <w:tr w:rsidR="00756FE3" w:rsidRPr="00424472" w:rsidTr="00857FDC">
        <w:trPr>
          <w:trHeight w:val="321"/>
          <w:jc w:val="center"/>
        </w:trPr>
        <w:tc>
          <w:tcPr>
            <w:tcW w:w="3123" w:type="dxa"/>
            <w:gridSpan w:val="4"/>
            <w:shd w:val="clear" w:color="auto" w:fill="FFFFFF"/>
            <w:vAlign w:val="center"/>
          </w:tcPr>
          <w:p w:rsidR="00756FE3" w:rsidRPr="00776D74" w:rsidRDefault="00756FE3" w:rsidP="00756FE3">
            <w:pPr>
              <w:rPr>
                <w:rFonts w:ascii="Times New Roman" w:hAnsi="Times New Roman"/>
                <w:i/>
                <w:color w:val="000000"/>
              </w:rPr>
            </w:pPr>
            <w:r w:rsidRPr="00776D74">
              <w:rPr>
                <w:rFonts w:ascii="Times New Roman" w:hAnsi="Times New Roman"/>
                <w:i/>
                <w:color w:val="000000"/>
              </w:rPr>
              <w:t>w  tym: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79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75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67" w:type="dxa"/>
            <w:gridSpan w:val="3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81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pacing w:val="-2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 </w:t>
            </w:r>
          </w:p>
        </w:tc>
      </w:tr>
      <w:tr w:rsidR="00756FE3" w:rsidRPr="00424472" w:rsidTr="00857FDC">
        <w:trPr>
          <w:trHeight w:val="321"/>
          <w:jc w:val="center"/>
        </w:trPr>
        <w:tc>
          <w:tcPr>
            <w:tcW w:w="3123" w:type="dxa"/>
            <w:gridSpan w:val="4"/>
            <w:shd w:val="clear" w:color="auto" w:fill="FFFFFF"/>
            <w:vAlign w:val="center"/>
          </w:tcPr>
          <w:p w:rsidR="00756FE3" w:rsidRPr="00776D74" w:rsidRDefault="00756FE3" w:rsidP="00756FE3">
            <w:pPr>
              <w:rPr>
                <w:rFonts w:ascii="Times New Roman" w:hAnsi="Times New Roman"/>
                <w:i/>
                <w:color w:val="000000"/>
              </w:rPr>
            </w:pPr>
            <w:r w:rsidRPr="00776D74">
              <w:rPr>
                <w:rFonts w:ascii="Times New Roman" w:hAnsi="Times New Roman"/>
                <w:i/>
                <w:color w:val="000000"/>
              </w:rPr>
              <w:t xml:space="preserve">zwolnienie od opłat za wniosek </w:t>
            </w:r>
            <w:r>
              <w:rPr>
                <w:rFonts w:ascii="Times New Roman" w:hAnsi="Times New Roman"/>
                <w:i/>
                <w:color w:val="000000"/>
              </w:rPr>
              <w:br/>
            </w:r>
            <w:r w:rsidRPr="00776D74">
              <w:rPr>
                <w:rFonts w:ascii="Times New Roman" w:hAnsi="Times New Roman"/>
                <w:i/>
                <w:color w:val="000000"/>
              </w:rPr>
              <w:t>o wszczęcie postępowania przez RF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-0,16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-0,16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-0,16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-0,16</w:t>
            </w:r>
          </w:p>
        </w:tc>
        <w:tc>
          <w:tcPr>
            <w:tcW w:w="579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-0,16</w:t>
            </w:r>
          </w:p>
        </w:tc>
        <w:tc>
          <w:tcPr>
            <w:tcW w:w="675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-0,16</w:t>
            </w:r>
          </w:p>
        </w:tc>
        <w:tc>
          <w:tcPr>
            <w:tcW w:w="567" w:type="dxa"/>
            <w:gridSpan w:val="3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-0,16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-0,16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-0,16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-0,16</w:t>
            </w:r>
          </w:p>
        </w:tc>
        <w:tc>
          <w:tcPr>
            <w:tcW w:w="1281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pacing w:val="-2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-1,64</w:t>
            </w:r>
          </w:p>
        </w:tc>
      </w:tr>
      <w:tr w:rsidR="00756FE3" w:rsidRPr="00424472" w:rsidTr="00857FDC">
        <w:trPr>
          <w:trHeight w:val="321"/>
          <w:jc w:val="center"/>
        </w:trPr>
        <w:tc>
          <w:tcPr>
            <w:tcW w:w="3123" w:type="dxa"/>
            <w:gridSpan w:val="4"/>
            <w:shd w:val="clear" w:color="auto" w:fill="FFFFFF"/>
            <w:vAlign w:val="center"/>
          </w:tcPr>
          <w:p w:rsidR="00756FE3" w:rsidRPr="00776D74" w:rsidRDefault="00756FE3" w:rsidP="00756FE3">
            <w:pPr>
              <w:rPr>
                <w:rFonts w:ascii="Times New Roman" w:hAnsi="Times New Roman"/>
                <w:i/>
                <w:color w:val="000000"/>
              </w:rPr>
            </w:pPr>
            <w:r w:rsidRPr="00776D74">
              <w:rPr>
                <w:rFonts w:ascii="Times New Roman" w:hAnsi="Times New Roman"/>
                <w:i/>
                <w:color w:val="000000"/>
              </w:rPr>
              <w:t>koszty wykonywania nowych zadań przez Prezesa UOKiK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579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675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567" w:type="dxa"/>
            <w:gridSpan w:val="3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1281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pacing w:val="-2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3E0271" w:rsidRPr="00424472" w:rsidTr="00857FDC">
        <w:trPr>
          <w:trHeight w:val="321"/>
          <w:jc w:val="center"/>
        </w:trPr>
        <w:tc>
          <w:tcPr>
            <w:tcW w:w="3123" w:type="dxa"/>
            <w:gridSpan w:val="4"/>
            <w:shd w:val="clear" w:color="auto" w:fill="FFFFFF"/>
            <w:vAlign w:val="center"/>
          </w:tcPr>
          <w:p w:rsidR="003E0271" w:rsidRPr="00776D74" w:rsidRDefault="003E0271" w:rsidP="003E0271">
            <w:pPr>
              <w:rPr>
                <w:rFonts w:ascii="Times New Roman" w:hAnsi="Times New Roman"/>
                <w:i/>
                <w:color w:val="000000"/>
              </w:rPr>
            </w:pPr>
            <w:r w:rsidRPr="001F2BE9">
              <w:rPr>
                <w:rFonts w:ascii="Times New Roman" w:hAnsi="Times New Roman"/>
                <w:i/>
                <w:color w:val="000000"/>
              </w:rPr>
              <w:t>wpłaty od podmiotów rynku finansowego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:rsidR="003E0271" w:rsidRPr="008971D4" w:rsidRDefault="003E0271" w:rsidP="003E0271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:rsidR="003E0271" w:rsidRPr="008971D4" w:rsidRDefault="003E0271" w:rsidP="003E0271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31,84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:rsidR="003E0271" w:rsidRPr="008971D4" w:rsidRDefault="003E0271" w:rsidP="003E0271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32,64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:rsidR="003E0271" w:rsidRPr="008971D4" w:rsidRDefault="003E0271" w:rsidP="003E0271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33,45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:rsidR="003E0271" w:rsidRPr="008971D4" w:rsidRDefault="003E0271" w:rsidP="003E0271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34,29</w:t>
            </w:r>
          </w:p>
        </w:tc>
        <w:tc>
          <w:tcPr>
            <w:tcW w:w="579" w:type="dxa"/>
            <w:gridSpan w:val="2"/>
            <w:shd w:val="clear" w:color="auto" w:fill="FFFFFF"/>
            <w:vAlign w:val="center"/>
          </w:tcPr>
          <w:p w:rsidR="003E0271" w:rsidRPr="008971D4" w:rsidRDefault="003E0271" w:rsidP="003E0271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35,15</w:t>
            </w:r>
          </w:p>
        </w:tc>
        <w:tc>
          <w:tcPr>
            <w:tcW w:w="675" w:type="dxa"/>
            <w:gridSpan w:val="2"/>
            <w:shd w:val="clear" w:color="auto" w:fill="FFFFFF"/>
            <w:vAlign w:val="center"/>
          </w:tcPr>
          <w:p w:rsidR="003E0271" w:rsidRPr="008971D4" w:rsidRDefault="003E0271" w:rsidP="003E0271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36,02</w:t>
            </w:r>
          </w:p>
        </w:tc>
        <w:tc>
          <w:tcPr>
            <w:tcW w:w="567" w:type="dxa"/>
            <w:gridSpan w:val="3"/>
            <w:shd w:val="clear" w:color="auto" w:fill="FFFFFF"/>
            <w:vAlign w:val="center"/>
          </w:tcPr>
          <w:p w:rsidR="003E0271" w:rsidRPr="008971D4" w:rsidRDefault="003E0271" w:rsidP="003E0271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36,92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E0271" w:rsidRPr="008971D4" w:rsidRDefault="003E0271" w:rsidP="003E0271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37,85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3E0271" w:rsidRPr="008971D4" w:rsidRDefault="003E0271" w:rsidP="003E0271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38,79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E0271" w:rsidRPr="008971D4" w:rsidRDefault="003E0271" w:rsidP="003E0271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39,76</w:t>
            </w:r>
          </w:p>
        </w:tc>
        <w:tc>
          <w:tcPr>
            <w:tcW w:w="1281" w:type="dxa"/>
            <w:gridSpan w:val="2"/>
            <w:shd w:val="clear" w:color="auto" w:fill="FFFFFF"/>
            <w:vAlign w:val="center"/>
          </w:tcPr>
          <w:p w:rsidR="003E0271" w:rsidRPr="008971D4" w:rsidRDefault="003E0271" w:rsidP="003E0271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356,72</w:t>
            </w:r>
          </w:p>
        </w:tc>
      </w:tr>
      <w:tr w:rsidR="00756FE3" w:rsidRPr="00424472" w:rsidTr="00857FDC">
        <w:trPr>
          <w:trHeight w:val="344"/>
          <w:jc w:val="center"/>
        </w:trPr>
        <w:tc>
          <w:tcPr>
            <w:tcW w:w="3123" w:type="dxa"/>
            <w:gridSpan w:val="4"/>
            <w:shd w:val="clear" w:color="auto" w:fill="FFFFFF"/>
            <w:vAlign w:val="center"/>
          </w:tcPr>
          <w:p w:rsidR="00756FE3" w:rsidRPr="00424472" w:rsidRDefault="00756FE3" w:rsidP="00756FE3">
            <w:pPr>
              <w:rPr>
                <w:rFonts w:ascii="Times New Roman" w:hAnsi="Times New Roman"/>
                <w:color w:val="000000"/>
              </w:rPr>
            </w:pPr>
            <w:r w:rsidRPr="00424472">
              <w:rPr>
                <w:rFonts w:ascii="Times New Roman" w:hAnsi="Times New Roman"/>
                <w:color w:val="000000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579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675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567" w:type="dxa"/>
            <w:gridSpan w:val="3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1281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756FE3" w:rsidRPr="00424472" w:rsidTr="00857FDC">
        <w:trPr>
          <w:trHeight w:val="344"/>
          <w:jc w:val="center"/>
        </w:trPr>
        <w:tc>
          <w:tcPr>
            <w:tcW w:w="3123" w:type="dxa"/>
            <w:gridSpan w:val="4"/>
            <w:shd w:val="clear" w:color="auto" w:fill="FFFFFF"/>
            <w:vAlign w:val="center"/>
          </w:tcPr>
          <w:p w:rsidR="00756FE3" w:rsidRPr="00424472" w:rsidRDefault="00756FE3" w:rsidP="00756FE3">
            <w:pPr>
              <w:rPr>
                <w:rFonts w:ascii="Times New Roman" w:hAnsi="Times New Roman"/>
                <w:color w:val="000000"/>
              </w:rPr>
            </w:pPr>
            <w:r w:rsidRPr="00424472">
              <w:rPr>
                <w:rFonts w:ascii="Times New Roman" w:hAnsi="Times New Roman"/>
                <w:color w:val="000000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579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675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567" w:type="dxa"/>
            <w:gridSpan w:val="3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1281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3E0271" w:rsidRPr="00424472" w:rsidTr="00857FDC">
        <w:trPr>
          <w:trHeight w:val="330"/>
          <w:jc w:val="center"/>
        </w:trPr>
        <w:tc>
          <w:tcPr>
            <w:tcW w:w="3123" w:type="dxa"/>
            <w:gridSpan w:val="4"/>
            <w:shd w:val="clear" w:color="auto" w:fill="FFFFFF"/>
            <w:vAlign w:val="center"/>
          </w:tcPr>
          <w:p w:rsidR="003E0271" w:rsidRPr="00424472" w:rsidRDefault="003E0271" w:rsidP="003E0271">
            <w:pPr>
              <w:rPr>
                <w:rFonts w:ascii="Times New Roman" w:hAnsi="Times New Roman"/>
                <w:color w:val="000000"/>
              </w:rPr>
            </w:pPr>
            <w:r w:rsidRPr="00424472">
              <w:rPr>
                <w:rFonts w:ascii="Times New Roman" w:hAnsi="Times New Roman"/>
                <w:b/>
                <w:color w:val="000000"/>
              </w:rPr>
              <w:t>Wydatki ogółem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:rsidR="003E0271" w:rsidRPr="008971D4" w:rsidRDefault="003E0271" w:rsidP="003E0271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:rsidR="003E0271" w:rsidRPr="008971D4" w:rsidRDefault="003E0271" w:rsidP="003E0271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31,84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:rsidR="003E0271" w:rsidRPr="008971D4" w:rsidRDefault="003E0271" w:rsidP="003E0271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32,64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:rsidR="003E0271" w:rsidRPr="008971D4" w:rsidRDefault="003E0271" w:rsidP="003E0271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33,45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:rsidR="003E0271" w:rsidRPr="008971D4" w:rsidRDefault="003E0271" w:rsidP="003E0271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34,29</w:t>
            </w:r>
          </w:p>
        </w:tc>
        <w:tc>
          <w:tcPr>
            <w:tcW w:w="579" w:type="dxa"/>
            <w:gridSpan w:val="2"/>
            <w:shd w:val="clear" w:color="auto" w:fill="FFFFFF"/>
            <w:vAlign w:val="center"/>
          </w:tcPr>
          <w:p w:rsidR="003E0271" w:rsidRPr="008971D4" w:rsidRDefault="003E0271" w:rsidP="003E0271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35,15</w:t>
            </w:r>
          </w:p>
        </w:tc>
        <w:tc>
          <w:tcPr>
            <w:tcW w:w="675" w:type="dxa"/>
            <w:gridSpan w:val="2"/>
            <w:shd w:val="clear" w:color="auto" w:fill="FFFFFF"/>
            <w:vAlign w:val="center"/>
          </w:tcPr>
          <w:p w:rsidR="003E0271" w:rsidRPr="008971D4" w:rsidRDefault="003E0271" w:rsidP="003E0271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36,02</w:t>
            </w:r>
          </w:p>
        </w:tc>
        <w:tc>
          <w:tcPr>
            <w:tcW w:w="567" w:type="dxa"/>
            <w:gridSpan w:val="3"/>
            <w:shd w:val="clear" w:color="auto" w:fill="FFFFFF"/>
            <w:vAlign w:val="center"/>
          </w:tcPr>
          <w:p w:rsidR="003E0271" w:rsidRPr="008971D4" w:rsidRDefault="003E0271" w:rsidP="003E0271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36,92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E0271" w:rsidRPr="008971D4" w:rsidRDefault="003E0271" w:rsidP="003E0271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37,85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3E0271" w:rsidRPr="008971D4" w:rsidRDefault="003E0271" w:rsidP="003E0271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38,79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E0271" w:rsidRPr="008971D4" w:rsidRDefault="003E0271" w:rsidP="003E0271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39,76</w:t>
            </w:r>
          </w:p>
        </w:tc>
        <w:tc>
          <w:tcPr>
            <w:tcW w:w="1281" w:type="dxa"/>
            <w:gridSpan w:val="2"/>
            <w:shd w:val="clear" w:color="auto" w:fill="FFFFFF"/>
            <w:vAlign w:val="center"/>
          </w:tcPr>
          <w:p w:rsidR="003E0271" w:rsidRPr="008971D4" w:rsidRDefault="003E0271" w:rsidP="003E0271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356,72</w:t>
            </w:r>
          </w:p>
        </w:tc>
      </w:tr>
      <w:tr w:rsidR="003E0271" w:rsidRPr="00424472" w:rsidTr="00857FDC">
        <w:trPr>
          <w:trHeight w:val="330"/>
          <w:jc w:val="center"/>
        </w:trPr>
        <w:tc>
          <w:tcPr>
            <w:tcW w:w="3123" w:type="dxa"/>
            <w:gridSpan w:val="4"/>
            <w:shd w:val="clear" w:color="auto" w:fill="FFFFFF"/>
            <w:vAlign w:val="center"/>
          </w:tcPr>
          <w:p w:rsidR="003E0271" w:rsidRPr="00424472" w:rsidRDefault="003E0271" w:rsidP="003E0271">
            <w:pPr>
              <w:rPr>
                <w:rFonts w:ascii="Times New Roman" w:hAnsi="Times New Roman"/>
                <w:color w:val="000000"/>
              </w:rPr>
            </w:pPr>
            <w:r w:rsidRPr="00424472">
              <w:rPr>
                <w:rFonts w:ascii="Times New Roman" w:hAnsi="Times New Roman"/>
                <w:color w:val="000000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:rsidR="003E0271" w:rsidRPr="008971D4" w:rsidRDefault="003E0271" w:rsidP="003E0271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:rsidR="003E0271" w:rsidRPr="008971D4" w:rsidRDefault="003E0271" w:rsidP="003E0271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31,84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:rsidR="003E0271" w:rsidRPr="008971D4" w:rsidRDefault="003E0271" w:rsidP="003E0271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32,64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:rsidR="003E0271" w:rsidRPr="008971D4" w:rsidRDefault="003E0271" w:rsidP="003E0271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33,45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:rsidR="003E0271" w:rsidRPr="008971D4" w:rsidRDefault="003E0271" w:rsidP="003E0271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34,29</w:t>
            </w:r>
          </w:p>
        </w:tc>
        <w:tc>
          <w:tcPr>
            <w:tcW w:w="579" w:type="dxa"/>
            <w:gridSpan w:val="2"/>
            <w:shd w:val="clear" w:color="auto" w:fill="FFFFFF"/>
            <w:vAlign w:val="center"/>
          </w:tcPr>
          <w:p w:rsidR="003E0271" w:rsidRPr="008971D4" w:rsidRDefault="003E0271" w:rsidP="003E0271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35,15</w:t>
            </w:r>
          </w:p>
        </w:tc>
        <w:tc>
          <w:tcPr>
            <w:tcW w:w="675" w:type="dxa"/>
            <w:gridSpan w:val="2"/>
            <w:shd w:val="clear" w:color="auto" w:fill="FFFFFF"/>
            <w:vAlign w:val="center"/>
          </w:tcPr>
          <w:p w:rsidR="003E0271" w:rsidRPr="008971D4" w:rsidRDefault="003E0271" w:rsidP="003E0271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36,02</w:t>
            </w:r>
          </w:p>
        </w:tc>
        <w:tc>
          <w:tcPr>
            <w:tcW w:w="567" w:type="dxa"/>
            <w:gridSpan w:val="3"/>
            <w:shd w:val="clear" w:color="auto" w:fill="FFFFFF"/>
            <w:vAlign w:val="center"/>
          </w:tcPr>
          <w:p w:rsidR="003E0271" w:rsidRPr="008971D4" w:rsidRDefault="003E0271" w:rsidP="003E0271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36,92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E0271" w:rsidRPr="008971D4" w:rsidRDefault="003E0271" w:rsidP="003E0271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37,85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3E0271" w:rsidRPr="008971D4" w:rsidRDefault="003E0271" w:rsidP="003E0271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38,79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E0271" w:rsidRPr="008971D4" w:rsidRDefault="003E0271" w:rsidP="003E0271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39,76</w:t>
            </w:r>
          </w:p>
        </w:tc>
        <w:tc>
          <w:tcPr>
            <w:tcW w:w="1281" w:type="dxa"/>
            <w:gridSpan w:val="2"/>
            <w:shd w:val="clear" w:color="auto" w:fill="FFFFFF"/>
            <w:vAlign w:val="center"/>
          </w:tcPr>
          <w:p w:rsidR="003E0271" w:rsidRPr="008971D4" w:rsidRDefault="003E0271" w:rsidP="003E0271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356,72</w:t>
            </w:r>
          </w:p>
        </w:tc>
      </w:tr>
      <w:tr w:rsidR="00756FE3" w:rsidRPr="00424472" w:rsidTr="00857FDC">
        <w:trPr>
          <w:trHeight w:val="330"/>
          <w:jc w:val="center"/>
        </w:trPr>
        <w:tc>
          <w:tcPr>
            <w:tcW w:w="3123" w:type="dxa"/>
            <w:gridSpan w:val="4"/>
            <w:shd w:val="clear" w:color="auto" w:fill="FFFFFF"/>
            <w:vAlign w:val="center"/>
          </w:tcPr>
          <w:p w:rsidR="00756FE3" w:rsidRPr="00776D74" w:rsidRDefault="00756FE3" w:rsidP="00756FE3">
            <w:pPr>
              <w:rPr>
                <w:rFonts w:ascii="Times New Roman" w:hAnsi="Times New Roman"/>
                <w:i/>
                <w:color w:val="000000"/>
              </w:rPr>
            </w:pPr>
            <w:r w:rsidRPr="00776D74">
              <w:rPr>
                <w:rFonts w:ascii="Times New Roman" w:hAnsi="Times New Roman"/>
                <w:i/>
                <w:color w:val="000000"/>
              </w:rPr>
              <w:t>w  tym: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79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75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67" w:type="dxa"/>
            <w:gridSpan w:val="3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81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 </w:t>
            </w:r>
          </w:p>
        </w:tc>
      </w:tr>
      <w:tr w:rsidR="00756FE3" w:rsidRPr="00424472" w:rsidTr="00F91EBE">
        <w:trPr>
          <w:trHeight w:val="330"/>
          <w:jc w:val="center"/>
        </w:trPr>
        <w:tc>
          <w:tcPr>
            <w:tcW w:w="3123" w:type="dxa"/>
            <w:gridSpan w:val="4"/>
            <w:shd w:val="clear" w:color="auto" w:fill="FFFFFF"/>
            <w:vAlign w:val="center"/>
          </w:tcPr>
          <w:p w:rsidR="00756FE3" w:rsidRDefault="00756FE3" w:rsidP="00756FE3">
            <w:pPr>
              <w:rPr>
                <w:rFonts w:ascii="Times New Roman" w:hAnsi="Times New Roman"/>
                <w:i/>
                <w:color w:val="000000"/>
              </w:rPr>
            </w:pPr>
            <w:r w:rsidRPr="00776D74">
              <w:rPr>
                <w:rFonts w:ascii="Times New Roman" w:hAnsi="Times New Roman"/>
                <w:i/>
                <w:color w:val="000000"/>
              </w:rPr>
              <w:t xml:space="preserve">zwolnienie od opłat za wniosek </w:t>
            </w:r>
          </w:p>
          <w:p w:rsidR="00756FE3" w:rsidRPr="00776D74" w:rsidRDefault="00756FE3" w:rsidP="00756FE3">
            <w:pPr>
              <w:rPr>
                <w:rFonts w:ascii="Times New Roman" w:hAnsi="Times New Roman"/>
                <w:i/>
                <w:color w:val="000000"/>
              </w:rPr>
            </w:pPr>
            <w:r w:rsidRPr="00776D74">
              <w:rPr>
                <w:rFonts w:ascii="Times New Roman" w:hAnsi="Times New Roman"/>
                <w:i/>
                <w:color w:val="000000"/>
              </w:rPr>
              <w:t>o wszczęcie postępowania przez RF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579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675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567" w:type="dxa"/>
            <w:gridSpan w:val="3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1281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C14416" w:rsidRPr="00424472" w:rsidTr="00857FDC">
        <w:trPr>
          <w:trHeight w:val="351"/>
          <w:jc w:val="center"/>
        </w:trPr>
        <w:tc>
          <w:tcPr>
            <w:tcW w:w="3123" w:type="dxa"/>
            <w:gridSpan w:val="4"/>
            <w:shd w:val="clear" w:color="auto" w:fill="FFFFFF"/>
            <w:vAlign w:val="center"/>
          </w:tcPr>
          <w:p w:rsidR="00C14416" w:rsidRPr="00776D74" w:rsidRDefault="00C14416" w:rsidP="00C14416">
            <w:pPr>
              <w:rPr>
                <w:rFonts w:ascii="Times New Roman" w:hAnsi="Times New Roman"/>
                <w:i/>
                <w:color w:val="000000"/>
              </w:rPr>
            </w:pPr>
            <w:r w:rsidRPr="00776D74">
              <w:rPr>
                <w:rFonts w:ascii="Times New Roman" w:hAnsi="Times New Roman"/>
                <w:i/>
                <w:color w:val="000000"/>
              </w:rPr>
              <w:t>koszty wykonywania nowych zadań przez Prezesa UOKiK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:rsidR="00C14416" w:rsidRPr="004A30F3" w:rsidRDefault="00C14416" w:rsidP="00C14416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:rsidR="00C14416" w:rsidRPr="008971D4" w:rsidRDefault="00C14416" w:rsidP="00C14416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31,84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:rsidR="00C14416" w:rsidRPr="008971D4" w:rsidRDefault="00C14416" w:rsidP="00C14416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32,64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:rsidR="00C14416" w:rsidRPr="008971D4" w:rsidRDefault="00C14416" w:rsidP="00C14416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33,45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:rsidR="00C14416" w:rsidRPr="008971D4" w:rsidRDefault="00C14416" w:rsidP="00C14416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34,29</w:t>
            </w:r>
          </w:p>
        </w:tc>
        <w:tc>
          <w:tcPr>
            <w:tcW w:w="579" w:type="dxa"/>
            <w:gridSpan w:val="2"/>
            <w:shd w:val="clear" w:color="auto" w:fill="FFFFFF"/>
            <w:vAlign w:val="center"/>
          </w:tcPr>
          <w:p w:rsidR="00C14416" w:rsidRPr="008971D4" w:rsidRDefault="00C14416" w:rsidP="00C14416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35,15</w:t>
            </w:r>
          </w:p>
        </w:tc>
        <w:tc>
          <w:tcPr>
            <w:tcW w:w="675" w:type="dxa"/>
            <w:gridSpan w:val="2"/>
            <w:shd w:val="clear" w:color="auto" w:fill="FFFFFF"/>
            <w:vAlign w:val="center"/>
          </w:tcPr>
          <w:p w:rsidR="00C14416" w:rsidRPr="008971D4" w:rsidRDefault="00C14416" w:rsidP="00C14416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36,02</w:t>
            </w:r>
          </w:p>
        </w:tc>
        <w:tc>
          <w:tcPr>
            <w:tcW w:w="567" w:type="dxa"/>
            <w:gridSpan w:val="3"/>
            <w:shd w:val="clear" w:color="auto" w:fill="FFFFFF"/>
            <w:vAlign w:val="center"/>
          </w:tcPr>
          <w:p w:rsidR="00C14416" w:rsidRPr="008971D4" w:rsidRDefault="00C14416" w:rsidP="00C14416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36,92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4416" w:rsidRPr="008971D4" w:rsidRDefault="00C14416" w:rsidP="00C14416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37,85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C14416" w:rsidRPr="008971D4" w:rsidRDefault="00C14416" w:rsidP="00C14416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38,79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4416" w:rsidRPr="008971D4" w:rsidRDefault="00C14416" w:rsidP="00C14416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39,76</w:t>
            </w:r>
          </w:p>
        </w:tc>
        <w:tc>
          <w:tcPr>
            <w:tcW w:w="1281" w:type="dxa"/>
            <w:gridSpan w:val="2"/>
            <w:shd w:val="clear" w:color="auto" w:fill="FFFFFF"/>
            <w:vAlign w:val="center"/>
          </w:tcPr>
          <w:p w:rsidR="00C14416" w:rsidRPr="008971D4" w:rsidRDefault="00C14416" w:rsidP="00C14416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356,72</w:t>
            </w:r>
          </w:p>
        </w:tc>
      </w:tr>
      <w:tr w:rsidR="00756FE3" w:rsidRPr="00424472" w:rsidTr="00857FDC">
        <w:trPr>
          <w:trHeight w:val="351"/>
          <w:jc w:val="center"/>
        </w:trPr>
        <w:tc>
          <w:tcPr>
            <w:tcW w:w="3123" w:type="dxa"/>
            <w:gridSpan w:val="4"/>
            <w:shd w:val="clear" w:color="auto" w:fill="FFFFFF"/>
            <w:vAlign w:val="center"/>
          </w:tcPr>
          <w:p w:rsidR="00756FE3" w:rsidRPr="00776D74" w:rsidRDefault="00756FE3" w:rsidP="00756FE3">
            <w:pPr>
              <w:rPr>
                <w:rFonts w:ascii="Times New Roman" w:hAnsi="Times New Roman"/>
                <w:i/>
                <w:color w:val="000000"/>
              </w:rPr>
            </w:pPr>
            <w:r w:rsidRPr="001F2BE9">
              <w:rPr>
                <w:rFonts w:ascii="Times New Roman" w:hAnsi="Times New Roman"/>
                <w:i/>
                <w:color w:val="000000"/>
              </w:rPr>
              <w:t>wpłaty od podmiotów rynku finansowego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579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675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567" w:type="dxa"/>
            <w:gridSpan w:val="3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1281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756FE3" w:rsidRPr="00424472" w:rsidTr="00857FDC">
        <w:trPr>
          <w:trHeight w:val="351"/>
          <w:jc w:val="center"/>
        </w:trPr>
        <w:tc>
          <w:tcPr>
            <w:tcW w:w="3123" w:type="dxa"/>
            <w:gridSpan w:val="4"/>
            <w:shd w:val="clear" w:color="auto" w:fill="FFFFFF"/>
            <w:vAlign w:val="center"/>
          </w:tcPr>
          <w:p w:rsidR="00756FE3" w:rsidRPr="00424472" w:rsidRDefault="00756FE3" w:rsidP="00756FE3">
            <w:pPr>
              <w:rPr>
                <w:rFonts w:ascii="Times New Roman" w:hAnsi="Times New Roman"/>
                <w:color w:val="000000"/>
              </w:rPr>
            </w:pPr>
            <w:r w:rsidRPr="00424472">
              <w:rPr>
                <w:rFonts w:ascii="Times New Roman" w:hAnsi="Times New Roman"/>
                <w:color w:val="000000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579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675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567" w:type="dxa"/>
            <w:gridSpan w:val="3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1281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756FE3" w:rsidRPr="00424472" w:rsidTr="00857FDC">
        <w:trPr>
          <w:trHeight w:val="351"/>
          <w:jc w:val="center"/>
        </w:trPr>
        <w:tc>
          <w:tcPr>
            <w:tcW w:w="3123" w:type="dxa"/>
            <w:gridSpan w:val="4"/>
            <w:shd w:val="clear" w:color="auto" w:fill="FFFFFF"/>
            <w:vAlign w:val="center"/>
          </w:tcPr>
          <w:p w:rsidR="00756FE3" w:rsidRPr="00424472" w:rsidRDefault="00756FE3" w:rsidP="00756FE3">
            <w:pPr>
              <w:rPr>
                <w:rFonts w:ascii="Times New Roman" w:hAnsi="Times New Roman"/>
                <w:color w:val="000000"/>
              </w:rPr>
            </w:pPr>
            <w:r w:rsidRPr="00424472">
              <w:rPr>
                <w:rFonts w:ascii="Times New Roman" w:hAnsi="Times New Roman"/>
                <w:color w:val="000000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579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675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567" w:type="dxa"/>
            <w:gridSpan w:val="3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1281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756FE3" w:rsidRPr="00424472" w:rsidTr="00857FDC">
        <w:trPr>
          <w:trHeight w:val="360"/>
          <w:jc w:val="center"/>
        </w:trPr>
        <w:tc>
          <w:tcPr>
            <w:tcW w:w="3123" w:type="dxa"/>
            <w:gridSpan w:val="4"/>
            <w:shd w:val="clear" w:color="auto" w:fill="FFFFFF"/>
            <w:vAlign w:val="center"/>
          </w:tcPr>
          <w:p w:rsidR="00756FE3" w:rsidRPr="00424472" w:rsidRDefault="00756FE3" w:rsidP="00756FE3">
            <w:pPr>
              <w:rPr>
                <w:rFonts w:ascii="Times New Roman" w:hAnsi="Times New Roman"/>
                <w:color w:val="000000"/>
              </w:rPr>
            </w:pPr>
            <w:r w:rsidRPr="00424472">
              <w:rPr>
                <w:rFonts w:ascii="Times New Roman" w:hAnsi="Times New Roman"/>
                <w:b/>
                <w:color w:val="000000"/>
              </w:rPr>
              <w:t>Saldo ogółem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-0,16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-0,16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-0,16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-0,16</w:t>
            </w:r>
          </w:p>
        </w:tc>
        <w:tc>
          <w:tcPr>
            <w:tcW w:w="579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-0,16</w:t>
            </w:r>
          </w:p>
        </w:tc>
        <w:tc>
          <w:tcPr>
            <w:tcW w:w="675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-0,16</w:t>
            </w:r>
          </w:p>
        </w:tc>
        <w:tc>
          <w:tcPr>
            <w:tcW w:w="567" w:type="dxa"/>
            <w:gridSpan w:val="3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-0,16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-0,16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-0,16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-0,16</w:t>
            </w:r>
          </w:p>
        </w:tc>
        <w:tc>
          <w:tcPr>
            <w:tcW w:w="1281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-1,64</w:t>
            </w:r>
          </w:p>
        </w:tc>
      </w:tr>
      <w:tr w:rsidR="00756FE3" w:rsidRPr="00424472" w:rsidTr="00857FDC">
        <w:trPr>
          <w:trHeight w:val="360"/>
          <w:jc w:val="center"/>
        </w:trPr>
        <w:tc>
          <w:tcPr>
            <w:tcW w:w="3123" w:type="dxa"/>
            <w:gridSpan w:val="4"/>
            <w:shd w:val="clear" w:color="auto" w:fill="FFFFFF"/>
            <w:vAlign w:val="center"/>
          </w:tcPr>
          <w:p w:rsidR="00756FE3" w:rsidRPr="00424472" w:rsidRDefault="00756FE3" w:rsidP="00756FE3">
            <w:pPr>
              <w:rPr>
                <w:rFonts w:ascii="Times New Roman" w:hAnsi="Times New Roman"/>
                <w:color w:val="000000"/>
              </w:rPr>
            </w:pPr>
            <w:r w:rsidRPr="00424472">
              <w:rPr>
                <w:rFonts w:ascii="Times New Roman" w:hAnsi="Times New Roman"/>
                <w:color w:val="000000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-0,16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-0,16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-0,16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-0,16</w:t>
            </w:r>
          </w:p>
        </w:tc>
        <w:tc>
          <w:tcPr>
            <w:tcW w:w="579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-0,16</w:t>
            </w:r>
          </w:p>
        </w:tc>
        <w:tc>
          <w:tcPr>
            <w:tcW w:w="675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-0,16</w:t>
            </w:r>
          </w:p>
        </w:tc>
        <w:tc>
          <w:tcPr>
            <w:tcW w:w="567" w:type="dxa"/>
            <w:gridSpan w:val="3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-0,16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-0,16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-0,16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-0,16</w:t>
            </w:r>
          </w:p>
        </w:tc>
        <w:tc>
          <w:tcPr>
            <w:tcW w:w="1281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-1,64</w:t>
            </w:r>
          </w:p>
        </w:tc>
      </w:tr>
      <w:tr w:rsidR="00756FE3" w:rsidRPr="00424472" w:rsidTr="00857FDC">
        <w:trPr>
          <w:trHeight w:val="357"/>
          <w:jc w:val="center"/>
        </w:trPr>
        <w:tc>
          <w:tcPr>
            <w:tcW w:w="3123" w:type="dxa"/>
            <w:gridSpan w:val="4"/>
            <w:shd w:val="clear" w:color="auto" w:fill="FFFFFF"/>
            <w:vAlign w:val="center"/>
          </w:tcPr>
          <w:p w:rsidR="00756FE3" w:rsidRPr="00776D74" w:rsidRDefault="00756FE3" w:rsidP="00756FE3">
            <w:pPr>
              <w:rPr>
                <w:rFonts w:ascii="Times New Roman" w:hAnsi="Times New Roman"/>
                <w:i/>
                <w:color w:val="000000"/>
              </w:rPr>
            </w:pPr>
            <w:r w:rsidRPr="00776D74">
              <w:rPr>
                <w:rFonts w:ascii="Times New Roman" w:hAnsi="Times New Roman"/>
                <w:i/>
                <w:color w:val="000000"/>
              </w:rPr>
              <w:t>w  tym: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79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75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67" w:type="dxa"/>
            <w:gridSpan w:val="3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81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 </w:t>
            </w:r>
          </w:p>
        </w:tc>
      </w:tr>
      <w:tr w:rsidR="00756FE3" w:rsidRPr="00424472" w:rsidTr="00857FDC">
        <w:trPr>
          <w:trHeight w:val="357"/>
          <w:jc w:val="center"/>
        </w:trPr>
        <w:tc>
          <w:tcPr>
            <w:tcW w:w="3123" w:type="dxa"/>
            <w:gridSpan w:val="4"/>
            <w:shd w:val="clear" w:color="auto" w:fill="FFFFFF"/>
            <w:vAlign w:val="center"/>
          </w:tcPr>
          <w:p w:rsidR="00756FE3" w:rsidRPr="00776D74" w:rsidRDefault="00756FE3" w:rsidP="00756FE3">
            <w:pPr>
              <w:rPr>
                <w:rFonts w:ascii="Times New Roman" w:hAnsi="Times New Roman"/>
                <w:i/>
                <w:color w:val="000000"/>
              </w:rPr>
            </w:pPr>
            <w:r w:rsidRPr="00776D74">
              <w:rPr>
                <w:rFonts w:ascii="Times New Roman" w:hAnsi="Times New Roman"/>
                <w:i/>
                <w:color w:val="000000"/>
              </w:rPr>
              <w:t>zwolnienie od opłat za wniosek o wszczęcie postępowania przez RF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-0,16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-0,16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-0,16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-0,16</w:t>
            </w:r>
          </w:p>
        </w:tc>
        <w:tc>
          <w:tcPr>
            <w:tcW w:w="579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-0,16</w:t>
            </w:r>
          </w:p>
        </w:tc>
        <w:tc>
          <w:tcPr>
            <w:tcW w:w="675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-0,16</w:t>
            </w:r>
          </w:p>
        </w:tc>
        <w:tc>
          <w:tcPr>
            <w:tcW w:w="567" w:type="dxa"/>
            <w:gridSpan w:val="3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-0,16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-0,16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-0,16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-0,16</w:t>
            </w:r>
          </w:p>
        </w:tc>
        <w:tc>
          <w:tcPr>
            <w:tcW w:w="1281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-1,64</w:t>
            </w:r>
          </w:p>
        </w:tc>
      </w:tr>
      <w:tr w:rsidR="00C14416" w:rsidRPr="00424472" w:rsidTr="00857FDC">
        <w:trPr>
          <w:trHeight w:val="357"/>
          <w:jc w:val="center"/>
        </w:trPr>
        <w:tc>
          <w:tcPr>
            <w:tcW w:w="3123" w:type="dxa"/>
            <w:gridSpan w:val="4"/>
            <w:shd w:val="clear" w:color="auto" w:fill="FFFFFF"/>
            <w:vAlign w:val="center"/>
          </w:tcPr>
          <w:p w:rsidR="00C14416" w:rsidRPr="00776D74" w:rsidRDefault="00C14416" w:rsidP="00C14416">
            <w:pPr>
              <w:rPr>
                <w:rFonts w:ascii="Times New Roman" w:hAnsi="Times New Roman"/>
                <w:i/>
                <w:color w:val="000000"/>
              </w:rPr>
            </w:pPr>
            <w:r w:rsidRPr="00776D74">
              <w:rPr>
                <w:rFonts w:ascii="Times New Roman" w:hAnsi="Times New Roman"/>
                <w:i/>
                <w:color w:val="000000"/>
              </w:rPr>
              <w:t>koszty wykonywania nowych zadań przez Prezesa UOKiK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:rsidR="00C14416" w:rsidRPr="004A30F3" w:rsidRDefault="00C14416" w:rsidP="00C14416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:rsidR="00C14416" w:rsidRPr="008971D4" w:rsidRDefault="00C14416" w:rsidP="00C14416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-31,84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:rsidR="00C14416" w:rsidRPr="008971D4" w:rsidRDefault="00C14416" w:rsidP="00C14416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-32,64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:rsidR="00C14416" w:rsidRPr="008971D4" w:rsidRDefault="00C14416" w:rsidP="00C14416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-33,45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:rsidR="00C14416" w:rsidRPr="008971D4" w:rsidRDefault="00C14416" w:rsidP="00C14416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-34,29</w:t>
            </w:r>
          </w:p>
        </w:tc>
        <w:tc>
          <w:tcPr>
            <w:tcW w:w="579" w:type="dxa"/>
            <w:gridSpan w:val="2"/>
            <w:shd w:val="clear" w:color="auto" w:fill="FFFFFF"/>
            <w:vAlign w:val="center"/>
          </w:tcPr>
          <w:p w:rsidR="00C14416" w:rsidRPr="008971D4" w:rsidRDefault="00C14416" w:rsidP="00C14416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-35,15</w:t>
            </w:r>
          </w:p>
        </w:tc>
        <w:tc>
          <w:tcPr>
            <w:tcW w:w="675" w:type="dxa"/>
            <w:gridSpan w:val="2"/>
            <w:shd w:val="clear" w:color="auto" w:fill="FFFFFF"/>
            <w:vAlign w:val="center"/>
          </w:tcPr>
          <w:p w:rsidR="00C14416" w:rsidRPr="008971D4" w:rsidRDefault="00C14416" w:rsidP="00C14416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-36,02</w:t>
            </w:r>
          </w:p>
        </w:tc>
        <w:tc>
          <w:tcPr>
            <w:tcW w:w="567" w:type="dxa"/>
            <w:gridSpan w:val="3"/>
            <w:shd w:val="clear" w:color="auto" w:fill="FFFFFF"/>
            <w:vAlign w:val="center"/>
          </w:tcPr>
          <w:p w:rsidR="00C14416" w:rsidRPr="008971D4" w:rsidRDefault="00C14416" w:rsidP="00C14416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-36,92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4416" w:rsidRPr="008971D4" w:rsidRDefault="00C14416" w:rsidP="00C14416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-37,85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C14416" w:rsidRPr="008971D4" w:rsidRDefault="00C14416" w:rsidP="00C14416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-38,79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4416" w:rsidRPr="008971D4" w:rsidRDefault="00C14416" w:rsidP="00C14416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-39,76</w:t>
            </w:r>
          </w:p>
        </w:tc>
        <w:tc>
          <w:tcPr>
            <w:tcW w:w="1281" w:type="dxa"/>
            <w:gridSpan w:val="2"/>
            <w:shd w:val="clear" w:color="auto" w:fill="FFFFFF"/>
            <w:vAlign w:val="center"/>
          </w:tcPr>
          <w:p w:rsidR="00C14416" w:rsidRPr="008971D4" w:rsidRDefault="00C14416" w:rsidP="00C14416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-356,72</w:t>
            </w:r>
          </w:p>
        </w:tc>
      </w:tr>
      <w:tr w:rsidR="00C14416" w:rsidRPr="00424472" w:rsidTr="00857FDC">
        <w:trPr>
          <w:trHeight w:val="357"/>
          <w:jc w:val="center"/>
        </w:trPr>
        <w:tc>
          <w:tcPr>
            <w:tcW w:w="3123" w:type="dxa"/>
            <w:gridSpan w:val="4"/>
            <w:shd w:val="clear" w:color="auto" w:fill="FFFFFF"/>
            <w:vAlign w:val="center"/>
          </w:tcPr>
          <w:p w:rsidR="00C14416" w:rsidRPr="00776D74" w:rsidRDefault="00C14416" w:rsidP="00C14416">
            <w:pPr>
              <w:rPr>
                <w:rFonts w:ascii="Times New Roman" w:hAnsi="Times New Roman"/>
                <w:i/>
                <w:color w:val="000000"/>
              </w:rPr>
            </w:pPr>
            <w:r w:rsidRPr="001F2BE9">
              <w:rPr>
                <w:rFonts w:ascii="Times New Roman" w:hAnsi="Times New Roman"/>
                <w:i/>
                <w:color w:val="000000"/>
              </w:rPr>
              <w:t>wpłaty od podmiotów rynku finansowego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:rsidR="00C14416" w:rsidRPr="004A30F3" w:rsidRDefault="00C14416" w:rsidP="00C14416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:rsidR="00C14416" w:rsidRPr="008971D4" w:rsidRDefault="00C14416" w:rsidP="00C14416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31,84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:rsidR="00C14416" w:rsidRPr="008971D4" w:rsidRDefault="00C14416" w:rsidP="00C14416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32,64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:rsidR="00C14416" w:rsidRPr="008971D4" w:rsidRDefault="00C14416" w:rsidP="00C14416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33,45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:rsidR="00C14416" w:rsidRPr="008971D4" w:rsidRDefault="00C14416" w:rsidP="00C14416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34,29</w:t>
            </w:r>
          </w:p>
        </w:tc>
        <w:tc>
          <w:tcPr>
            <w:tcW w:w="579" w:type="dxa"/>
            <w:gridSpan w:val="2"/>
            <w:shd w:val="clear" w:color="auto" w:fill="FFFFFF"/>
            <w:vAlign w:val="center"/>
          </w:tcPr>
          <w:p w:rsidR="00C14416" w:rsidRPr="008971D4" w:rsidRDefault="00C14416" w:rsidP="00C14416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35,15</w:t>
            </w:r>
          </w:p>
        </w:tc>
        <w:tc>
          <w:tcPr>
            <w:tcW w:w="675" w:type="dxa"/>
            <w:gridSpan w:val="2"/>
            <w:shd w:val="clear" w:color="auto" w:fill="FFFFFF"/>
            <w:vAlign w:val="center"/>
          </w:tcPr>
          <w:p w:rsidR="00C14416" w:rsidRPr="008971D4" w:rsidRDefault="00C14416" w:rsidP="00C14416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36,02</w:t>
            </w:r>
          </w:p>
        </w:tc>
        <w:tc>
          <w:tcPr>
            <w:tcW w:w="567" w:type="dxa"/>
            <w:gridSpan w:val="3"/>
            <w:shd w:val="clear" w:color="auto" w:fill="FFFFFF"/>
            <w:vAlign w:val="center"/>
          </w:tcPr>
          <w:p w:rsidR="00C14416" w:rsidRPr="008971D4" w:rsidRDefault="00C14416" w:rsidP="00C14416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36,92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4416" w:rsidRPr="008971D4" w:rsidRDefault="00C14416" w:rsidP="00C14416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37,85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C14416" w:rsidRPr="008971D4" w:rsidRDefault="00C14416" w:rsidP="00C14416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38,79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4416" w:rsidRPr="008971D4" w:rsidRDefault="00C14416" w:rsidP="00C14416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39,76</w:t>
            </w:r>
          </w:p>
        </w:tc>
        <w:tc>
          <w:tcPr>
            <w:tcW w:w="1281" w:type="dxa"/>
            <w:gridSpan w:val="2"/>
            <w:shd w:val="clear" w:color="auto" w:fill="FFFFFF"/>
            <w:vAlign w:val="center"/>
          </w:tcPr>
          <w:p w:rsidR="00C14416" w:rsidRPr="008971D4" w:rsidRDefault="00C14416" w:rsidP="00C14416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356,72</w:t>
            </w:r>
          </w:p>
        </w:tc>
      </w:tr>
      <w:tr w:rsidR="00756FE3" w:rsidRPr="00424472" w:rsidTr="00857FDC">
        <w:trPr>
          <w:trHeight w:val="357"/>
          <w:jc w:val="center"/>
        </w:trPr>
        <w:tc>
          <w:tcPr>
            <w:tcW w:w="3123" w:type="dxa"/>
            <w:gridSpan w:val="4"/>
            <w:shd w:val="clear" w:color="auto" w:fill="FFFFFF"/>
            <w:vAlign w:val="center"/>
          </w:tcPr>
          <w:p w:rsidR="00756FE3" w:rsidRPr="00424472" w:rsidRDefault="00756FE3" w:rsidP="00756FE3">
            <w:pPr>
              <w:rPr>
                <w:rFonts w:ascii="Times New Roman" w:hAnsi="Times New Roman"/>
                <w:color w:val="000000"/>
              </w:rPr>
            </w:pPr>
            <w:r w:rsidRPr="00424472">
              <w:rPr>
                <w:rFonts w:ascii="Times New Roman" w:hAnsi="Times New Roman"/>
                <w:color w:val="000000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579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675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567" w:type="dxa"/>
            <w:gridSpan w:val="3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1281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756FE3" w:rsidRPr="00424472" w:rsidTr="00857FDC">
        <w:trPr>
          <w:trHeight w:val="357"/>
          <w:jc w:val="center"/>
        </w:trPr>
        <w:tc>
          <w:tcPr>
            <w:tcW w:w="3123" w:type="dxa"/>
            <w:gridSpan w:val="4"/>
            <w:shd w:val="clear" w:color="auto" w:fill="FFFFFF"/>
            <w:vAlign w:val="center"/>
          </w:tcPr>
          <w:p w:rsidR="00756FE3" w:rsidRPr="00424472" w:rsidRDefault="00756FE3" w:rsidP="00756FE3">
            <w:pPr>
              <w:rPr>
                <w:rFonts w:ascii="Times New Roman" w:hAnsi="Times New Roman"/>
                <w:color w:val="000000"/>
              </w:rPr>
            </w:pPr>
            <w:r w:rsidRPr="00424472">
              <w:rPr>
                <w:rFonts w:ascii="Times New Roman" w:hAnsi="Times New Roman"/>
                <w:color w:val="000000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579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675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567" w:type="dxa"/>
            <w:gridSpan w:val="3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1281" w:type="dxa"/>
            <w:gridSpan w:val="2"/>
            <w:shd w:val="clear" w:color="auto" w:fill="FFFFFF"/>
            <w:vAlign w:val="center"/>
          </w:tcPr>
          <w:p w:rsidR="00756FE3" w:rsidRPr="004A30F3" w:rsidRDefault="00756FE3" w:rsidP="00756FE3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D1E1C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897A9F" w:rsidRPr="00424472" w:rsidTr="00461AD7">
        <w:trPr>
          <w:trHeight w:val="124"/>
          <w:jc w:val="center"/>
        </w:trPr>
        <w:tc>
          <w:tcPr>
            <w:tcW w:w="2233" w:type="dxa"/>
            <w:gridSpan w:val="2"/>
            <w:shd w:val="clear" w:color="auto" w:fill="FFFFFF"/>
            <w:vAlign w:val="center"/>
          </w:tcPr>
          <w:p w:rsidR="00897A9F" w:rsidRPr="00424472" w:rsidRDefault="00897A9F" w:rsidP="00424472">
            <w:pPr>
              <w:rPr>
                <w:rFonts w:ascii="Times New Roman" w:hAnsi="Times New Roman"/>
                <w:color w:val="000000"/>
              </w:rPr>
            </w:pPr>
            <w:r w:rsidRPr="00424472">
              <w:rPr>
                <w:rFonts w:ascii="Times New Roman" w:hAnsi="Times New Roman"/>
                <w:color w:val="000000"/>
              </w:rPr>
              <w:t xml:space="preserve">Źródła finansowania </w:t>
            </w:r>
          </w:p>
        </w:tc>
        <w:tc>
          <w:tcPr>
            <w:tcW w:w="8541" w:type="dxa"/>
            <w:gridSpan w:val="27"/>
            <w:shd w:val="clear" w:color="auto" w:fill="auto"/>
            <w:vAlign w:val="center"/>
          </w:tcPr>
          <w:p w:rsidR="006C7B0C" w:rsidRDefault="0011234A" w:rsidP="00BA6CBE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Koszty wejścia w życie projektowanych rozwiązań zostaną sfinansowane z części 53 budżetu państwa – Urząd Ochrony Konkurencji i Konsumentów</w:t>
            </w:r>
            <w:r w:rsidR="0011774B">
              <w:rPr>
                <w:rFonts w:ascii="Times New Roman" w:hAnsi="Times New Roman"/>
              </w:rPr>
              <w:t xml:space="preserve">, </w:t>
            </w:r>
            <w:r w:rsidR="00505BF0">
              <w:rPr>
                <w:rFonts w:ascii="Times New Roman" w:hAnsi="Times New Roman"/>
              </w:rPr>
              <w:t>zwiększonej o wartość</w:t>
            </w:r>
            <w:r w:rsidR="0011774B">
              <w:rPr>
                <w:rFonts w:ascii="Times New Roman" w:hAnsi="Times New Roman"/>
              </w:rPr>
              <w:t xml:space="preserve"> środków, będących dotychczas w dyspozycji Rzecznika Finansowego, pochodzących z wpłat od określonych podmiotów rynku finansowego na pokrycie kosztów funkcjonowania systemu ochrony klientów podmiotów rynku finansowego. </w:t>
            </w:r>
          </w:p>
          <w:p w:rsidR="00681ECE" w:rsidRDefault="00681ECE" w:rsidP="00BA6CBE">
            <w:pPr>
              <w:spacing w:before="120" w:after="120"/>
              <w:jc w:val="both"/>
              <w:rPr>
                <w:rFonts w:ascii="Times New Roman" w:hAnsi="Times New Roman"/>
              </w:rPr>
            </w:pPr>
            <w:r w:rsidRPr="0015014C">
              <w:rPr>
                <w:rFonts w:ascii="Times New Roman" w:hAnsi="Times New Roman"/>
                <w:highlight w:val="yellow"/>
              </w:rPr>
              <w:t xml:space="preserve">W 2021 roku środki na pokrycie wydatków związanych z </w:t>
            </w:r>
            <w:r w:rsidR="00F12355">
              <w:rPr>
                <w:rFonts w:ascii="Times New Roman" w:hAnsi="Times New Roman"/>
                <w:highlight w:val="yellow"/>
              </w:rPr>
              <w:t xml:space="preserve">zadaniami Prezesa UOKiK przejętymi od </w:t>
            </w:r>
            <w:r w:rsidRPr="0015014C">
              <w:rPr>
                <w:rFonts w:ascii="Times New Roman" w:hAnsi="Times New Roman"/>
                <w:highlight w:val="yellow"/>
              </w:rPr>
              <w:t>Rzecznika Finansowego, sfinansowane zostaną z utworzonej na ten cel rezerwy celowej.</w:t>
            </w:r>
          </w:p>
          <w:p w:rsidR="00897A9F" w:rsidRDefault="00505BF0" w:rsidP="00BD3530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W</w:t>
            </w:r>
            <w:r w:rsidR="00943038">
              <w:rPr>
                <w:rFonts w:ascii="Times New Roman" w:hAnsi="Times New Roman"/>
              </w:rPr>
              <w:t xml:space="preserve">ejście w życie </w:t>
            </w:r>
            <w:r w:rsidR="006C7B0C">
              <w:rPr>
                <w:rFonts w:ascii="Times New Roman" w:hAnsi="Times New Roman"/>
              </w:rPr>
              <w:t>projektu</w:t>
            </w:r>
            <w:r w:rsidR="00943038">
              <w:rPr>
                <w:rFonts w:ascii="Times New Roman" w:hAnsi="Times New Roman"/>
              </w:rPr>
              <w:t xml:space="preserve"> spowoduje </w:t>
            </w:r>
            <w:r w:rsidR="00AB079F">
              <w:rPr>
                <w:rFonts w:ascii="Times New Roman" w:hAnsi="Times New Roman"/>
              </w:rPr>
              <w:t xml:space="preserve">pomijalne w skali OSR </w:t>
            </w:r>
            <w:r w:rsidR="00943038">
              <w:rPr>
                <w:rFonts w:ascii="Times New Roman" w:hAnsi="Times New Roman"/>
              </w:rPr>
              <w:t xml:space="preserve">skutki finansowe </w:t>
            </w:r>
            <w:r w:rsidR="0018015A">
              <w:rPr>
                <w:rFonts w:ascii="Times New Roman" w:hAnsi="Times New Roman"/>
              </w:rPr>
              <w:t xml:space="preserve">w wysokości ok. </w:t>
            </w:r>
            <w:r w:rsidR="00AB079F">
              <w:rPr>
                <w:rFonts w:ascii="Times New Roman" w:hAnsi="Times New Roman"/>
              </w:rPr>
              <w:t>0,16 mln</w:t>
            </w:r>
            <w:r w:rsidR="00272F5D">
              <w:rPr>
                <w:rFonts w:ascii="Times New Roman" w:hAnsi="Times New Roman"/>
              </w:rPr>
              <w:t xml:space="preserve"> zł </w:t>
            </w:r>
            <w:r w:rsidR="006C7B0C">
              <w:rPr>
                <w:rFonts w:ascii="Times New Roman" w:hAnsi="Times New Roman"/>
              </w:rPr>
              <w:t xml:space="preserve">rocznie, </w:t>
            </w:r>
            <w:r w:rsidR="00904A28">
              <w:rPr>
                <w:rFonts w:ascii="Times New Roman" w:hAnsi="Times New Roman"/>
              </w:rPr>
              <w:t xml:space="preserve">wynikające ze zwolnienia klientów podmiotów rynku finansowego z obowiązku uiszczania opłaty </w:t>
            </w:r>
            <w:r w:rsidR="00B8051F">
              <w:rPr>
                <w:rFonts w:ascii="Times New Roman" w:hAnsi="Times New Roman"/>
              </w:rPr>
              <w:t xml:space="preserve">w kwocie </w:t>
            </w:r>
            <w:r w:rsidR="00904A28">
              <w:rPr>
                <w:rFonts w:ascii="Times New Roman" w:hAnsi="Times New Roman"/>
              </w:rPr>
              <w:t xml:space="preserve">50 zł od wniosku od </w:t>
            </w:r>
            <w:r w:rsidR="00427B0F">
              <w:rPr>
                <w:rFonts w:ascii="Times New Roman" w:hAnsi="Times New Roman"/>
              </w:rPr>
              <w:t xml:space="preserve">o wszczęcie </w:t>
            </w:r>
            <w:r w:rsidR="00427B0F" w:rsidRPr="00161D06">
              <w:rPr>
                <w:rFonts w:ascii="Times New Roman" w:hAnsi="Times New Roman"/>
              </w:rPr>
              <w:t>pozasądowego</w:t>
            </w:r>
            <w:r w:rsidR="00427B0F">
              <w:rPr>
                <w:rFonts w:ascii="Times New Roman" w:hAnsi="Times New Roman"/>
              </w:rPr>
              <w:t xml:space="preserve"> postępowania w sprawie rozwiązania sporu</w:t>
            </w:r>
            <w:r w:rsidR="00427B0F" w:rsidRPr="00161D06">
              <w:rPr>
                <w:rFonts w:ascii="Times New Roman" w:hAnsi="Times New Roman"/>
              </w:rPr>
              <w:t xml:space="preserve"> między klientem a podmiotem rynku finansowego</w:t>
            </w:r>
            <w:r w:rsidR="00427B0F">
              <w:rPr>
                <w:rFonts w:ascii="Times New Roman" w:hAnsi="Times New Roman"/>
              </w:rPr>
              <w:t>.</w:t>
            </w:r>
          </w:p>
          <w:p w:rsidR="00505BF0" w:rsidRPr="00424472" w:rsidRDefault="00505BF0" w:rsidP="00BD3530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Ew</w:t>
            </w:r>
            <w:r w:rsidR="00A412B3">
              <w:rPr>
                <w:rFonts w:ascii="Times New Roman" w:hAnsi="Times New Roman"/>
              </w:rPr>
              <w:t>entualne</w:t>
            </w:r>
            <w:r>
              <w:rPr>
                <w:rFonts w:ascii="Times New Roman" w:hAnsi="Times New Roman"/>
              </w:rPr>
              <w:t xml:space="preserve"> s</w:t>
            </w:r>
            <w:r w:rsidRPr="00505BF0">
              <w:rPr>
                <w:rFonts w:ascii="Times New Roman" w:hAnsi="Times New Roman"/>
              </w:rPr>
              <w:t>kutki finansowe dla części 04</w:t>
            </w:r>
            <w:r w:rsidR="00A412B3">
              <w:rPr>
                <w:rFonts w:ascii="Times New Roman" w:hAnsi="Times New Roman"/>
              </w:rPr>
              <w:t xml:space="preserve"> budżetu państw</w:t>
            </w:r>
            <w:r w:rsidRPr="00505BF0">
              <w:rPr>
                <w:rFonts w:ascii="Times New Roman" w:hAnsi="Times New Roman"/>
              </w:rPr>
              <w:t xml:space="preserve"> – Sąd Najwyższy</w:t>
            </w:r>
            <w:r w:rsidR="00A412B3">
              <w:rPr>
                <w:rFonts w:ascii="Times New Roman" w:hAnsi="Times New Roman"/>
              </w:rPr>
              <w:t>,</w:t>
            </w:r>
            <w:r w:rsidRPr="00505BF0">
              <w:rPr>
                <w:rFonts w:ascii="Times New Roman" w:hAnsi="Times New Roman"/>
              </w:rPr>
              <w:t xml:space="preserve"> wynikające </w:t>
            </w:r>
            <w:r w:rsidR="00A412B3">
              <w:rPr>
                <w:rFonts w:ascii="Times New Roman" w:hAnsi="Times New Roman"/>
              </w:rPr>
              <w:br/>
            </w:r>
            <w:r w:rsidRPr="00505BF0">
              <w:rPr>
                <w:rFonts w:ascii="Times New Roman" w:hAnsi="Times New Roman"/>
              </w:rPr>
              <w:t>z wejścia w życie projektowanych przepisów</w:t>
            </w:r>
            <w:r>
              <w:rPr>
                <w:rFonts w:ascii="Times New Roman" w:hAnsi="Times New Roman"/>
              </w:rPr>
              <w:t xml:space="preserve"> będą pomijalne w skali OSR i</w:t>
            </w:r>
            <w:r w:rsidRPr="00505BF0">
              <w:rPr>
                <w:rFonts w:ascii="Times New Roman" w:hAnsi="Times New Roman"/>
              </w:rPr>
              <w:t xml:space="preserve"> zostaną pokryte </w:t>
            </w:r>
            <w:r w:rsidR="00A412B3">
              <w:rPr>
                <w:rFonts w:ascii="Times New Roman" w:hAnsi="Times New Roman"/>
              </w:rPr>
              <w:br/>
            </w:r>
            <w:r w:rsidRPr="00505BF0">
              <w:rPr>
                <w:rFonts w:ascii="Times New Roman" w:hAnsi="Times New Roman"/>
              </w:rPr>
              <w:t>w ramach dotychczasowych środków i nie będą stanowić podstawy do ubiegania się o dodatkowe środki z budżetu państwa w roku wejścia w życie ustawy oraz w latach kolejnych.</w:t>
            </w:r>
          </w:p>
        </w:tc>
      </w:tr>
      <w:tr w:rsidR="00897A9F" w:rsidRPr="00424472" w:rsidTr="003C1AC0">
        <w:tblPrEx>
          <w:tblCellMar>
            <w:left w:w="70" w:type="dxa"/>
            <w:right w:w="70" w:type="dxa"/>
          </w:tblCellMar>
        </w:tblPrEx>
        <w:trPr>
          <w:trHeight w:val="416"/>
          <w:jc w:val="center"/>
        </w:trPr>
        <w:tc>
          <w:tcPr>
            <w:tcW w:w="2233" w:type="dxa"/>
            <w:gridSpan w:val="2"/>
            <w:shd w:val="clear" w:color="auto" w:fill="FFFFFF"/>
          </w:tcPr>
          <w:p w:rsidR="00897A9F" w:rsidRPr="00424472" w:rsidRDefault="00897A9F" w:rsidP="00424472">
            <w:pPr>
              <w:rPr>
                <w:rFonts w:ascii="Times New Roman" w:hAnsi="Times New Roman"/>
                <w:color w:val="000000"/>
              </w:rPr>
            </w:pPr>
            <w:r w:rsidRPr="00424472">
              <w:rPr>
                <w:rFonts w:ascii="Times New Roman" w:hAnsi="Times New Roman"/>
                <w:color w:val="000000"/>
              </w:rPr>
              <w:lastRenderedPageBreak/>
              <w:t>Dodatkowe informacje, w tym wskazanie źródeł danych i przyjętych do obliczeń założeń</w:t>
            </w:r>
          </w:p>
        </w:tc>
        <w:tc>
          <w:tcPr>
            <w:tcW w:w="8541" w:type="dxa"/>
            <w:gridSpan w:val="27"/>
            <w:shd w:val="clear" w:color="auto" w:fill="FFFFFF"/>
          </w:tcPr>
          <w:p w:rsidR="00FA7785" w:rsidRPr="00736A65" w:rsidRDefault="00736A65" w:rsidP="005319E8">
            <w:pPr>
              <w:spacing w:before="120" w:after="12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736A65">
              <w:rPr>
                <w:rFonts w:ascii="Times New Roman" w:hAnsi="Times New Roman"/>
                <w:b/>
                <w:color w:val="000000"/>
              </w:rPr>
              <w:t>Dochody i koszty funkcjonowania Rzecznika Finansowego i jego Biura</w:t>
            </w:r>
          </w:p>
          <w:p w:rsidR="00D35925" w:rsidRPr="00BA6CBE" w:rsidRDefault="00D35925" w:rsidP="00BA6CBE">
            <w:pPr>
              <w:spacing w:before="120"/>
              <w:jc w:val="both"/>
              <w:rPr>
                <w:rFonts w:ascii="Times New Roman" w:hAnsi="Times New Roman"/>
                <w:color w:val="000000"/>
              </w:rPr>
            </w:pPr>
            <w:r w:rsidRPr="00BA6CBE">
              <w:rPr>
                <w:rFonts w:ascii="Times New Roman" w:hAnsi="Times New Roman"/>
                <w:color w:val="000000"/>
              </w:rPr>
              <w:t>Według Informacji NIK o wynikach kontroli z wykonania planów finansowych Rzecznika Finansowego</w:t>
            </w:r>
            <w:r w:rsidR="003C1AC0">
              <w:rPr>
                <w:rFonts w:ascii="Times New Roman" w:hAnsi="Times New Roman"/>
                <w:color w:val="000000"/>
              </w:rPr>
              <w:t xml:space="preserve"> oraz Planu finan</w:t>
            </w:r>
            <w:r w:rsidR="00FA7785">
              <w:rPr>
                <w:rFonts w:ascii="Times New Roman" w:hAnsi="Times New Roman"/>
                <w:color w:val="000000"/>
              </w:rPr>
              <w:t>sowego Rzecznika Finansowego na 2020 r.</w:t>
            </w:r>
            <w:r w:rsidRPr="00BA6CBE">
              <w:rPr>
                <w:rFonts w:ascii="Times New Roman" w:hAnsi="Times New Roman"/>
                <w:color w:val="000000"/>
              </w:rPr>
              <w:t xml:space="preserve">, koszty funkcjonowania Rzecznika i jego Biura </w:t>
            </w:r>
            <w:r w:rsidR="003C1AC0">
              <w:rPr>
                <w:rFonts w:ascii="Times New Roman" w:hAnsi="Times New Roman"/>
                <w:color w:val="000000"/>
              </w:rPr>
              <w:t xml:space="preserve">w latach 2016-2020 kształtują </w:t>
            </w:r>
            <w:r w:rsidRPr="00BA6CBE">
              <w:rPr>
                <w:rFonts w:ascii="Times New Roman" w:hAnsi="Times New Roman"/>
                <w:color w:val="000000"/>
              </w:rPr>
              <w:t>się następująco:</w:t>
            </w:r>
          </w:p>
          <w:p w:rsidR="00D35925" w:rsidRDefault="003C1AC0" w:rsidP="00D35925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23105C14" wp14:editId="45A92DCD">
                  <wp:simplePos x="0" y="0"/>
                  <wp:positionH relativeFrom="column">
                    <wp:posOffset>393700</wp:posOffset>
                  </wp:positionH>
                  <wp:positionV relativeFrom="paragraph">
                    <wp:posOffset>99695</wp:posOffset>
                  </wp:positionV>
                  <wp:extent cx="4572000" cy="2743200"/>
                  <wp:effectExtent l="0" t="0" r="0" b="0"/>
                  <wp:wrapSquare wrapText="bothSides"/>
                  <wp:docPr id="4" name="Wykres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anchor>
              </w:drawing>
            </w:r>
          </w:p>
          <w:p w:rsidR="00D35925" w:rsidRPr="003E44F4" w:rsidRDefault="00D35925" w:rsidP="00D35925">
            <w:pPr>
              <w:rPr>
                <w:rFonts w:ascii="Times New Roman" w:hAnsi="Times New Roman"/>
              </w:rPr>
            </w:pPr>
          </w:p>
          <w:p w:rsidR="00D35925" w:rsidRPr="003E44F4" w:rsidRDefault="00D35925" w:rsidP="00D35925">
            <w:pPr>
              <w:rPr>
                <w:rFonts w:ascii="Times New Roman" w:hAnsi="Times New Roman"/>
              </w:rPr>
            </w:pPr>
          </w:p>
          <w:p w:rsidR="00D35925" w:rsidRPr="003E44F4" w:rsidRDefault="00D35925" w:rsidP="00D35925">
            <w:pPr>
              <w:rPr>
                <w:rFonts w:ascii="Times New Roman" w:hAnsi="Times New Roman"/>
              </w:rPr>
            </w:pPr>
          </w:p>
          <w:p w:rsidR="00D35925" w:rsidRPr="003E44F4" w:rsidRDefault="00D35925" w:rsidP="00D35925">
            <w:pPr>
              <w:rPr>
                <w:rFonts w:ascii="Times New Roman" w:hAnsi="Times New Roman"/>
              </w:rPr>
            </w:pPr>
          </w:p>
          <w:p w:rsidR="00D35925" w:rsidRPr="003E44F4" w:rsidRDefault="00D35925" w:rsidP="00D35925">
            <w:pPr>
              <w:rPr>
                <w:rFonts w:ascii="Times New Roman" w:hAnsi="Times New Roman"/>
              </w:rPr>
            </w:pPr>
          </w:p>
          <w:p w:rsidR="00D35925" w:rsidRPr="003E44F4" w:rsidRDefault="00D35925" w:rsidP="00D35925">
            <w:pPr>
              <w:rPr>
                <w:rFonts w:ascii="Times New Roman" w:hAnsi="Times New Roman"/>
              </w:rPr>
            </w:pPr>
          </w:p>
          <w:p w:rsidR="00D35925" w:rsidRPr="003E44F4" w:rsidRDefault="00D35925" w:rsidP="00D35925">
            <w:pPr>
              <w:rPr>
                <w:rFonts w:ascii="Times New Roman" w:hAnsi="Times New Roman"/>
              </w:rPr>
            </w:pPr>
          </w:p>
          <w:p w:rsidR="00D35925" w:rsidRPr="003E44F4" w:rsidRDefault="00D35925" w:rsidP="00D35925">
            <w:pPr>
              <w:rPr>
                <w:rFonts w:ascii="Times New Roman" w:hAnsi="Times New Roman"/>
              </w:rPr>
            </w:pPr>
          </w:p>
          <w:p w:rsidR="00D35925" w:rsidRPr="003E44F4" w:rsidRDefault="00D35925" w:rsidP="00D35925">
            <w:pPr>
              <w:rPr>
                <w:rFonts w:ascii="Times New Roman" w:hAnsi="Times New Roman"/>
              </w:rPr>
            </w:pPr>
          </w:p>
          <w:p w:rsidR="00D35925" w:rsidRPr="003E44F4" w:rsidRDefault="00D35925" w:rsidP="00D35925">
            <w:pPr>
              <w:rPr>
                <w:rFonts w:ascii="Times New Roman" w:hAnsi="Times New Roman"/>
              </w:rPr>
            </w:pPr>
          </w:p>
          <w:p w:rsidR="00D35925" w:rsidRPr="003E44F4" w:rsidRDefault="00D35925" w:rsidP="00D35925">
            <w:pPr>
              <w:rPr>
                <w:rFonts w:ascii="Times New Roman" w:hAnsi="Times New Roman"/>
              </w:rPr>
            </w:pPr>
          </w:p>
          <w:p w:rsidR="00D35925" w:rsidRPr="003E44F4" w:rsidRDefault="00D35925" w:rsidP="00D35925">
            <w:pPr>
              <w:rPr>
                <w:rFonts w:ascii="Times New Roman" w:hAnsi="Times New Roman"/>
              </w:rPr>
            </w:pPr>
          </w:p>
          <w:p w:rsidR="00D35925" w:rsidRPr="003E44F4" w:rsidRDefault="00D35925" w:rsidP="00D35925">
            <w:pPr>
              <w:rPr>
                <w:rFonts w:ascii="Times New Roman" w:hAnsi="Times New Roman"/>
              </w:rPr>
            </w:pPr>
          </w:p>
          <w:p w:rsidR="00D35925" w:rsidRPr="003E44F4" w:rsidRDefault="00D35925" w:rsidP="00D35925">
            <w:pPr>
              <w:rPr>
                <w:rFonts w:ascii="Times New Roman" w:hAnsi="Times New Roman"/>
              </w:rPr>
            </w:pPr>
          </w:p>
          <w:p w:rsidR="00D35925" w:rsidRDefault="00D35925" w:rsidP="00D35925">
            <w:pPr>
              <w:rPr>
                <w:rFonts w:ascii="Times New Roman" w:hAnsi="Times New Roman"/>
              </w:rPr>
            </w:pPr>
          </w:p>
          <w:p w:rsidR="00D35925" w:rsidRDefault="00D35925" w:rsidP="00D359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Analizując poszczególne składowe rocznych kosztów funkcjonowania Rzecznika należy zauważyć, że ich największą część stanowiły wynagrodzenia i usługi obce (umowy cywilno-prawne), </w:t>
            </w:r>
            <w:r w:rsidR="00FA7785">
              <w:rPr>
                <w:rFonts w:ascii="Times New Roman" w:hAnsi="Times New Roman"/>
              </w:rPr>
              <w:t xml:space="preserve">a </w:t>
            </w:r>
            <w:r>
              <w:rPr>
                <w:rFonts w:ascii="Times New Roman" w:hAnsi="Times New Roman"/>
              </w:rPr>
              <w:t>więc wraz ze wzrostem zatrudnienia (w 2016 r. w Biurze Rzecznika zatrudnionych było 67 osób, w 2019 r. – 105)</w:t>
            </w:r>
            <w:r w:rsidR="00FA7785">
              <w:rPr>
                <w:rFonts w:ascii="Times New Roman" w:hAnsi="Times New Roman"/>
              </w:rPr>
              <w:t>, rosną</w:t>
            </w:r>
            <w:r>
              <w:rPr>
                <w:rFonts w:ascii="Times New Roman" w:hAnsi="Times New Roman"/>
              </w:rPr>
              <w:t xml:space="preserve"> także koszty ogółem.</w:t>
            </w:r>
          </w:p>
          <w:p w:rsidR="00D35925" w:rsidRDefault="00D35925" w:rsidP="00D35925">
            <w:pPr>
              <w:jc w:val="both"/>
              <w:rPr>
                <w:rFonts w:ascii="Times New Roman" w:hAnsi="Times New Roman"/>
              </w:rPr>
            </w:pPr>
          </w:p>
          <w:p w:rsidR="00D35925" w:rsidRDefault="00B15689" w:rsidP="00D359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Zgodnie z planem finansowym Rzecznika Finansowego na 2020 r. koszty funkcjonowania </w:t>
            </w:r>
            <w:r w:rsidR="003D12AC">
              <w:rPr>
                <w:rFonts w:ascii="Times New Roman" w:hAnsi="Times New Roman"/>
              </w:rPr>
              <w:t>Rzecznika i B</w:t>
            </w:r>
            <w:r w:rsidR="000A4227">
              <w:rPr>
                <w:rFonts w:ascii="Times New Roman" w:hAnsi="Times New Roman"/>
              </w:rPr>
              <w:t xml:space="preserve">iura </w:t>
            </w:r>
            <w:r w:rsidR="003D12AC">
              <w:rPr>
                <w:rFonts w:ascii="Times New Roman" w:hAnsi="Times New Roman"/>
              </w:rPr>
              <w:t>R</w:t>
            </w:r>
            <w:r w:rsidR="000A4227">
              <w:rPr>
                <w:rFonts w:ascii="Times New Roman" w:hAnsi="Times New Roman"/>
              </w:rPr>
              <w:t xml:space="preserve">zecznika </w:t>
            </w:r>
            <w:r w:rsidR="003D12AC">
              <w:rPr>
                <w:rFonts w:ascii="Times New Roman" w:hAnsi="Times New Roman"/>
              </w:rPr>
              <w:t>F</w:t>
            </w:r>
            <w:r w:rsidR="000A4227">
              <w:rPr>
                <w:rFonts w:ascii="Times New Roman" w:hAnsi="Times New Roman"/>
              </w:rPr>
              <w:t>inansowego</w:t>
            </w:r>
            <w:r w:rsidR="003D12AC">
              <w:rPr>
                <w:rFonts w:ascii="Times New Roman" w:hAnsi="Times New Roman"/>
              </w:rPr>
              <w:t xml:space="preserve"> kształtują się następująco:</w:t>
            </w:r>
          </w:p>
          <w:p w:rsidR="00B15689" w:rsidRDefault="00B15689" w:rsidP="00D35925">
            <w:pPr>
              <w:jc w:val="both"/>
              <w:rPr>
                <w:rFonts w:ascii="Times New Roman" w:hAnsi="Times New Roman"/>
              </w:rPr>
            </w:pPr>
          </w:p>
          <w:tbl>
            <w:tblPr>
              <w:tblW w:w="5100" w:type="dxa"/>
              <w:tblInd w:w="163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97"/>
              <w:gridCol w:w="1603"/>
            </w:tblGrid>
            <w:tr w:rsidR="00356AE6" w:rsidRPr="00356AE6" w:rsidTr="00356AE6">
              <w:trPr>
                <w:trHeight w:val="300"/>
              </w:trPr>
              <w:tc>
                <w:tcPr>
                  <w:tcW w:w="51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56AE6" w:rsidRPr="00356AE6" w:rsidRDefault="00356AE6" w:rsidP="00356AE6">
                  <w:pPr>
                    <w:spacing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356AE6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(mln zł)</w:t>
                  </w:r>
                </w:p>
              </w:tc>
            </w:tr>
            <w:tr w:rsidR="00356AE6" w:rsidRPr="00356AE6" w:rsidTr="00A92A7E">
              <w:trPr>
                <w:trHeight w:val="300"/>
              </w:trPr>
              <w:tc>
                <w:tcPr>
                  <w:tcW w:w="3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56AE6" w:rsidRPr="00356AE6" w:rsidRDefault="00356AE6" w:rsidP="00356AE6">
                  <w:pPr>
                    <w:spacing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356AE6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Amortyzacja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56AE6" w:rsidRPr="00356AE6" w:rsidRDefault="00356AE6" w:rsidP="00356AE6">
                  <w:pPr>
                    <w:spacing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356AE6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0,23</w:t>
                  </w:r>
                </w:p>
              </w:tc>
            </w:tr>
            <w:tr w:rsidR="00356AE6" w:rsidRPr="00356AE6" w:rsidTr="00A92A7E">
              <w:trPr>
                <w:trHeight w:val="300"/>
              </w:trPr>
              <w:tc>
                <w:tcPr>
                  <w:tcW w:w="3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56AE6" w:rsidRPr="00356AE6" w:rsidRDefault="00356AE6" w:rsidP="00356AE6">
                  <w:pPr>
                    <w:spacing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356AE6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Materiały i energia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56AE6" w:rsidRPr="00356AE6" w:rsidRDefault="00356AE6" w:rsidP="00356AE6">
                  <w:pPr>
                    <w:spacing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356AE6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0,51</w:t>
                  </w:r>
                </w:p>
              </w:tc>
            </w:tr>
            <w:tr w:rsidR="00356AE6" w:rsidRPr="00356AE6" w:rsidTr="00A92A7E">
              <w:trPr>
                <w:trHeight w:val="300"/>
              </w:trPr>
              <w:tc>
                <w:tcPr>
                  <w:tcW w:w="3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56AE6" w:rsidRPr="00356AE6" w:rsidRDefault="00356AE6" w:rsidP="00356AE6">
                  <w:pPr>
                    <w:spacing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356AE6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Usługi obce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56AE6" w:rsidRPr="00356AE6" w:rsidRDefault="00356AE6" w:rsidP="00356AE6">
                  <w:pPr>
                    <w:spacing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356AE6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7,76</w:t>
                  </w:r>
                </w:p>
              </w:tc>
            </w:tr>
            <w:tr w:rsidR="00356AE6" w:rsidRPr="00356AE6" w:rsidTr="00A92A7E">
              <w:trPr>
                <w:trHeight w:val="300"/>
              </w:trPr>
              <w:tc>
                <w:tcPr>
                  <w:tcW w:w="3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56AE6" w:rsidRPr="00356AE6" w:rsidRDefault="00356AE6" w:rsidP="00356AE6">
                  <w:pPr>
                    <w:spacing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356AE6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Wynagrodzenia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56AE6" w:rsidRPr="00356AE6" w:rsidRDefault="00356AE6" w:rsidP="00356AE6">
                  <w:pPr>
                    <w:spacing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356AE6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17,42</w:t>
                  </w:r>
                </w:p>
              </w:tc>
            </w:tr>
            <w:tr w:rsidR="00356AE6" w:rsidRPr="00356AE6" w:rsidTr="00A92A7E">
              <w:trPr>
                <w:trHeight w:val="300"/>
              </w:trPr>
              <w:tc>
                <w:tcPr>
                  <w:tcW w:w="3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56AE6" w:rsidRPr="00356AE6" w:rsidRDefault="00356AE6" w:rsidP="00356AE6">
                  <w:pPr>
                    <w:spacing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356AE6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Składki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56AE6" w:rsidRPr="00356AE6" w:rsidRDefault="00356AE6" w:rsidP="00356AE6">
                  <w:pPr>
                    <w:spacing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356AE6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3,62</w:t>
                  </w:r>
                </w:p>
              </w:tc>
            </w:tr>
            <w:tr w:rsidR="00356AE6" w:rsidRPr="00356AE6" w:rsidTr="00A92A7E">
              <w:trPr>
                <w:trHeight w:val="300"/>
              </w:trPr>
              <w:tc>
                <w:tcPr>
                  <w:tcW w:w="3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56AE6" w:rsidRPr="00356AE6" w:rsidRDefault="00356AE6" w:rsidP="00356AE6">
                  <w:pPr>
                    <w:spacing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356AE6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Podatki i opłaty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56AE6" w:rsidRPr="00356AE6" w:rsidRDefault="00356AE6" w:rsidP="00356AE6">
                  <w:pPr>
                    <w:spacing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356AE6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0,23</w:t>
                  </w:r>
                </w:p>
              </w:tc>
            </w:tr>
            <w:tr w:rsidR="00356AE6" w:rsidRPr="00356AE6" w:rsidTr="00A92A7E">
              <w:trPr>
                <w:trHeight w:val="600"/>
              </w:trPr>
              <w:tc>
                <w:tcPr>
                  <w:tcW w:w="3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56AE6" w:rsidRPr="00356AE6" w:rsidRDefault="00356AE6" w:rsidP="00356AE6">
                  <w:pPr>
                    <w:spacing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356AE6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Pozostałe koszty funkcjonowania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56AE6" w:rsidRPr="00356AE6" w:rsidRDefault="00356AE6" w:rsidP="00356AE6">
                  <w:pPr>
                    <w:spacing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356AE6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1,19</w:t>
                  </w:r>
                </w:p>
              </w:tc>
            </w:tr>
            <w:tr w:rsidR="00356AE6" w:rsidRPr="00356AE6" w:rsidTr="00A92A7E">
              <w:trPr>
                <w:trHeight w:val="300"/>
              </w:trPr>
              <w:tc>
                <w:tcPr>
                  <w:tcW w:w="3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56AE6" w:rsidRPr="00356AE6" w:rsidRDefault="00356AE6" w:rsidP="00356AE6">
                  <w:pPr>
                    <w:spacing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356AE6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Pozostałe koszty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56AE6" w:rsidRPr="00356AE6" w:rsidRDefault="00356AE6" w:rsidP="00356AE6">
                  <w:pPr>
                    <w:spacing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356AE6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0,09</w:t>
                  </w:r>
                </w:p>
              </w:tc>
            </w:tr>
            <w:tr w:rsidR="00356AE6" w:rsidRPr="00356AE6" w:rsidTr="00A92A7E">
              <w:trPr>
                <w:trHeight w:val="300"/>
              </w:trPr>
              <w:tc>
                <w:tcPr>
                  <w:tcW w:w="3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center"/>
                  <w:hideMark/>
                </w:tcPr>
                <w:p w:rsidR="00356AE6" w:rsidRPr="00356AE6" w:rsidRDefault="00356AE6" w:rsidP="00356AE6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pl-PL"/>
                    </w:rPr>
                  </w:pPr>
                  <w:r w:rsidRPr="00356AE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pl-PL"/>
                    </w:rPr>
                    <w:t>Koszty ogółem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center"/>
                  <w:hideMark/>
                </w:tcPr>
                <w:p w:rsidR="00356AE6" w:rsidRPr="00356AE6" w:rsidRDefault="00356AE6" w:rsidP="00356AE6">
                  <w:pPr>
                    <w:spacing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pl-PL"/>
                    </w:rPr>
                  </w:pPr>
                  <w:r w:rsidRPr="00356AE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pl-PL"/>
                    </w:rPr>
                    <w:t>31,06</w:t>
                  </w:r>
                </w:p>
              </w:tc>
            </w:tr>
          </w:tbl>
          <w:p w:rsidR="00D35925" w:rsidRDefault="00D35925" w:rsidP="00D35925">
            <w:pPr>
              <w:jc w:val="both"/>
              <w:rPr>
                <w:rFonts w:ascii="Times New Roman" w:hAnsi="Times New Roman"/>
              </w:rPr>
            </w:pPr>
          </w:p>
          <w:p w:rsidR="008D6A4F" w:rsidRDefault="008D6A4F" w:rsidP="008D6A4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Zakładając utrzymanie obecnego poziomu zatrudnienia pracowników, którzy przejdą z BRF do UOKiK oraz mając na względzie, że Urząd posiada już siedzibę i nie będzie zachodziła koniecz</w:t>
            </w:r>
            <w:r>
              <w:rPr>
                <w:rFonts w:ascii="Times New Roman" w:hAnsi="Times New Roman"/>
              </w:rPr>
              <w:lastRenderedPageBreak/>
              <w:t>ność m.in. wynajmu dodatkowych pomieszczeń, w kolejnych latach koszty związane ze sprawowaniem przez Prezesa U</w:t>
            </w:r>
            <w:r w:rsidR="000A4227">
              <w:rPr>
                <w:rFonts w:ascii="Times New Roman" w:hAnsi="Times New Roman"/>
              </w:rPr>
              <w:t>rzędu</w:t>
            </w:r>
            <w:r>
              <w:rPr>
                <w:rFonts w:ascii="Times New Roman" w:hAnsi="Times New Roman"/>
              </w:rPr>
              <w:t xml:space="preserve"> nowych zadań powinny utrzymać się na poziomie</w:t>
            </w:r>
            <w:r w:rsidR="0052522F">
              <w:rPr>
                <w:rFonts w:ascii="Times New Roman" w:hAnsi="Times New Roman"/>
              </w:rPr>
              <w:t xml:space="preserve"> analogicznym lub</w:t>
            </w:r>
            <w:r>
              <w:rPr>
                <w:rFonts w:ascii="Times New Roman" w:hAnsi="Times New Roman"/>
              </w:rPr>
              <w:t xml:space="preserve"> nieznacznie niższym od aktualnego poziomu kosztów funkcjonowania Rzecznika Finansowego i jego Biura.</w:t>
            </w:r>
          </w:p>
          <w:p w:rsidR="00736A65" w:rsidRDefault="00736A65" w:rsidP="00D35925">
            <w:pPr>
              <w:jc w:val="both"/>
              <w:rPr>
                <w:rFonts w:ascii="Times New Roman" w:hAnsi="Times New Roman"/>
              </w:rPr>
            </w:pPr>
          </w:p>
          <w:p w:rsidR="00A92A7E" w:rsidRDefault="00911660" w:rsidP="00AD195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Dotychczas, na podstawie art. 20 ust. 1 ustawy </w:t>
            </w:r>
            <w:r w:rsidRPr="008403F3">
              <w:rPr>
                <w:rFonts w:ascii="Times New Roman" w:hAnsi="Times New Roman"/>
                <w:i/>
              </w:rPr>
              <w:t>o rozpatrywaniu reklamacji przez podmioty rynku finansowego i o Rzeczniku Finansowym</w:t>
            </w:r>
            <w:r>
              <w:rPr>
                <w:rFonts w:ascii="Times New Roman" w:hAnsi="Times New Roman"/>
              </w:rPr>
              <w:t xml:space="preserve"> określone podmioty rynku finansowego </w:t>
            </w:r>
            <w:r w:rsidR="00661587">
              <w:rPr>
                <w:rFonts w:ascii="Times New Roman" w:hAnsi="Times New Roman"/>
              </w:rPr>
              <w:t xml:space="preserve">zobligowane były do uiszczania opłat na pokrycie kosztów </w:t>
            </w:r>
            <w:r w:rsidR="00661587" w:rsidRPr="00276955">
              <w:rPr>
                <w:rFonts w:ascii="Times New Roman" w:hAnsi="Times New Roman"/>
              </w:rPr>
              <w:t>działalności Rzecznika i jego Biura</w:t>
            </w:r>
            <w:r w:rsidR="00661587">
              <w:rPr>
                <w:rFonts w:ascii="Times New Roman" w:hAnsi="Times New Roman"/>
              </w:rPr>
              <w:t xml:space="preserve">. </w:t>
            </w:r>
            <w:r w:rsidR="004B034D">
              <w:rPr>
                <w:rFonts w:ascii="Times New Roman" w:hAnsi="Times New Roman"/>
              </w:rPr>
              <w:t>Projekt przewiduje</w:t>
            </w:r>
            <w:r w:rsidR="00AD195B">
              <w:rPr>
                <w:rFonts w:ascii="Times New Roman" w:hAnsi="Times New Roman"/>
              </w:rPr>
              <w:t>, że</w:t>
            </w:r>
            <w:r w:rsidR="00A54E53">
              <w:rPr>
                <w:rFonts w:ascii="Times New Roman" w:hAnsi="Times New Roman"/>
              </w:rPr>
              <w:t xml:space="preserve"> te same podmioty będą ponosiły w tej samej wysokości</w:t>
            </w:r>
            <w:r w:rsidR="00AD195B">
              <w:rPr>
                <w:rFonts w:ascii="Times New Roman" w:hAnsi="Times New Roman"/>
              </w:rPr>
              <w:t xml:space="preserve"> koszty funkcjonowania systemu ochrony klientów podmiotów rynku finansowego, </w:t>
            </w:r>
            <w:r w:rsidR="005D755F">
              <w:rPr>
                <w:rFonts w:ascii="Times New Roman" w:hAnsi="Times New Roman"/>
              </w:rPr>
              <w:t>a</w:t>
            </w:r>
            <w:r w:rsidR="00EC302E">
              <w:rPr>
                <w:rFonts w:ascii="Times New Roman" w:hAnsi="Times New Roman"/>
              </w:rPr>
              <w:t xml:space="preserve"> wpływy z tego tytułu będą</w:t>
            </w:r>
            <w:r w:rsidR="00AD195B">
              <w:rPr>
                <w:rFonts w:ascii="Times New Roman" w:hAnsi="Times New Roman"/>
              </w:rPr>
              <w:t xml:space="preserve"> </w:t>
            </w:r>
            <w:r w:rsidR="005D755F">
              <w:rPr>
                <w:rFonts w:ascii="Times New Roman" w:hAnsi="Times New Roman"/>
              </w:rPr>
              <w:t xml:space="preserve">stanowiły </w:t>
            </w:r>
            <w:r w:rsidR="00AD195B">
              <w:rPr>
                <w:rFonts w:ascii="Times New Roman" w:hAnsi="Times New Roman"/>
              </w:rPr>
              <w:t>dochód budżetu państwa</w:t>
            </w:r>
            <w:r w:rsidR="00A54E53">
              <w:rPr>
                <w:rFonts w:ascii="Times New Roman" w:hAnsi="Times New Roman"/>
              </w:rPr>
              <w:t xml:space="preserve">. </w:t>
            </w:r>
            <w:r w:rsidR="00EC302E">
              <w:rPr>
                <w:rFonts w:ascii="Times New Roman" w:hAnsi="Times New Roman"/>
              </w:rPr>
              <w:t>Tym samym z</w:t>
            </w:r>
            <w:r>
              <w:rPr>
                <w:rFonts w:ascii="Times New Roman" w:hAnsi="Times New Roman"/>
              </w:rPr>
              <w:t xml:space="preserve">aproponowana zmiana </w:t>
            </w:r>
            <w:r w:rsidR="00AD195B">
              <w:rPr>
                <w:rFonts w:ascii="Times New Roman" w:hAnsi="Times New Roman"/>
              </w:rPr>
              <w:t>pozwoli</w:t>
            </w:r>
            <w:r w:rsidR="005D755F">
              <w:rPr>
                <w:rFonts w:ascii="Times New Roman" w:hAnsi="Times New Roman"/>
              </w:rPr>
              <w:t xml:space="preserve"> na pokrycie wydatków, związanych</w:t>
            </w:r>
            <w:r w:rsidR="00AD195B">
              <w:rPr>
                <w:rFonts w:ascii="Times New Roman" w:hAnsi="Times New Roman"/>
              </w:rPr>
              <w:t xml:space="preserve"> z wykonywaniem no</w:t>
            </w:r>
            <w:r w:rsidR="005D755F">
              <w:rPr>
                <w:rFonts w:ascii="Times New Roman" w:hAnsi="Times New Roman"/>
              </w:rPr>
              <w:t>wych zadań przez Prezesa U</w:t>
            </w:r>
            <w:r w:rsidR="000A4227">
              <w:rPr>
                <w:rFonts w:ascii="Times New Roman" w:hAnsi="Times New Roman"/>
              </w:rPr>
              <w:t>rzędu</w:t>
            </w:r>
            <w:r w:rsidR="005D755F">
              <w:rPr>
                <w:rFonts w:ascii="Times New Roman" w:hAnsi="Times New Roman"/>
              </w:rPr>
              <w:t>, bez konieczności dodatkowego obciążania finansów publicznych.</w:t>
            </w:r>
          </w:p>
          <w:p w:rsidR="00EA1A95" w:rsidRPr="00AD195B" w:rsidRDefault="005E5680" w:rsidP="005319E8">
            <w:pPr>
              <w:spacing w:before="120" w:after="120"/>
              <w:jc w:val="both"/>
              <w:rPr>
                <w:rFonts w:ascii="Times New Roman" w:hAnsi="Times New Roman"/>
              </w:rPr>
            </w:pPr>
            <w:r w:rsidRPr="005E5680">
              <w:rPr>
                <w:rFonts w:ascii="Times New Roman" w:hAnsi="Times New Roman"/>
                <w:b/>
                <w:color w:val="000000"/>
              </w:rPr>
              <w:t xml:space="preserve">Wpływy z tytułu opłat od wniosków o wszczęcie </w:t>
            </w:r>
            <w:r w:rsidRPr="005E5680">
              <w:rPr>
                <w:rFonts w:ascii="Times New Roman" w:hAnsi="Times New Roman"/>
                <w:b/>
              </w:rPr>
              <w:t>pozasądowego postępowania przez Rz</w:t>
            </w:r>
            <w:r>
              <w:rPr>
                <w:rFonts w:ascii="Times New Roman" w:hAnsi="Times New Roman"/>
                <w:b/>
              </w:rPr>
              <w:t>e</w:t>
            </w:r>
            <w:r w:rsidRPr="005E5680">
              <w:rPr>
                <w:rFonts w:ascii="Times New Roman" w:hAnsi="Times New Roman"/>
                <w:b/>
              </w:rPr>
              <w:t>cznika Finansowego</w:t>
            </w:r>
          </w:p>
          <w:p w:rsidR="008971D4" w:rsidRDefault="00B02D4F" w:rsidP="00817DAC">
            <w:pPr>
              <w:jc w:val="both"/>
              <w:rPr>
                <w:rFonts w:ascii="Times New Roman" w:hAnsi="Times New Roman"/>
              </w:rPr>
            </w:pPr>
            <w:r w:rsidRPr="00BA6CBE">
              <w:rPr>
                <w:rFonts w:ascii="Times New Roman" w:hAnsi="Times New Roman"/>
                <w:color w:val="000000"/>
              </w:rPr>
              <w:t xml:space="preserve">Jak wynika ze </w:t>
            </w:r>
            <w:r w:rsidR="00EE4CCF" w:rsidRPr="00BA6CBE">
              <w:rPr>
                <w:rFonts w:ascii="Times New Roman" w:hAnsi="Times New Roman"/>
                <w:color w:val="000000"/>
              </w:rPr>
              <w:t>sprawozdań</w:t>
            </w:r>
            <w:r w:rsidRPr="00BA6CBE">
              <w:rPr>
                <w:rFonts w:ascii="Times New Roman" w:hAnsi="Times New Roman"/>
                <w:color w:val="000000"/>
              </w:rPr>
              <w:t xml:space="preserve"> z działalności Rzecznika Finansowego w </w:t>
            </w:r>
            <w:r w:rsidR="00EE4CCF" w:rsidRPr="00BA6CBE">
              <w:rPr>
                <w:rFonts w:ascii="Times New Roman" w:hAnsi="Times New Roman"/>
                <w:color w:val="000000"/>
              </w:rPr>
              <w:t xml:space="preserve"> latach 2016-</w:t>
            </w:r>
            <w:r w:rsidRPr="00BA6CBE">
              <w:rPr>
                <w:rFonts w:ascii="Times New Roman" w:hAnsi="Times New Roman"/>
                <w:color w:val="000000"/>
              </w:rPr>
              <w:t xml:space="preserve">2019 r., </w:t>
            </w:r>
            <w:r w:rsidR="00EE4CCF" w:rsidRPr="00BA6CBE">
              <w:rPr>
                <w:rFonts w:ascii="Times New Roman" w:hAnsi="Times New Roman"/>
                <w:color w:val="000000"/>
              </w:rPr>
              <w:t xml:space="preserve">Rzecznik rocznie </w:t>
            </w:r>
            <w:r w:rsidR="006F61F7" w:rsidRPr="00BA6CBE">
              <w:rPr>
                <w:rFonts w:ascii="Times New Roman" w:hAnsi="Times New Roman"/>
                <w:color w:val="000000"/>
              </w:rPr>
              <w:t>rejestrował</w:t>
            </w:r>
            <w:r w:rsidR="00EE4CCF" w:rsidRPr="00BA6CBE">
              <w:rPr>
                <w:rFonts w:ascii="Times New Roman" w:hAnsi="Times New Roman"/>
                <w:color w:val="000000"/>
              </w:rPr>
              <w:t xml:space="preserve"> średnio</w:t>
            </w:r>
            <w:r w:rsidR="006F61F7" w:rsidRPr="00BA6CBE">
              <w:rPr>
                <w:rFonts w:ascii="Times New Roman" w:hAnsi="Times New Roman"/>
                <w:color w:val="000000"/>
              </w:rPr>
              <w:t xml:space="preserve"> 3219 wniosków o wszczęcie </w:t>
            </w:r>
            <w:r w:rsidR="006F61F7" w:rsidRPr="00BA6CBE">
              <w:rPr>
                <w:rFonts w:ascii="Times New Roman" w:hAnsi="Times New Roman"/>
              </w:rPr>
              <w:t>pozasądowego postępowania mającego</w:t>
            </w:r>
            <w:r w:rsidR="00EE4CCF" w:rsidRPr="00BA6CBE">
              <w:rPr>
                <w:rFonts w:ascii="Times New Roman" w:hAnsi="Times New Roman"/>
              </w:rPr>
              <w:t xml:space="preserve"> na celu rozwiązanie sporu klienta rynku finansowego z podmiotem rynku finansowe</w:t>
            </w:r>
            <w:r w:rsidR="008403F3" w:rsidRPr="00BA6CBE">
              <w:rPr>
                <w:rFonts w:ascii="Times New Roman" w:hAnsi="Times New Roman"/>
              </w:rPr>
              <w:t>go, co obrazuje poniższy wykres:</w:t>
            </w:r>
          </w:p>
          <w:p w:rsidR="008971D4" w:rsidRDefault="008971D4" w:rsidP="00817DAC">
            <w:pPr>
              <w:jc w:val="both"/>
              <w:rPr>
                <w:rFonts w:ascii="Times New Roman" w:hAnsi="Times New Roman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2336" behindDoc="0" locked="0" layoutInCell="1" allowOverlap="1" wp14:anchorId="55053BC7" wp14:editId="0D0CE3CB">
                  <wp:simplePos x="0" y="0"/>
                  <wp:positionH relativeFrom="column">
                    <wp:posOffset>328930</wp:posOffset>
                  </wp:positionH>
                  <wp:positionV relativeFrom="paragraph">
                    <wp:posOffset>39370</wp:posOffset>
                  </wp:positionV>
                  <wp:extent cx="4572000" cy="2743200"/>
                  <wp:effectExtent l="0" t="0" r="0" b="0"/>
                  <wp:wrapSquare wrapText="bothSides"/>
                  <wp:docPr id="3" name="Wykres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anchor>
              </w:drawing>
            </w:r>
          </w:p>
          <w:p w:rsidR="008971D4" w:rsidRDefault="008971D4" w:rsidP="00817DAC">
            <w:pPr>
              <w:jc w:val="both"/>
              <w:rPr>
                <w:rFonts w:ascii="Times New Roman" w:hAnsi="Times New Roman"/>
              </w:rPr>
            </w:pPr>
          </w:p>
          <w:p w:rsidR="008971D4" w:rsidRDefault="008971D4" w:rsidP="00817DAC">
            <w:pPr>
              <w:jc w:val="both"/>
              <w:rPr>
                <w:rFonts w:ascii="Times New Roman" w:hAnsi="Times New Roman"/>
              </w:rPr>
            </w:pPr>
          </w:p>
          <w:p w:rsidR="008971D4" w:rsidRDefault="008971D4" w:rsidP="00817DAC">
            <w:pPr>
              <w:jc w:val="both"/>
              <w:rPr>
                <w:rFonts w:ascii="Times New Roman" w:hAnsi="Times New Roman"/>
              </w:rPr>
            </w:pPr>
          </w:p>
          <w:p w:rsidR="008971D4" w:rsidRDefault="008971D4" w:rsidP="00817DAC">
            <w:pPr>
              <w:jc w:val="both"/>
              <w:rPr>
                <w:rFonts w:ascii="Times New Roman" w:hAnsi="Times New Roman"/>
              </w:rPr>
            </w:pPr>
          </w:p>
          <w:p w:rsidR="008971D4" w:rsidRDefault="008971D4" w:rsidP="00817DAC">
            <w:pPr>
              <w:jc w:val="both"/>
              <w:rPr>
                <w:rFonts w:ascii="Times New Roman" w:hAnsi="Times New Roman"/>
              </w:rPr>
            </w:pPr>
          </w:p>
          <w:p w:rsidR="008971D4" w:rsidRDefault="008971D4" w:rsidP="00817DAC">
            <w:pPr>
              <w:jc w:val="both"/>
              <w:rPr>
                <w:rFonts w:ascii="Times New Roman" w:hAnsi="Times New Roman"/>
              </w:rPr>
            </w:pPr>
          </w:p>
          <w:p w:rsidR="008971D4" w:rsidRDefault="008971D4" w:rsidP="00817DAC">
            <w:pPr>
              <w:jc w:val="both"/>
              <w:rPr>
                <w:rFonts w:ascii="Times New Roman" w:hAnsi="Times New Roman"/>
              </w:rPr>
            </w:pPr>
          </w:p>
          <w:p w:rsidR="008971D4" w:rsidRDefault="008971D4" w:rsidP="00817DAC">
            <w:pPr>
              <w:jc w:val="both"/>
              <w:rPr>
                <w:rFonts w:ascii="Times New Roman" w:hAnsi="Times New Roman"/>
              </w:rPr>
            </w:pPr>
          </w:p>
          <w:p w:rsidR="008971D4" w:rsidRDefault="008971D4" w:rsidP="00817DAC">
            <w:pPr>
              <w:jc w:val="both"/>
              <w:rPr>
                <w:rFonts w:ascii="Times New Roman" w:hAnsi="Times New Roman"/>
              </w:rPr>
            </w:pPr>
          </w:p>
          <w:p w:rsidR="008971D4" w:rsidRDefault="008971D4" w:rsidP="00817DAC">
            <w:pPr>
              <w:jc w:val="both"/>
              <w:rPr>
                <w:rFonts w:ascii="Times New Roman" w:hAnsi="Times New Roman"/>
              </w:rPr>
            </w:pPr>
          </w:p>
          <w:p w:rsidR="008971D4" w:rsidRDefault="008971D4" w:rsidP="00817DAC">
            <w:pPr>
              <w:jc w:val="both"/>
              <w:rPr>
                <w:rFonts w:ascii="Times New Roman" w:hAnsi="Times New Roman"/>
              </w:rPr>
            </w:pPr>
          </w:p>
          <w:p w:rsidR="008971D4" w:rsidRDefault="008971D4" w:rsidP="00817DAC">
            <w:pPr>
              <w:jc w:val="both"/>
              <w:rPr>
                <w:rFonts w:ascii="Times New Roman" w:hAnsi="Times New Roman"/>
              </w:rPr>
            </w:pPr>
          </w:p>
          <w:p w:rsidR="008971D4" w:rsidRDefault="008971D4" w:rsidP="00817DAC">
            <w:pPr>
              <w:jc w:val="both"/>
              <w:rPr>
                <w:rFonts w:ascii="Times New Roman" w:hAnsi="Times New Roman"/>
              </w:rPr>
            </w:pPr>
          </w:p>
          <w:p w:rsidR="008971D4" w:rsidRDefault="008971D4" w:rsidP="00817DAC">
            <w:pPr>
              <w:jc w:val="both"/>
              <w:rPr>
                <w:rFonts w:ascii="Times New Roman" w:hAnsi="Times New Roman"/>
              </w:rPr>
            </w:pPr>
          </w:p>
          <w:p w:rsidR="008971D4" w:rsidRDefault="008971D4" w:rsidP="00817DAC">
            <w:pPr>
              <w:jc w:val="both"/>
              <w:rPr>
                <w:rFonts w:ascii="Times New Roman" w:hAnsi="Times New Roman"/>
              </w:rPr>
            </w:pPr>
          </w:p>
          <w:p w:rsidR="00B56469" w:rsidRDefault="00B56469" w:rsidP="00B56469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N</w:t>
            </w:r>
            <w:r w:rsidRPr="00817DAC">
              <w:rPr>
                <w:rFonts w:ascii="Times New Roman" w:hAnsi="Times New Roman"/>
              </w:rPr>
              <w:t xml:space="preserve">a podstawie art. 38 </w:t>
            </w:r>
            <w:r>
              <w:rPr>
                <w:rFonts w:ascii="Times New Roman" w:hAnsi="Times New Roman"/>
              </w:rPr>
              <w:t>aktualnie</w:t>
            </w:r>
            <w:r w:rsidRPr="00817DAC">
              <w:rPr>
                <w:rFonts w:ascii="Times New Roman" w:hAnsi="Times New Roman"/>
              </w:rPr>
              <w:t xml:space="preserve"> obowiązującej ustawy z dnia z dnia 5 sierpnia 2015 r. </w:t>
            </w:r>
            <w:r w:rsidRPr="008403F3">
              <w:rPr>
                <w:rFonts w:ascii="Times New Roman" w:hAnsi="Times New Roman"/>
                <w:i/>
              </w:rPr>
              <w:t>o rozpatrywaniu reklamacji przez podmioty rynku finansowego i o Rzeczniku Finansowym</w:t>
            </w:r>
            <w:r>
              <w:rPr>
                <w:rFonts w:ascii="Times New Roman" w:hAnsi="Times New Roman"/>
              </w:rPr>
              <w:t xml:space="preserve">, za wniosek o wszczęcie </w:t>
            </w:r>
            <w:r w:rsidRPr="00161D06">
              <w:rPr>
                <w:rFonts w:ascii="Times New Roman" w:hAnsi="Times New Roman"/>
              </w:rPr>
              <w:t>pozasądowego</w:t>
            </w:r>
            <w:r>
              <w:rPr>
                <w:rFonts w:ascii="Times New Roman" w:hAnsi="Times New Roman"/>
              </w:rPr>
              <w:t xml:space="preserve"> postępowania w sprawie rozwiązania sporu</w:t>
            </w:r>
            <w:r w:rsidRPr="00161D06">
              <w:rPr>
                <w:rFonts w:ascii="Times New Roman" w:hAnsi="Times New Roman"/>
              </w:rPr>
              <w:t xml:space="preserve"> między klientem </w:t>
            </w:r>
            <w:r>
              <w:rPr>
                <w:rFonts w:ascii="Times New Roman" w:hAnsi="Times New Roman"/>
              </w:rPr>
              <w:br/>
            </w:r>
            <w:r w:rsidRPr="00161D06">
              <w:rPr>
                <w:rFonts w:ascii="Times New Roman" w:hAnsi="Times New Roman"/>
              </w:rPr>
              <w:t>a podmiotem rynku finansowego</w:t>
            </w:r>
            <w:r>
              <w:rPr>
                <w:rFonts w:ascii="Times New Roman" w:hAnsi="Times New Roman"/>
              </w:rPr>
              <w:t xml:space="preserve">, klient podmiotu rynku finansowego zobowiązany jest uiścić opłatę w wysokości 50 zł, pod rygorem odmowy rozpatrzenia sporu przez Rzecznika </w:t>
            </w:r>
            <w:r>
              <w:rPr>
                <w:rFonts w:ascii="Times New Roman" w:hAnsi="Times New Roman"/>
              </w:rPr>
              <w:br/>
              <w:t xml:space="preserve">(w </w:t>
            </w:r>
            <w:r w:rsidRPr="00155F57">
              <w:rPr>
                <w:rFonts w:ascii="Times New Roman" w:hAnsi="Times New Roman"/>
              </w:rPr>
              <w:t>szczególnie uzasadnionych przypadkach Rzecznik może zwolnić klienta z obowiązku uiszczania opłaty</w:t>
            </w:r>
            <w:r>
              <w:rPr>
                <w:rFonts w:ascii="Times New Roman" w:hAnsi="Times New Roman"/>
              </w:rPr>
              <w:t>).</w:t>
            </w:r>
          </w:p>
          <w:p w:rsidR="00B56469" w:rsidRDefault="00B56469" w:rsidP="00B56469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Zakładając, że za wszystkie składane wnioski uiszczane były opłaty, wpływy z tego tytułu wynosiły rocznie ok. 160 950 zł. </w:t>
            </w:r>
          </w:p>
          <w:p w:rsidR="00B56469" w:rsidRDefault="00B56469" w:rsidP="00B56469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Przedmiotowy projekt zakłada zwolnienie klientów podmiotów rynku finansowego od ponoszenia ww. opłaty.</w:t>
            </w:r>
          </w:p>
          <w:p w:rsidR="00B56469" w:rsidRDefault="00B56469" w:rsidP="00B564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Ponadto projekt zakłada, że koszty funkcjonowania systemu ochrony klientów podmiotów rynku finansowego ponoszą określone podmioty rynku finansowego, które zobligowane będą do uiszczania wpłat z tego tytułu, stanowiących dochód budżetu państwa, co pozwoli pokryć wydatki, związane z wykonywaniem nowych zadań przez Prezesa Urzędu. </w:t>
            </w:r>
          </w:p>
          <w:p w:rsidR="00B56469" w:rsidRDefault="00B56469" w:rsidP="00B56469">
            <w:pPr>
              <w:jc w:val="both"/>
              <w:rPr>
                <w:rFonts w:ascii="Times New Roman" w:hAnsi="Times New Roman"/>
              </w:rPr>
            </w:pPr>
          </w:p>
          <w:p w:rsidR="00B56469" w:rsidRPr="00AD195B" w:rsidRDefault="00B56469" w:rsidP="00B56469">
            <w:pPr>
              <w:spacing w:before="120" w:after="120"/>
              <w:jc w:val="both"/>
              <w:rPr>
                <w:rFonts w:ascii="Times New Roman" w:hAnsi="Times New Roman"/>
                <w:b/>
              </w:rPr>
            </w:pPr>
            <w:r w:rsidRPr="00AD195B">
              <w:rPr>
                <w:rFonts w:ascii="Times New Roman" w:hAnsi="Times New Roman"/>
                <w:b/>
              </w:rPr>
              <w:t>Koszty obsługi F</w:t>
            </w:r>
            <w:r>
              <w:rPr>
                <w:rFonts w:ascii="Times New Roman" w:hAnsi="Times New Roman"/>
                <w:b/>
              </w:rPr>
              <w:t xml:space="preserve">unduszu </w:t>
            </w:r>
            <w:r w:rsidRPr="00AD195B">
              <w:rPr>
                <w:rFonts w:ascii="Times New Roman" w:hAnsi="Times New Roman"/>
                <w:b/>
              </w:rPr>
              <w:t>E</w:t>
            </w:r>
            <w:r>
              <w:rPr>
                <w:rFonts w:ascii="Times New Roman" w:hAnsi="Times New Roman"/>
                <w:b/>
              </w:rPr>
              <w:t xml:space="preserve">dukacji </w:t>
            </w:r>
            <w:r w:rsidRPr="00AD195B">
              <w:rPr>
                <w:rFonts w:ascii="Times New Roman" w:hAnsi="Times New Roman"/>
                <w:b/>
              </w:rPr>
              <w:t>F</w:t>
            </w:r>
            <w:r>
              <w:rPr>
                <w:rFonts w:ascii="Times New Roman" w:hAnsi="Times New Roman"/>
                <w:b/>
              </w:rPr>
              <w:t>inansowej</w:t>
            </w:r>
          </w:p>
          <w:p w:rsidR="00B56469" w:rsidRDefault="00B56469" w:rsidP="00B564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Koszty obsługi przez </w:t>
            </w:r>
            <w:r w:rsidRPr="001F4946">
              <w:rPr>
                <w:rFonts w:ascii="Times New Roman" w:hAnsi="Times New Roman"/>
              </w:rPr>
              <w:t>UOKiK</w:t>
            </w:r>
            <w:r>
              <w:rPr>
                <w:rFonts w:ascii="Times New Roman" w:hAnsi="Times New Roman"/>
              </w:rPr>
              <w:t xml:space="preserve"> Funduszu Edukacji Finansowej stanowią wartość pomijalną </w:t>
            </w:r>
            <w:r>
              <w:rPr>
                <w:rFonts w:ascii="Times New Roman" w:hAnsi="Times New Roman"/>
              </w:rPr>
              <w:br/>
              <w:t>w skali OSR.</w:t>
            </w:r>
          </w:p>
          <w:p w:rsidR="00B56469" w:rsidRDefault="00B56469" w:rsidP="00B56469">
            <w:pPr>
              <w:jc w:val="both"/>
              <w:rPr>
                <w:rFonts w:ascii="Times New Roman" w:hAnsi="Times New Roman"/>
                <w:b/>
              </w:rPr>
            </w:pPr>
            <w:r w:rsidRPr="000A4227">
              <w:rPr>
                <w:rFonts w:ascii="Times New Roman" w:hAnsi="Times New Roman"/>
                <w:b/>
              </w:rPr>
              <w:t xml:space="preserve">Kierowanie </w:t>
            </w:r>
            <w:r w:rsidRPr="00DA32FA">
              <w:rPr>
                <w:rFonts w:ascii="Times New Roman" w:hAnsi="Times New Roman"/>
                <w:b/>
              </w:rPr>
              <w:t>do S</w:t>
            </w:r>
            <w:r>
              <w:rPr>
                <w:rFonts w:ascii="Times New Roman" w:hAnsi="Times New Roman"/>
                <w:b/>
              </w:rPr>
              <w:t xml:space="preserve">ądu </w:t>
            </w:r>
            <w:r w:rsidRPr="00DA32FA">
              <w:rPr>
                <w:rFonts w:ascii="Times New Roman" w:hAnsi="Times New Roman"/>
                <w:b/>
              </w:rPr>
              <w:t>N</w:t>
            </w:r>
            <w:r>
              <w:rPr>
                <w:rFonts w:ascii="Times New Roman" w:hAnsi="Times New Roman"/>
                <w:b/>
              </w:rPr>
              <w:t>ajwyższego</w:t>
            </w:r>
            <w:r w:rsidRPr="008B6F1D">
              <w:rPr>
                <w:rFonts w:ascii="Times New Roman" w:hAnsi="Times New Roman"/>
                <w:b/>
              </w:rPr>
              <w:t xml:space="preserve"> wniosków o rozstrzygnięcie zagadnienia prawnego</w:t>
            </w:r>
            <w:r w:rsidRPr="000A4227">
              <w:rPr>
                <w:rFonts w:ascii="Times New Roman" w:hAnsi="Times New Roman"/>
                <w:b/>
              </w:rPr>
              <w:t xml:space="preserve"> przez Prezesa U</w:t>
            </w:r>
            <w:r>
              <w:rPr>
                <w:rFonts w:ascii="Times New Roman" w:hAnsi="Times New Roman"/>
                <w:b/>
              </w:rPr>
              <w:t>rzędu</w:t>
            </w:r>
          </w:p>
          <w:p w:rsidR="00B56469" w:rsidRDefault="00B56469" w:rsidP="00B56469">
            <w:pPr>
              <w:jc w:val="both"/>
              <w:rPr>
                <w:rFonts w:ascii="Times New Roman" w:hAnsi="Times New Roman"/>
                <w:b/>
              </w:rPr>
            </w:pPr>
          </w:p>
          <w:p w:rsidR="008971D4" w:rsidRDefault="00B56469" w:rsidP="00817DAC">
            <w:pPr>
              <w:jc w:val="both"/>
              <w:rPr>
                <w:rFonts w:ascii="Times New Roman" w:hAnsi="Times New Roman"/>
              </w:rPr>
            </w:pPr>
            <w:r w:rsidRPr="000A4227">
              <w:rPr>
                <w:rFonts w:ascii="Times New Roman" w:hAnsi="Times New Roman"/>
              </w:rPr>
              <w:t xml:space="preserve">Projekt </w:t>
            </w:r>
            <w:r w:rsidRPr="000A4227">
              <w:rPr>
                <w:rFonts w:ascii="Times New Roman" w:eastAsia="Times New Roman" w:hAnsi="Times New Roman"/>
              </w:rPr>
              <w:t>przewiduje także zmianę ustawy o Sądzie Najwyższym, polegającą na wprowadzeniu możliwości wystąpienia Prezesa U</w:t>
            </w:r>
            <w:r>
              <w:rPr>
                <w:rFonts w:ascii="Times New Roman" w:eastAsia="Times New Roman" w:hAnsi="Times New Roman"/>
              </w:rPr>
              <w:t>rzędu</w:t>
            </w:r>
            <w:r w:rsidRPr="000A4227">
              <w:rPr>
                <w:rFonts w:ascii="Times New Roman" w:eastAsia="Times New Roman" w:hAnsi="Times New Roman"/>
              </w:rPr>
              <w:t xml:space="preserve"> z wnioskiem o rozstrzygnięcie zagadnienia prawnego do Sądu Najwyższego.</w:t>
            </w:r>
            <w:r w:rsidRPr="008B6F1D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Jak wskazują dotychczasowe doświadczenia, uprawnienie to będzie jednak wykorzystywane w wyjątkowych sytuacjach, a zatem liczba tego typu wniosków nie powinna przekroczyć kliku w ciągu roku, toteż wejście w życie proponowanych rozwiązań nie spowoduje znaczącego wpływu na funkcjonowanie i obciążenie pracą  SN, a ich koszt stanowi wartość pomijalną w skali OSR.</w:t>
            </w:r>
          </w:p>
          <w:p w:rsidR="006D44B2" w:rsidRPr="008B6F1D" w:rsidRDefault="00E63241" w:rsidP="000A4227">
            <w:pPr>
              <w:jc w:val="both"/>
              <w:rPr>
                <w:rFonts w:ascii="Times New Roman" w:hAnsi="Times New Roman"/>
              </w:rPr>
            </w:pPr>
            <w:r>
              <w:rPr>
                <w:noProof/>
                <w:lang w:eastAsia="pl-PL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064EF6B4" wp14:editId="2F4E08B1">
                  <wp:simplePos x="0" y="0"/>
                  <wp:positionH relativeFrom="column">
                    <wp:align>left</wp:align>
                  </wp:positionH>
                  <wp:positionV relativeFrom="paragraph">
                    <wp:posOffset>89747725</wp:posOffset>
                  </wp:positionV>
                  <wp:extent cx="4572000" cy="2743200"/>
                  <wp:effectExtent l="0" t="0" r="0" b="0"/>
                  <wp:wrapSquare wrapText="bothSides"/>
                  <wp:docPr id="1" name="Wykres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anchor>
              </w:drawing>
            </w:r>
          </w:p>
        </w:tc>
      </w:tr>
      <w:tr w:rsidR="00897A9F" w:rsidRPr="00424472" w:rsidTr="00461AD7">
        <w:trPr>
          <w:trHeight w:val="345"/>
          <w:jc w:val="center"/>
        </w:trPr>
        <w:tc>
          <w:tcPr>
            <w:tcW w:w="10774" w:type="dxa"/>
            <w:gridSpan w:val="29"/>
            <w:shd w:val="clear" w:color="auto" w:fill="99CCFF"/>
          </w:tcPr>
          <w:p w:rsidR="00897A9F" w:rsidRPr="00424472" w:rsidRDefault="00897A9F" w:rsidP="00925F81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424472">
              <w:rPr>
                <w:rFonts w:ascii="Times New Roman" w:hAnsi="Times New Roman"/>
                <w:b/>
                <w:color w:val="000000"/>
                <w:spacing w:val="-2"/>
              </w:rPr>
              <w:lastRenderedPageBreak/>
              <w:t xml:space="preserve">Wpływ na </w:t>
            </w:r>
            <w:r w:rsidRPr="00424472">
              <w:rPr>
                <w:rFonts w:ascii="Times New Roman" w:hAnsi="Times New Roman"/>
                <w:b/>
                <w:color w:val="000000"/>
              </w:rPr>
              <w:t xml:space="preserve">konkurencyjność gospodarki i przedsiębiorczość, w tym funkcjonowanie przedsiębiorców oraz na rodzinę, obywateli i gospodarstwa domowe </w:t>
            </w:r>
          </w:p>
        </w:tc>
      </w:tr>
      <w:tr w:rsidR="00897A9F" w:rsidRPr="00424472" w:rsidTr="00461AD7">
        <w:trPr>
          <w:trHeight w:val="142"/>
          <w:jc w:val="center"/>
        </w:trPr>
        <w:tc>
          <w:tcPr>
            <w:tcW w:w="10774" w:type="dxa"/>
            <w:gridSpan w:val="29"/>
            <w:shd w:val="clear" w:color="auto" w:fill="FFFFFF"/>
          </w:tcPr>
          <w:p w:rsidR="00897A9F" w:rsidRPr="00424472" w:rsidRDefault="00897A9F" w:rsidP="00424472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424472">
              <w:rPr>
                <w:rFonts w:ascii="Times New Roman" w:hAnsi="Times New Roman"/>
                <w:color w:val="000000"/>
                <w:spacing w:val="-2"/>
              </w:rPr>
              <w:t>Skutki</w:t>
            </w:r>
          </w:p>
        </w:tc>
      </w:tr>
      <w:tr w:rsidR="00897A9F" w:rsidRPr="00424472" w:rsidTr="00461AD7">
        <w:trPr>
          <w:trHeight w:val="142"/>
          <w:jc w:val="center"/>
        </w:trPr>
        <w:tc>
          <w:tcPr>
            <w:tcW w:w="3879" w:type="dxa"/>
            <w:gridSpan w:val="7"/>
            <w:shd w:val="clear" w:color="auto" w:fill="FFFFFF"/>
            <w:vAlign w:val="center"/>
          </w:tcPr>
          <w:p w:rsidR="00897A9F" w:rsidRPr="00424472" w:rsidRDefault="00897A9F" w:rsidP="00424472">
            <w:pPr>
              <w:rPr>
                <w:rFonts w:ascii="Times New Roman" w:hAnsi="Times New Roman"/>
                <w:color w:val="000000"/>
              </w:rPr>
            </w:pPr>
            <w:r w:rsidRPr="00424472">
              <w:rPr>
                <w:rFonts w:ascii="Times New Roman" w:hAnsi="Times New Roman"/>
                <w:color w:val="000000"/>
              </w:rPr>
              <w:t>Czas w latach od wejścia w życie zmian</w:t>
            </w:r>
          </w:p>
        </w:tc>
        <w:tc>
          <w:tcPr>
            <w:tcW w:w="937" w:type="dxa"/>
            <w:gridSpan w:val="3"/>
            <w:shd w:val="clear" w:color="auto" w:fill="FFFFFF"/>
            <w:vAlign w:val="center"/>
          </w:tcPr>
          <w:p w:rsidR="00897A9F" w:rsidRPr="00424472" w:rsidRDefault="00897A9F" w:rsidP="004244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447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8" w:type="dxa"/>
            <w:gridSpan w:val="5"/>
            <w:shd w:val="clear" w:color="auto" w:fill="FFFFFF"/>
            <w:vAlign w:val="center"/>
          </w:tcPr>
          <w:p w:rsidR="00897A9F" w:rsidRPr="00424472" w:rsidRDefault="00897A9F" w:rsidP="004244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447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6" w:type="dxa"/>
            <w:gridSpan w:val="3"/>
            <w:shd w:val="clear" w:color="auto" w:fill="FFFFFF"/>
            <w:vAlign w:val="center"/>
          </w:tcPr>
          <w:p w:rsidR="00897A9F" w:rsidRPr="00424472" w:rsidRDefault="00897A9F" w:rsidP="004244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447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61" w:type="dxa"/>
            <w:gridSpan w:val="4"/>
            <w:shd w:val="clear" w:color="auto" w:fill="FFFFFF"/>
            <w:vAlign w:val="center"/>
          </w:tcPr>
          <w:p w:rsidR="00897A9F" w:rsidRPr="00424472" w:rsidRDefault="00431EA4" w:rsidP="004244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447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1" w:type="dxa"/>
            <w:gridSpan w:val="3"/>
            <w:shd w:val="clear" w:color="auto" w:fill="FFFFFF"/>
            <w:vAlign w:val="center"/>
          </w:tcPr>
          <w:p w:rsidR="00897A9F" w:rsidRPr="00424472" w:rsidRDefault="00897A9F" w:rsidP="004244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447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32" w:type="dxa"/>
            <w:gridSpan w:val="3"/>
            <w:shd w:val="clear" w:color="auto" w:fill="FFFFFF"/>
            <w:vAlign w:val="center"/>
          </w:tcPr>
          <w:p w:rsidR="00897A9F" w:rsidRPr="00424472" w:rsidRDefault="00897A9F" w:rsidP="004244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447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240" w:type="dxa"/>
            <w:shd w:val="clear" w:color="auto" w:fill="FFFFFF"/>
            <w:vAlign w:val="center"/>
          </w:tcPr>
          <w:p w:rsidR="00897A9F" w:rsidRPr="00424472" w:rsidRDefault="00897A9F" w:rsidP="00424472">
            <w:pPr>
              <w:jc w:val="center"/>
              <w:rPr>
                <w:rFonts w:ascii="Times New Roman" w:hAnsi="Times New Roman"/>
                <w:i/>
                <w:color w:val="000000"/>
                <w:spacing w:val="-2"/>
              </w:rPr>
            </w:pPr>
            <w:r w:rsidRPr="00424472">
              <w:rPr>
                <w:rFonts w:ascii="Times New Roman" w:hAnsi="Times New Roman"/>
                <w:i/>
                <w:color w:val="000000"/>
                <w:spacing w:val="-2"/>
              </w:rPr>
              <w:t>Łącznie</w:t>
            </w:r>
            <w:r w:rsidRPr="00424472" w:rsidDel="0073273A">
              <w:rPr>
                <w:rFonts w:ascii="Times New Roman" w:hAnsi="Times New Roman"/>
                <w:i/>
                <w:color w:val="000000"/>
                <w:spacing w:val="-2"/>
              </w:rPr>
              <w:t xml:space="preserve"> </w:t>
            </w:r>
            <w:r w:rsidR="001E5916" w:rsidRPr="00424472">
              <w:rPr>
                <w:rFonts w:ascii="Times New Roman" w:hAnsi="Times New Roman"/>
                <w:i/>
                <w:color w:val="000000"/>
                <w:spacing w:val="-2"/>
              </w:rPr>
              <w:br/>
            </w:r>
            <w:r w:rsidRPr="00424472">
              <w:rPr>
                <w:rFonts w:ascii="Times New Roman" w:hAnsi="Times New Roman"/>
                <w:i/>
                <w:color w:val="000000"/>
                <w:spacing w:val="-2"/>
              </w:rPr>
              <w:t>(0-10)</w:t>
            </w:r>
          </w:p>
        </w:tc>
      </w:tr>
      <w:tr w:rsidR="00DC5258" w:rsidRPr="00424472" w:rsidTr="00461AD7">
        <w:trPr>
          <w:trHeight w:val="142"/>
          <w:jc w:val="center"/>
        </w:trPr>
        <w:tc>
          <w:tcPr>
            <w:tcW w:w="1588" w:type="dxa"/>
            <w:vMerge w:val="restart"/>
            <w:shd w:val="clear" w:color="auto" w:fill="FFFFFF"/>
          </w:tcPr>
          <w:p w:rsidR="00DC5258" w:rsidRPr="00424472" w:rsidRDefault="00DC5258" w:rsidP="00424472">
            <w:pPr>
              <w:spacing w:before="120" w:after="120"/>
              <w:rPr>
                <w:rFonts w:ascii="Times New Roman" w:hAnsi="Times New Roman"/>
                <w:color w:val="000000"/>
              </w:rPr>
            </w:pPr>
            <w:r w:rsidRPr="00424472">
              <w:rPr>
                <w:rFonts w:ascii="Times New Roman" w:hAnsi="Times New Roman"/>
                <w:color w:val="000000"/>
              </w:rPr>
              <w:t>W ujęciu pieniężnym</w:t>
            </w:r>
          </w:p>
          <w:p w:rsidR="00DC5258" w:rsidRPr="00424472" w:rsidRDefault="00DC5258" w:rsidP="00424472">
            <w:pPr>
              <w:rPr>
                <w:rFonts w:ascii="Times New Roman" w:hAnsi="Times New Roman"/>
                <w:spacing w:val="-2"/>
              </w:rPr>
            </w:pPr>
            <w:r w:rsidRPr="00424472">
              <w:rPr>
                <w:rFonts w:ascii="Times New Roman" w:hAnsi="Times New Roman"/>
                <w:spacing w:val="-2"/>
              </w:rPr>
              <w:t xml:space="preserve">(w mln zł, </w:t>
            </w:r>
          </w:p>
          <w:p w:rsidR="00DC5258" w:rsidRPr="00424472" w:rsidRDefault="00DC5258" w:rsidP="00424472">
            <w:pPr>
              <w:rPr>
                <w:rFonts w:ascii="Times New Roman" w:hAnsi="Times New Roman"/>
                <w:color w:val="000000"/>
              </w:rPr>
            </w:pPr>
            <w:r w:rsidRPr="00424472">
              <w:rPr>
                <w:rFonts w:ascii="Times New Roman" w:hAnsi="Times New Roman"/>
                <w:spacing w:val="-2"/>
              </w:rPr>
              <w:t xml:space="preserve">ceny stałe </w:t>
            </w:r>
            <w:r w:rsidR="000E04A1">
              <w:rPr>
                <w:rFonts w:ascii="Times New Roman" w:hAnsi="Times New Roman"/>
                <w:spacing w:val="-2"/>
              </w:rPr>
              <w:br/>
            </w:r>
            <w:r w:rsidRPr="00424472">
              <w:rPr>
                <w:rFonts w:ascii="Times New Roman" w:hAnsi="Times New Roman"/>
                <w:spacing w:val="-2"/>
              </w:rPr>
              <w:t>z 2020 r.)</w:t>
            </w:r>
          </w:p>
        </w:tc>
        <w:tc>
          <w:tcPr>
            <w:tcW w:w="2291" w:type="dxa"/>
            <w:gridSpan w:val="6"/>
            <w:shd w:val="clear" w:color="auto" w:fill="FFFFFF"/>
          </w:tcPr>
          <w:p w:rsidR="00DC5258" w:rsidRPr="00424472" w:rsidRDefault="00DC5258" w:rsidP="00424472">
            <w:pPr>
              <w:spacing w:before="120" w:after="120"/>
              <w:rPr>
                <w:rFonts w:ascii="Times New Roman" w:hAnsi="Times New Roman"/>
                <w:color w:val="000000"/>
              </w:rPr>
            </w:pPr>
            <w:r w:rsidRPr="00424472">
              <w:rPr>
                <w:rFonts w:ascii="Times New Roman" w:hAnsi="Times New Roman"/>
                <w:color w:val="000000"/>
              </w:rPr>
              <w:t>duże przedsiębiorstwa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5258" w:rsidRPr="00424472" w:rsidRDefault="00DC5258" w:rsidP="00424472">
            <w:pPr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42447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5258" w:rsidRPr="00424472" w:rsidRDefault="00DC5258" w:rsidP="00424472">
            <w:pPr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42447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5258" w:rsidRPr="00424472" w:rsidRDefault="00DC5258" w:rsidP="00424472">
            <w:pPr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42447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5258" w:rsidRPr="00424472" w:rsidRDefault="00DC5258" w:rsidP="00424472">
            <w:pPr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42447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5258" w:rsidRPr="00424472" w:rsidRDefault="00DC5258" w:rsidP="00424472">
            <w:pPr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42447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5258" w:rsidRPr="00424472" w:rsidRDefault="00DC5258" w:rsidP="00424472">
            <w:pPr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42447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5258" w:rsidRPr="00424472" w:rsidRDefault="00DC5258" w:rsidP="00424472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424472"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</w:tr>
      <w:tr w:rsidR="00DC5258" w:rsidRPr="00424472" w:rsidTr="00461AD7">
        <w:trPr>
          <w:trHeight w:val="142"/>
          <w:jc w:val="center"/>
        </w:trPr>
        <w:tc>
          <w:tcPr>
            <w:tcW w:w="1588" w:type="dxa"/>
            <w:vMerge/>
            <w:shd w:val="clear" w:color="auto" w:fill="FFFFFF"/>
          </w:tcPr>
          <w:p w:rsidR="00DC5258" w:rsidRPr="00424472" w:rsidRDefault="00DC5258" w:rsidP="00424472">
            <w:pPr>
              <w:spacing w:before="120" w:after="1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1" w:type="dxa"/>
            <w:gridSpan w:val="6"/>
            <w:shd w:val="clear" w:color="auto" w:fill="FFFFFF"/>
          </w:tcPr>
          <w:p w:rsidR="00DC5258" w:rsidRPr="00424472" w:rsidRDefault="00DC5258" w:rsidP="00424472">
            <w:pPr>
              <w:spacing w:before="120" w:after="120"/>
              <w:rPr>
                <w:rFonts w:ascii="Times New Roman" w:hAnsi="Times New Roman"/>
                <w:color w:val="000000"/>
              </w:rPr>
            </w:pPr>
            <w:r w:rsidRPr="00424472">
              <w:rPr>
                <w:rFonts w:ascii="Times New Roman" w:hAnsi="Times New Roman"/>
                <w:color w:val="000000"/>
              </w:rPr>
              <w:t xml:space="preserve">sektor mikro-, małych </w:t>
            </w:r>
            <w:r w:rsidRPr="00424472">
              <w:rPr>
                <w:rFonts w:ascii="Times New Roman" w:hAnsi="Times New Roman"/>
                <w:color w:val="000000"/>
              </w:rPr>
              <w:br/>
              <w:t>i średnich przedsiębiorstw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5258" w:rsidRPr="00424472" w:rsidRDefault="00DC5258" w:rsidP="00424472">
            <w:pPr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42447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5258" w:rsidRPr="00424472" w:rsidRDefault="00DC5258" w:rsidP="00424472">
            <w:pPr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42447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5258" w:rsidRPr="00424472" w:rsidRDefault="00DC5258" w:rsidP="00424472">
            <w:pPr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42447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5258" w:rsidRPr="00424472" w:rsidRDefault="00DC5258" w:rsidP="00424472">
            <w:pPr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42447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5258" w:rsidRPr="00424472" w:rsidRDefault="00DC5258" w:rsidP="00424472">
            <w:pPr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42447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5258" w:rsidRPr="00424472" w:rsidRDefault="00DC5258" w:rsidP="00424472">
            <w:pPr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42447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5258" w:rsidRPr="00424472" w:rsidRDefault="00DC5258" w:rsidP="00424472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424472"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</w:tr>
      <w:tr w:rsidR="00156C16" w:rsidRPr="00424472" w:rsidTr="00461AD7">
        <w:trPr>
          <w:trHeight w:val="142"/>
          <w:jc w:val="center"/>
        </w:trPr>
        <w:tc>
          <w:tcPr>
            <w:tcW w:w="1588" w:type="dxa"/>
            <w:vMerge/>
            <w:shd w:val="clear" w:color="auto" w:fill="FFFFFF"/>
          </w:tcPr>
          <w:p w:rsidR="00156C16" w:rsidRPr="00424472" w:rsidRDefault="00156C16" w:rsidP="00156C16">
            <w:pPr>
              <w:spacing w:before="120" w:after="1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1" w:type="dxa"/>
            <w:gridSpan w:val="6"/>
            <w:shd w:val="clear" w:color="auto" w:fill="FFFFFF"/>
          </w:tcPr>
          <w:p w:rsidR="00156C16" w:rsidRPr="00424472" w:rsidRDefault="00156C16" w:rsidP="00156C16">
            <w:pPr>
              <w:spacing w:before="120" w:after="120"/>
              <w:rPr>
                <w:rFonts w:ascii="Times New Roman" w:hAnsi="Times New Roman"/>
                <w:color w:val="000000"/>
              </w:rPr>
            </w:pPr>
            <w:r w:rsidRPr="00424472">
              <w:rPr>
                <w:rFonts w:ascii="Times New Roman" w:hAnsi="Times New Roman"/>
              </w:rPr>
              <w:t>rodzina, obywatele oraz gospodarstwa domowe, w szczególności osoby niepełnosprawne i starsze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C16" w:rsidRPr="00156C16" w:rsidRDefault="00D30E41" w:rsidP="00156C16">
            <w:pPr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C16" w:rsidRPr="00156C16" w:rsidRDefault="00156C16" w:rsidP="00156C16">
            <w:pPr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156C16">
              <w:rPr>
                <w:rFonts w:ascii="Times New Roman" w:hAnsi="Times New Roman"/>
                <w:color w:val="000000"/>
              </w:rPr>
              <w:t>0,16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C16" w:rsidRPr="00156C16" w:rsidRDefault="00156C16" w:rsidP="00156C16">
            <w:pPr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156C16">
              <w:rPr>
                <w:rFonts w:ascii="Times New Roman" w:hAnsi="Times New Roman"/>
                <w:color w:val="000000"/>
              </w:rPr>
              <w:t>0,16</w:t>
            </w:r>
          </w:p>
        </w:tc>
        <w:tc>
          <w:tcPr>
            <w:tcW w:w="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C16" w:rsidRPr="00156C16" w:rsidRDefault="00156C16" w:rsidP="00156C16">
            <w:pPr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156C16">
              <w:rPr>
                <w:rFonts w:ascii="Times New Roman" w:hAnsi="Times New Roman"/>
                <w:color w:val="000000"/>
              </w:rPr>
              <w:t>0,16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C16" w:rsidRPr="00156C16" w:rsidRDefault="00156C16" w:rsidP="00156C16">
            <w:pPr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156C16">
              <w:rPr>
                <w:rFonts w:ascii="Times New Roman" w:hAnsi="Times New Roman"/>
                <w:color w:val="000000"/>
              </w:rPr>
              <w:t>0,16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C16" w:rsidRPr="00156C16" w:rsidRDefault="00156C16" w:rsidP="00156C16">
            <w:pPr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156C16">
              <w:rPr>
                <w:rFonts w:ascii="Times New Roman" w:hAnsi="Times New Roman"/>
                <w:color w:val="000000"/>
              </w:rPr>
              <w:t>0,16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C16" w:rsidRPr="00424472" w:rsidRDefault="00156C16" w:rsidP="00156C16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156C16">
              <w:rPr>
                <w:rFonts w:ascii="Times New Roman" w:hAnsi="Times New Roman"/>
                <w:color w:val="000000"/>
                <w:spacing w:val="-2"/>
              </w:rPr>
              <w:t>1,6</w:t>
            </w:r>
            <w:r w:rsidR="004E7047">
              <w:rPr>
                <w:rFonts w:ascii="Times New Roman" w:hAnsi="Times New Roman"/>
                <w:color w:val="000000"/>
                <w:spacing w:val="-2"/>
              </w:rPr>
              <w:t>4</w:t>
            </w:r>
          </w:p>
        </w:tc>
      </w:tr>
      <w:tr w:rsidR="00DC5258" w:rsidRPr="00424472" w:rsidTr="00461AD7">
        <w:trPr>
          <w:trHeight w:val="142"/>
          <w:jc w:val="center"/>
        </w:trPr>
        <w:tc>
          <w:tcPr>
            <w:tcW w:w="1588" w:type="dxa"/>
            <w:vMerge w:val="restart"/>
            <w:shd w:val="clear" w:color="auto" w:fill="FFFFFF"/>
          </w:tcPr>
          <w:p w:rsidR="00DC5258" w:rsidRPr="00424472" w:rsidRDefault="00DC5258" w:rsidP="00424472">
            <w:pPr>
              <w:spacing w:before="120" w:after="120"/>
              <w:rPr>
                <w:rFonts w:ascii="Times New Roman" w:hAnsi="Times New Roman"/>
                <w:color w:val="000000"/>
              </w:rPr>
            </w:pPr>
            <w:r w:rsidRPr="00424472">
              <w:rPr>
                <w:rFonts w:ascii="Times New Roman" w:hAnsi="Times New Roman"/>
                <w:color w:val="000000"/>
              </w:rPr>
              <w:t>W ujęciu niepieniężnym</w:t>
            </w:r>
          </w:p>
        </w:tc>
        <w:tc>
          <w:tcPr>
            <w:tcW w:w="2291" w:type="dxa"/>
            <w:gridSpan w:val="6"/>
            <w:shd w:val="clear" w:color="auto" w:fill="FFFFFF"/>
            <w:vAlign w:val="center"/>
          </w:tcPr>
          <w:p w:rsidR="00DC5258" w:rsidRPr="00424472" w:rsidRDefault="00DC5258" w:rsidP="00424472">
            <w:pPr>
              <w:spacing w:before="120" w:after="120"/>
              <w:rPr>
                <w:rFonts w:ascii="Times New Roman" w:hAnsi="Times New Roman"/>
                <w:color w:val="000000"/>
              </w:rPr>
            </w:pPr>
            <w:r w:rsidRPr="00424472">
              <w:rPr>
                <w:rFonts w:ascii="Times New Roman" w:hAnsi="Times New Roman"/>
                <w:color w:val="000000"/>
              </w:rPr>
              <w:t>duże przedsiębiorstwa</w:t>
            </w:r>
          </w:p>
        </w:tc>
        <w:tc>
          <w:tcPr>
            <w:tcW w:w="689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5258" w:rsidRPr="00424472" w:rsidRDefault="00DC5258" w:rsidP="00424472">
            <w:pPr>
              <w:spacing w:before="120" w:after="120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DC5258" w:rsidRPr="00424472" w:rsidTr="00461AD7">
        <w:trPr>
          <w:trHeight w:val="266"/>
          <w:jc w:val="center"/>
        </w:trPr>
        <w:tc>
          <w:tcPr>
            <w:tcW w:w="1588" w:type="dxa"/>
            <w:vMerge/>
            <w:shd w:val="clear" w:color="auto" w:fill="FFFFFF"/>
          </w:tcPr>
          <w:p w:rsidR="00DC5258" w:rsidRPr="00424472" w:rsidRDefault="00DC5258" w:rsidP="00424472">
            <w:pPr>
              <w:spacing w:before="120" w:after="1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1" w:type="dxa"/>
            <w:gridSpan w:val="6"/>
            <w:shd w:val="clear" w:color="auto" w:fill="FFFFFF"/>
            <w:vAlign w:val="center"/>
          </w:tcPr>
          <w:p w:rsidR="00DC5258" w:rsidRPr="00424472" w:rsidRDefault="00DC5258" w:rsidP="00424472">
            <w:pPr>
              <w:spacing w:before="120" w:after="120"/>
              <w:rPr>
                <w:rFonts w:ascii="Times New Roman" w:hAnsi="Times New Roman"/>
                <w:color w:val="000000"/>
              </w:rPr>
            </w:pPr>
            <w:r w:rsidRPr="00424472">
              <w:rPr>
                <w:rFonts w:ascii="Times New Roman" w:hAnsi="Times New Roman"/>
                <w:color w:val="000000"/>
              </w:rPr>
              <w:t xml:space="preserve">sektor mikro-, małych </w:t>
            </w:r>
            <w:r w:rsidRPr="00424472">
              <w:rPr>
                <w:rFonts w:ascii="Times New Roman" w:hAnsi="Times New Roman"/>
                <w:color w:val="000000"/>
              </w:rPr>
              <w:br/>
              <w:t>i średnich przedsiębiorstw</w:t>
            </w:r>
          </w:p>
        </w:tc>
        <w:tc>
          <w:tcPr>
            <w:tcW w:w="689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5258" w:rsidRPr="00424472" w:rsidRDefault="00DC5258" w:rsidP="00424472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DC5258" w:rsidRPr="00424472" w:rsidTr="00461AD7">
        <w:trPr>
          <w:trHeight w:val="596"/>
          <w:jc w:val="center"/>
        </w:trPr>
        <w:tc>
          <w:tcPr>
            <w:tcW w:w="1588" w:type="dxa"/>
            <w:vMerge/>
            <w:shd w:val="clear" w:color="auto" w:fill="FFFFFF"/>
          </w:tcPr>
          <w:p w:rsidR="00DC5258" w:rsidRPr="00424472" w:rsidRDefault="00DC5258" w:rsidP="00424472">
            <w:pPr>
              <w:spacing w:before="120" w:after="1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1" w:type="dxa"/>
            <w:gridSpan w:val="6"/>
            <w:shd w:val="clear" w:color="auto" w:fill="FFFFFF"/>
            <w:vAlign w:val="center"/>
          </w:tcPr>
          <w:p w:rsidR="00DC5258" w:rsidRPr="00424472" w:rsidRDefault="00DC5258" w:rsidP="00424472">
            <w:pPr>
              <w:tabs>
                <w:tab w:val="right" w:pos="1936"/>
              </w:tabs>
              <w:spacing w:before="120" w:after="120"/>
              <w:rPr>
                <w:rFonts w:ascii="Times New Roman" w:hAnsi="Times New Roman"/>
                <w:color w:val="000000"/>
              </w:rPr>
            </w:pPr>
            <w:r w:rsidRPr="00424472">
              <w:rPr>
                <w:rFonts w:ascii="Times New Roman" w:hAnsi="Times New Roman"/>
              </w:rPr>
              <w:t>rodzina, obywatele oraz gospodarstwa domowe</w:t>
            </w:r>
            <w:r w:rsidRPr="00424472">
              <w:rPr>
                <w:rFonts w:ascii="Times New Roman" w:hAnsi="Times New Roman"/>
                <w:color w:val="000000"/>
              </w:rPr>
              <w:t xml:space="preserve">, </w:t>
            </w:r>
            <w:r w:rsidRPr="00424472">
              <w:rPr>
                <w:rFonts w:ascii="Times New Roman" w:hAnsi="Times New Roman"/>
                <w:color w:val="000000"/>
              </w:rPr>
              <w:br/>
              <w:t xml:space="preserve">w szczególności osoby niepełnosprawne </w:t>
            </w:r>
            <w:r w:rsidRPr="00424472">
              <w:rPr>
                <w:rFonts w:ascii="Times New Roman" w:hAnsi="Times New Roman"/>
                <w:color w:val="000000"/>
              </w:rPr>
              <w:br/>
              <w:t>i starsze</w:t>
            </w:r>
          </w:p>
        </w:tc>
        <w:tc>
          <w:tcPr>
            <w:tcW w:w="689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7FC4" w:rsidRDefault="007E7FC4" w:rsidP="007E7FC4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N</w:t>
            </w:r>
            <w:r w:rsidRPr="00817DAC">
              <w:rPr>
                <w:rFonts w:ascii="Times New Roman" w:hAnsi="Times New Roman"/>
              </w:rPr>
              <w:t xml:space="preserve">a podstawie art. 38 </w:t>
            </w:r>
            <w:r>
              <w:rPr>
                <w:rFonts w:ascii="Times New Roman" w:hAnsi="Times New Roman"/>
              </w:rPr>
              <w:t>aktualnie</w:t>
            </w:r>
            <w:r w:rsidRPr="00817DAC">
              <w:rPr>
                <w:rFonts w:ascii="Times New Roman" w:hAnsi="Times New Roman"/>
              </w:rPr>
              <w:t xml:space="preserve"> obowiązującej ustawy z dnia z dnia 5 sierpnia 2015 r. </w:t>
            </w:r>
            <w:r w:rsidRPr="008403F3">
              <w:rPr>
                <w:rFonts w:ascii="Times New Roman" w:hAnsi="Times New Roman"/>
                <w:i/>
              </w:rPr>
              <w:t xml:space="preserve">o rozpatrywaniu reklamacji przez podmioty rynku finansowego </w:t>
            </w:r>
            <w:r w:rsidR="00427B0F">
              <w:rPr>
                <w:rFonts w:ascii="Times New Roman" w:hAnsi="Times New Roman"/>
                <w:i/>
              </w:rPr>
              <w:br/>
            </w:r>
            <w:r w:rsidRPr="008403F3">
              <w:rPr>
                <w:rFonts w:ascii="Times New Roman" w:hAnsi="Times New Roman"/>
                <w:i/>
              </w:rPr>
              <w:t>i o Rzeczniku Finansowym</w:t>
            </w:r>
            <w:r>
              <w:rPr>
                <w:rFonts w:ascii="Times New Roman" w:hAnsi="Times New Roman"/>
              </w:rPr>
              <w:t xml:space="preserve">, za wniosek o wszczęcie </w:t>
            </w:r>
            <w:r w:rsidRPr="00161D06">
              <w:rPr>
                <w:rFonts w:ascii="Times New Roman" w:hAnsi="Times New Roman"/>
              </w:rPr>
              <w:t>pozasądowego</w:t>
            </w:r>
            <w:r>
              <w:rPr>
                <w:rFonts w:ascii="Times New Roman" w:hAnsi="Times New Roman"/>
              </w:rPr>
              <w:t xml:space="preserve"> postępowania w sprawie rozwiązania sporu</w:t>
            </w:r>
            <w:r w:rsidRPr="00161D06">
              <w:rPr>
                <w:rFonts w:ascii="Times New Roman" w:hAnsi="Times New Roman"/>
              </w:rPr>
              <w:t xml:space="preserve"> między klientem a podmiotem rynku finansowego</w:t>
            </w:r>
            <w:r>
              <w:rPr>
                <w:rFonts w:ascii="Times New Roman" w:hAnsi="Times New Roman"/>
              </w:rPr>
              <w:t xml:space="preserve">, klient podmiotu rynku finansowego zobowiązany jest uiścić opłatę w wysokości 50 zł, pod rygorem odmowy rozpatrzenia sporu przez Rzecznika (w </w:t>
            </w:r>
            <w:r w:rsidRPr="00155F57">
              <w:rPr>
                <w:rFonts w:ascii="Times New Roman" w:hAnsi="Times New Roman"/>
              </w:rPr>
              <w:t>szczególnie uzasadnionych przypadkach Rzecznik może zwolnić klienta z obowiązku uiszczania opłaty</w:t>
            </w:r>
            <w:r>
              <w:rPr>
                <w:rFonts w:ascii="Times New Roman" w:hAnsi="Times New Roman"/>
              </w:rPr>
              <w:t>).</w:t>
            </w:r>
          </w:p>
          <w:p w:rsidR="00DC5258" w:rsidRPr="007E7FC4" w:rsidRDefault="007E7FC4" w:rsidP="007E7FC4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Przedmiotowy projekt zakłada zwolnienie klientów podmiotów rynku finansowego od ponoszenia ww. opłaty.</w:t>
            </w:r>
          </w:p>
        </w:tc>
      </w:tr>
      <w:tr w:rsidR="00DC5258" w:rsidRPr="00424472" w:rsidTr="00461AD7">
        <w:trPr>
          <w:trHeight w:val="330"/>
          <w:jc w:val="center"/>
        </w:trPr>
        <w:tc>
          <w:tcPr>
            <w:tcW w:w="1588" w:type="dxa"/>
            <w:shd w:val="clear" w:color="auto" w:fill="FFFFFF"/>
          </w:tcPr>
          <w:p w:rsidR="00DC5258" w:rsidRPr="00424472" w:rsidRDefault="00DC5258" w:rsidP="00424472">
            <w:pPr>
              <w:spacing w:before="120" w:after="120"/>
              <w:rPr>
                <w:rFonts w:ascii="Times New Roman" w:hAnsi="Times New Roman"/>
                <w:color w:val="000000"/>
              </w:rPr>
            </w:pPr>
            <w:r w:rsidRPr="00424472">
              <w:rPr>
                <w:rFonts w:ascii="Times New Roman" w:hAnsi="Times New Roman"/>
                <w:color w:val="000000"/>
              </w:rPr>
              <w:t>Niemierzalne</w:t>
            </w:r>
          </w:p>
        </w:tc>
        <w:tc>
          <w:tcPr>
            <w:tcW w:w="2291" w:type="dxa"/>
            <w:gridSpan w:val="6"/>
            <w:shd w:val="clear" w:color="auto" w:fill="FFFFFF"/>
            <w:vAlign w:val="center"/>
          </w:tcPr>
          <w:p w:rsidR="00DC5258" w:rsidRPr="00424472" w:rsidRDefault="00DC5258" w:rsidP="00424472">
            <w:pPr>
              <w:spacing w:before="120" w:after="120"/>
              <w:rPr>
                <w:rFonts w:ascii="Times New Roman" w:hAnsi="Times New Roman"/>
                <w:color w:val="000000"/>
              </w:rPr>
            </w:pPr>
            <w:r w:rsidRPr="0042447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895" w:type="dxa"/>
            <w:gridSpan w:val="22"/>
            <w:shd w:val="clear" w:color="auto" w:fill="FFFFFF"/>
            <w:vAlign w:val="center"/>
          </w:tcPr>
          <w:p w:rsidR="00DC5258" w:rsidRPr="00424472" w:rsidRDefault="00DC5258" w:rsidP="00424472">
            <w:pPr>
              <w:spacing w:before="120" w:after="120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DC5258" w:rsidRPr="00424472" w:rsidTr="00461AD7">
        <w:trPr>
          <w:trHeight w:val="1463"/>
          <w:jc w:val="center"/>
        </w:trPr>
        <w:tc>
          <w:tcPr>
            <w:tcW w:w="2233" w:type="dxa"/>
            <w:gridSpan w:val="2"/>
            <w:shd w:val="clear" w:color="auto" w:fill="FFFFFF"/>
          </w:tcPr>
          <w:p w:rsidR="00DC5258" w:rsidRPr="00424472" w:rsidRDefault="00DC5258" w:rsidP="00424472">
            <w:pPr>
              <w:spacing w:before="120" w:after="120"/>
              <w:rPr>
                <w:rFonts w:ascii="Times New Roman" w:hAnsi="Times New Roman"/>
                <w:color w:val="000000"/>
              </w:rPr>
            </w:pPr>
            <w:r w:rsidRPr="00424472">
              <w:rPr>
                <w:rFonts w:ascii="Times New Roman" w:hAnsi="Times New Roman"/>
                <w:color w:val="000000"/>
              </w:rPr>
              <w:t xml:space="preserve">Dodatkowe informacje, w tym wskazanie źródeł danych i przyjętych do obliczeń założeń </w:t>
            </w:r>
          </w:p>
        </w:tc>
        <w:tc>
          <w:tcPr>
            <w:tcW w:w="8541" w:type="dxa"/>
            <w:gridSpan w:val="27"/>
            <w:shd w:val="clear" w:color="auto" w:fill="FFFFFF"/>
            <w:vAlign w:val="center"/>
          </w:tcPr>
          <w:p w:rsidR="00DC5258" w:rsidRPr="00424472" w:rsidRDefault="00DC5258" w:rsidP="00424472">
            <w:pPr>
              <w:spacing w:before="120" w:after="12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DC5258" w:rsidRPr="00424472" w:rsidTr="00461AD7">
        <w:trPr>
          <w:trHeight w:val="342"/>
          <w:jc w:val="center"/>
        </w:trPr>
        <w:tc>
          <w:tcPr>
            <w:tcW w:w="10774" w:type="dxa"/>
            <w:gridSpan w:val="29"/>
            <w:shd w:val="clear" w:color="auto" w:fill="99CCFF"/>
            <w:vAlign w:val="center"/>
          </w:tcPr>
          <w:p w:rsidR="00DC5258" w:rsidRPr="00424472" w:rsidRDefault="00DC5258" w:rsidP="00AC5F65">
            <w:pPr>
              <w:numPr>
                <w:ilvl w:val="0"/>
                <w:numId w:val="1"/>
              </w:numPr>
              <w:spacing w:before="60" w:after="60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424472">
              <w:rPr>
                <w:rFonts w:ascii="Times New Roman" w:hAnsi="Times New Roman"/>
                <w:b/>
                <w:color w:val="000000"/>
              </w:rPr>
              <w:t xml:space="preserve"> Zmiana obciążeń regulacyjnych (w tym obowiązków informacyjnych) wynikających z projektu</w:t>
            </w:r>
          </w:p>
        </w:tc>
      </w:tr>
      <w:tr w:rsidR="00DC5258" w:rsidRPr="00424472" w:rsidTr="00461AD7">
        <w:trPr>
          <w:trHeight w:val="151"/>
          <w:jc w:val="center"/>
        </w:trPr>
        <w:tc>
          <w:tcPr>
            <w:tcW w:w="10774" w:type="dxa"/>
            <w:gridSpan w:val="29"/>
            <w:shd w:val="clear" w:color="auto" w:fill="FFFFFF"/>
          </w:tcPr>
          <w:p w:rsidR="00DC5258" w:rsidRPr="00424472" w:rsidRDefault="005F676D" w:rsidP="0042447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47B0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61B59">
              <w:rPr>
                <w:rFonts w:ascii="Times New Roman" w:hAnsi="Times New Roman"/>
                <w:color w:val="000000"/>
              </w:rPr>
            </w:r>
            <w:r w:rsidR="00061B59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="00DC5258" w:rsidRPr="00424472">
              <w:rPr>
                <w:rFonts w:ascii="Times New Roman" w:hAnsi="Times New Roman"/>
                <w:color w:val="000000"/>
              </w:rPr>
              <w:t xml:space="preserve"> </w:t>
            </w:r>
            <w:r w:rsidR="00DC5258" w:rsidRPr="00424472">
              <w:rPr>
                <w:rFonts w:ascii="Times New Roman" w:hAnsi="Times New Roman"/>
                <w:color w:val="000000"/>
                <w:spacing w:val="-2"/>
              </w:rPr>
              <w:t>nie dotyczy</w:t>
            </w:r>
          </w:p>
        </w:tc>
      </w:tr>
      <w:tr w:rsidR="00DC5258" w:rsidRPr="00424472" w:rsidTr="00461AD7">
        <w:trPr>
          <w:trHeight w:val="946"/>
          <w:jc w:val="center"/>
        </w:trPr>
        <w:tc>
          <w:tcPr>
            <w:tcW w:w="5101" w:type="dxa"/>
            <w:gridSpan w:val="12"/>
            <w:shd w:val="clear" w:color="auto" w:fill="FFFFFF"/>
            <w:vAlign w:val="center"/>
          </w:tcPr>
          <w:p w:rsidR="00DC5258" w:rsidRPr="00424472" w:rsidRDefault="00DC5258" w:rsidP="00424472">
            <w:pPr>
              <w:rPr>
                <w:rFonts w:ascii="Times New Roman" w:hAnsi="Times New Roman"/>
                <w:color w:val="000000"/>
                <w:spacing w:val="-2"/>
              </w:rPr>
            </w:pPr>
            <w:r w:rsidRPr="00424472">
              <w:rPr>
                <w:rFonts w:ascii="Times New Roman" w:hAnsi="Times New Roman"/>
                <w:color w:val="000000"/>
                <w:spacing w:val="-2"/>
              </w:rPr>
              <w:t xml:space="preserve">Wprowadzane są obciążenia poza bezwzględnie wymaganymi przez UE </w:t>
            </w:r>
            <w:r w:rsidRPr="00424472">
              <w:rPr>
                <w:rFonts w:ascii="Times New Roman" w:hAnsi="Times New Roman"/>
                <w:color w:val="000000"/>
              </w:rPr>
              <w:t>(szczegóły w odwróconej tabeli zgodności).</w:t>
            </w:r>
          </w:p>
        </w:tc>
        <w:tc>
          <w:tcPr>
            <w:tcW w:w="5673" w:type="dxa"/>
            <w:gridSpan w:val="17"/>
            <w:shd w:val="clear" w:color="auto" w:fill="FFFFFF"/>
            <w:vAlign w:val="center"/>
          </w:tcPr>
          <w:p w:rsidR="00DC5258" w:rsidRPr="00424472" w:rsidRDefault="005F676D" w:rsidP="00424472">
            <w:pPr>
              <w:rPr>
                <w:rFonts w:ascii="Times New Roman" w:hAnsi="Times New Roman"/>
                <w:color w:val="000000"/>
              </w:rPr>
            </w:pPr>
            <w:r w:rsidRPr="00424472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258" w:rsidRPr="00424472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61B59">
              <w:rPr>
                <w:rFonts w:ascii="Times New Roman" w:hAnsi="Times New Roman"/>
                <w:color w:val="000000"/>
              </w:rPr>
            </w:r>
            <w:r w:rsidR="00061B59">
              <w:rPr>
                <w:rFonts w:ascii="Times New Roman" w:hAnsi="Times New Roman"/>
                <w:color w:val="000000"/>
              </w:rPr>
              <w:fldChar w:fldCharType="separate"/>
            </w:r>
            <w:r w:rsidRPr="00424472">
              <w:rPr>
                <w:rFonts w:ascii="Times New Roman" w:hAnsi="Times New Roman"/>
                <w:color w:val="000000"/>
              </w:rPr>
              <w:fldChar w:fldCharType="end"/>
            </w:r>
            <w:r w:rsidR="00DC5258" w:rsidRPr="00424472">
              <w:rPr>
                <w:rFonts w:ascii="Times New Roman" w:hAnsi="Times New Roman"/>
                <w:color w:val="000000"/>
              </w:rPr>
              <w:t xml:space="preserve"> tak</w:t>
            </w:r>
          </w:p>
          <w:p w:rsidR="00DC5258" w:rsidRPr="00424472" w:rsidRDefault="005F676D" w:rsidP="00424472">
            <w:pPr>
              <w:rPr>
                <w:rFonts w:ascii="Times New Roman" w:hAnsi="Times New Roman"/>
                <w:color w:val="000000"/>
              </w:rPr>
            </w:pPr>
            <w:r w:rsidRPr="00424472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258" w:rsidRPr="00424472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61B59">
              <w:rPr>
                <w:rFonts w:ascii="Times New Roman" w:hAnsi="Times New Roman"/>
                <w:color w:val="000000"/>
              </w:rPr>
            </w:r>
            <w:r w:rsidR="00061B59">
              <w:rPr>
                <w:rFonts w:ascii="Times New Roman" w:hAnsi="Times New Roman"/>
                <w:color w:val="000000"/>
              </w:rPr>
              <w:fldChar w:fldCharType="separate"/>
            </w:r>
            <w:r w:rsidRPr="00424472">
              <w:rPr>
                <w:rFonts w:ascii="Times New Roman" w:hAnsi="Times New Roman"/>
                <w:color w:val="000000"/>
              </w:rPr>
              <w:fldChar w:fldCharType="end"/>
            </w:r>
            <w:r w:rsidR="00DC5258" w:rsidRPr="00424472">
              <w:rPr>
                <w:rFonts w:ascii="Times New Roman" w:hAnsi="Times New Roman"/>
                <w:color w:val="000000"/>
              </w:rPr>
              <w:t xml:space="preserve"> nie</w:t>
            </w:r>
          </w:p>
          <w:p w:rsidR="00DC5258" w:rsidRPr="00424472" w:rsidRDefault="005F676D" w:rsidP="00424472">
            <w:pPr>
              <w:rPr>
                <w:rFonts w:ascii="Times New Roman" w:hAnsi="Times New Roman"/>
                <w:color w:val="000000"/>
              </w:rPr>
            </w:pPr>
            <w:r w:rsidRPr="00424472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C5258" w:rsidRPr="00424472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61B59">
              <w:rPr>
                <w:rFonts w:ascii="Times New Roman" w:hAnsi="Times New Roman"/>
                <w:color w:val="000000"/>
              </w:rPr>
            </w:r>
            <w:r w:rsidR="00061B59">
              <w:rPr>
                <w:rFonts w:ascii="Times New Roman" w:hAnsi="Times New Roman"/>
                <w:color w:val="000000"/>
              </w:rPr>
              <w:fldChar w:fldCharType="separate"/>
            </w:r>
            <w:r w:rsidRPr="00424472">
              <w:rPr>
                <w:rFonts w:ascii="Times New Roman" w:hAnsi="Times New Roman"/>
                <w:color w:val="000000"/>
              </w:rPr>
              <w:fldChar w:fldCharType="end"/>
            </w:r>
            <w:r w:rsidR="00DC5258" w:rsidRPr="00424472">
              <w:rPr>
                <w:rFonts w:ascii="Times New Roman" w:hAnsi="Times New Roman"/>
                <w:color w:val="000000"/>
              </w:rPr>
              <w:t>nie dotyczy</w:t>
            </w:r>
          </w:p>
        </w:tc>
      </w:tr>
      <w:tr w:rsidR="00DC5258" w:rsidRPr="00424472" w:rsidTr="00461AD7">
        <w:trPr>
          <w:trHeight w:val="1245"/>
          <w:jc w:val="center"/>
        </w:trPr>
        <w:tc>
          <w:tcPr>
            <w:tcW w:w="5101" w:type="dxa"/>
            <w:gridSpan w:val="12"/>
            <w:shd w:val="clear" w:color="auto" w:fill="FFFFFF"/>
            <w:vAlign w:val="center"/>
          </w:tcPr>
          <w:p w:rsidR="00DC5258" w:rsidRPr="00424472" w:rsidRDefault="005F676D" w:rsidP="00424472">
            <w:pPr>
              <w:rPr>
                <w:rFonts w:ascii="Times New Roman" w:hAnsi="Times New Roman"/>
                <w:color w:val="000000"/>
                <w:spacing w:val="-2"/>
              </w:rPr>
            </w:pPr>
            <w:r w:rsidRPr="00424472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258" w:rsidRPr="00424472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61B59">
              <w:rPr>
                <w:rFonts w:ascii="Times New Roman" w:hAnsi="Times New Roman"/>
                <w:color w:val="000000"/>
              </w:rPr>
            </w:r>
            <w:r w:rsidR="00061B59">
              <w:rPr>
                <w:rFonts w:ascii="Times New Roman" w:hAnsi="Times New Roman"/>
                <w:color w:val="000000"/>
              </w:rPr>
              <w:fldChar w:fldCharType="separate"/>
            </w:r>
            <w:r w:rsidRPr="00424472">
              <w:rPr>
                <w:rFonts w:ascii="Times New Roman" w:hAnsi="Times New Roman"/>
                <w:color w:val="000000"/>
              </w:rPr>
              <w:fldChar w:fldCharType="end"/>
            </w:r>
            <w:r w:rsidR="00DC5258" w:rsidRPr="00424472">
              <w:rPr>
                <w:rFonts w:ascii="Times New Roman" w:hAnsi="Times New Roman"/>
                <w:color w:val="000000"/>
              </w:rPr>
              <w:t xml:space="preserve"> </w:t>
            </w:r>
            <w:r w:rsidR="00DC5258" w:rsidRPr="00424472">
              <w:rPr>
                <w:rFonts w:ascii="Times New Roman" w:hAnsi="Times New Roman"/>
                <w:color w:val="000000"/>
                <w:spacing w:val="-2"/>
              </w:rPr>
              <w:t xml:space="preserve">zmniejszenie liczby dokumentów </w:t>
            </w:r>
          </w:p>
          <w:p w:rsidR="00DC5258" w:rsidRPr="00424472" w:rsidRDefault="005F676D" w:rsidP="00424472">
            <w:pPr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37971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61B59">
              <w:rPr>
                <w:rFonts w:ascii="Times New Roman" w:hAnsi="Times New Roman"/>
                <w:color w:val="000000"/>
              </w:rPr>
            </w:r>
            <w:r w:rsidR="00061B59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="00DC5258" w:rsidRPr="00424472">
              <w:rPr>
                <w:rFonts w:ascii="Times New Roman" w:hAnsi="Times New Roman"/>
                <w:color w:val="000000"/>
              </w:rPr>
              <w:t xml:space="preserve"> </w:t>
            </w:r>
            <w:r w:rsidR="00DC5258" w:rsidRPr="00424472">
              <w:rPr>
                <w:rFonts w:ascii="Times New Roman" w:hAnsi="Times New Roman"/>
                <w:color w:val="000000"/>
                <w:spacing w:val="-2"/>
              </w:rPr>
              <w:t>zmniejszenie liczby procedur</w:t>
            </w:r>
          </w:p>
          <w:p w:rsidR="00DC5258" w:rsidRPr="00424472" w:rsidRDefault="005F676D" w:rsidP="00424472">
            <w:pPr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37971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61B59">
              <w:rPr>
                <w:rFonts w:ascii="Times New Roman" w:hAnsi="Times New Roman"/>
                <w:color w:val="000000"/>
              </w:rPr>
            </w:r>
            <w:r w:rsidR="00061B59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="00DC5258" w:rsidRPr="00424472">
              <w:rPr>
                <w:rFonts w:ascii="Times New Roman" w:hAnsi="Times New Roman"/>
                <w:color w:val="000000"/>
              </w:rPr>
              <w:t xml:space="preserve"> </w:t>
            </w:r>
            <w:r w:rsidR="00DC5258" w:rsidRPr="00424472">
              <w:rPr>
                <w:rFonts w:ascii="Times New Roman" w:hAnsi="Times New Roman"/>
                <w:color w:val="000000"/>
                <w:spacing w:val="-2"/>
              </w:rPr>
              <w:t>skrócenie czasu na załatwienie sprawy</w:t>
            </w:r>
          </w:p>
          <w:p w:rsidR="00DC5258" w:rsidRPr="00424472" w:rsidRDefault="005F676D" w:rsidP="00424472">
            <w:pPr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424472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258" w:rsidRPr="00424472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61B59">
              <w:rPr>
                <w:rFonts w:ascii="Times New Roman" w:hAnsi="Times New Roman"/>
                <w:color w:val="000000"/>
              </w:rPr>
            </w:r>
            <w:r w:rsidR="00061B59">
              <w:rPr>
                <w:rFonts w:ascii="Times New Roman" w:hAnsi="Times New Roman"/>
                <w:color w:val="000000"/>
              </w:rPr>
              <w:fldChar w:fldCharType="separate"/>
            </w:r>
            <w:r w:rsidRPr="00424472">
              <w:rPr>
                <w:rFonts w:ascii="Times New Roman" w:hAnsi="Times New Roman"/>
                <w:color w:val="000000"/>
              </w:rPr>
              <w:fldChar w:fldCharType="end"/>
            </w:r>
            <w:r w:rsidR="00DC5258" w:rsidRPr="00424472">
              <w:rPr>
                <w:rFonts w:ascii="Times New Roman" w:hAnsi="Times New Roman"/>
                <w:color w:val="000000"/>
              </w:rPr>
              <w:t xml:space="preserve"> </w:t>
            </w:r>
            <w:r w:rsidR="00DC5258" w:rsidRPr="00424472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="00DC5258" w:rsidRPr="00424472">
              <w:rPr>
                <w:rFonts w:ascii="Times New Roman" w:hAnsi="Times New Roman"/>
                <w:color w:val="000000"/>
              </w:rPr>
              <w:t xml:space="preserve"> </w:t>
            </w:r>
            <w:r w:rsidRPr="00424472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="00DC5258" w:rsidRPr="00424472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424472">
              <w:rPr>
                <w:rFonts w:ascii="Times New Roman" w:hAnsi="Times New Roman"/>
                <w:color w:val="000000"/>
              </w:rPr>
            </w:r>
            <w:r w:rsidRPr="00424472">
              <w:rPr>
                <w:rFonts w:ascii="Times New Roman" w:hAnsi="Times New Roman"/>
                <w:color w:val="000000"/>
              </w:rPr>
              <w:fldChar w:fldCharType="separate"/>
            </w:r>
            <w:r w:rsidR="00DC5258" w:rsidRPr="00424472">
              <w:rPr>
                <w:rFonts w:ascii="Times New Roman" w:hAnsi="Times New Roman"/>
                <w:noProof/>
                <w:color w:val="000000"/>
              </w:rPr>
              <w:t> </w:t>
            </w:r>
            <w:r w:rsidR="00DC5258" w:rsidRPr="00424472">
              <w:rPr>
                <w:rFonts w:ascii="Times New Roman" w:hAnsi="Times New Roman"/>
                <w:noProof/>
                <w:color w:val="000000"/>
              </w:rPr>
              <w:t> </w:t>
            </w:r>
            <w:r w:rsidR="00DC5258" w:rsidRPr="00424472">
              <w:rPr>
                <w:rFonts w:ascii="Times New Roman" w:hAnsi="Times New Roman"/>
                <w:noProof/>
                <w:color w:val="000000"/>
              </w:rPr>
              <w:t> </w:t>
            </w:r>
            <w:r w:rsidR="00DC5258" w:rsidRPr="00424472">
              <w:rPr>
                <w:rFonts w:ascii="Times New Roman" w:hAnsi="Times New Roman"/>
                <w:noProof/>
                <w:color w:val="000000"/>
              </w:rPr>
              <w:t> </w:t>
            </w:r>
            <w:r w:rsidR="00DC5258" w:rsidRPr="00424472">
              <w:rPr>
                <w:rFonts w:ascii="Times New Roman" w:hAnsi="Times New Roman"/>
                <w:noProof/>
                <w:color w:val="000000"/>
              </w:rPr>
              <w:t> </w:t>
            </w:r>
            <w:r w:rsidRPr="00424472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5673" w:type="dxa"/>
            <w:gridSpan w:val="17"/>
            <w:shd w:val="clear" w:color="auto" w:fill="FFFFFF"/>
            <w:vAlign w:val="center"/>
          </w:tcPr>
          <w:p w:rsidR="00DC5258" w:rsidRPr="00424472" w:rsidRDefault="005F676D" w:rsidP="00424472">
            <w:pPr>
              <w:rPr>
                <w:rFonts w:ascii="Times New Roman" w:hAnsi="Times New Roman"/>
                <w:color w:val="000000"/>
                <w:spacing w:val="-2"/>
              </w:rPr>
            </w:pPr>
            <w:r w:rsidRPr="00424472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258" w:rsidRPr="00424472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61B59">
              <w:rPr>
                <w:rFonts w:ascii="Times New Roman" w:hAnsi="Times New Roman"/>
                <w:color w:val="000000"/>
              </w:rPr>
            </w:r>
            <w:r w:rsidR="00061B59">
              <w:rPr>
                <w:rFonts w:ascii="Times New Roman" w:hAnsi="Times New Roman"/>
                <w:color w:val="000000"/>
              </w:rPr>
              <w:fldChar w:fldCharType="separate"/>
            </w:r>
            <w:r w:rsidRPr="00424472">
              <w:rPr>
                <w:rFonts w:ascii="Times New Roman" w:hAnsi="Times New Roman"/>
                <w:color w:val="000000"/>
              </w:rPr>
              <w:fldChar w:fldCharType="end"/>
            </w:r>
            <w:r w:rsidR="00DC5258" w:rsidRPr="00424472">
              <w:rPr>
                <w:rFonts w:ascii="Times New Roman" w:hAnsi="Times New Roman"/>
                <w:color w:val="000000"/>
              </w:rPr>
              <w:t xml:space="preserve"> </w:t>
            </w:r>
            <w:r w:rsidR="00DC5258" w:rsidRPr="00424472">
              <w:rPr>
                <w:rFonts w:ascii="Times New Roman" w:hAnsi="Times New Roman"/>
                <w:color w:val="000000"/>
                <w:spacing w:val="-2"/>
              </w:rPr>
              <w:t>zwiększenie liczby dokumentów</w:t>
            </w:r>
          </w:p>
          <w:p w:rsidR="00DC5258" w:rsidRPr="00424472" w:rsidRDefault="005F676D" w:rsidP="00424472">
            <w:pPr>
              <w:rPr>
                <w:rFonts w:ascii="Times New Roman" w:hAnsi="Times New Roman"/>
                <w:color w:val="000000"/>
                <w:spacing w:val="-2"/>
              </w:rPr>
            </w:pPr>
            <w:r w:rsidRPr="00424472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258" w:rsidRPr="00424472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61B59">
              <w:rPr>
                <w:rFonts w:ascii="Times New Roman" w:hAnsi="Times New Roman"/>
                <w:color w:val="000000"/>
              </w:rPr>
            </w:r>
            <w:r w:rsidR="00061B59">
              <w:rPr>
                <w:rFonts w:ascii="Times New Roman" w:hAnsi="Times New Roman"/>
                <w:color w:val="000000"/>
              </w:rPr>
              <w:fldChar w:fldCharType="separate"/>
            </w:r>
            <w:r w:rsidRPr="00424472">
              <w:rPr>
                <w:rFonts w:ascii="Times New Roman" w:hAnsi="Times New Roman"/>
                <w:color w:val="000000"/>
              </w:rPr>
              <w:fldChar w:fldCharType="end"/>
            </w:r>
            <w:r w:rsidR="00DC5258" w:rsidRPr="00424472">
              <w:rPr>
                <w:rFonts w:ascii="Times New Roman" w:hAnsi="Times New Roman"/>
                <w:color w:val="000000"/>
              </w:rPr>
              <w:t xml:space="preserve"> </w:t>
            </w:r>
            <w:r w:rsidR="00DC5258" w:rsidRPr="00424472">
              <w:rPr>
                <w:rFonts w:ascii="Times New Roman" w:hAnsi="Times New Roman"/>
                <w:color w:val="000000"/>
                <w:spacing w:val="-2"/>
              </w:rPr>
              <w:t>zwiększenie liczby procedur</w:t>
            </w:r>
          </w:p>
          <w:p w:rsidR="00DC5258" w:rsidRPr="00424472" w:rsidRDefault="005F676D" w:rsidP="00424472">
            <w:pPr>
              <w:rPr>
                <w:rFonts w:ascii="Times New Roman" w:hAnsi="Times New Roman"/>
                <w:color w:val="000000"/>
                <w:spacing w:val="-2"/>
              </w:rPr>
            </w:pPr>
            <w:r w:rsidRPr="00424472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258" w:rsidRPr="00424472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61B59">
              <w:rPr>
                <w:rFonts w:ascii="Times New Roman" w:hAnsi="Times New Roman"/>
                <w:color w:val="000000"/>
              </w:rPr>
            </w:r>
            <w:r w:rsidR="00061B59">
              <w:rPr>
                <w:rFonts w:ascii="Times New Roman" w:hAnsi="Times New Roman"/>
                <w:color w:val="000000"/>
              </w:rPr>
              <w:fldChar w:fldCharType="separate"/>
            </w:r>
            <w:r w:rsidRPr="00424472">
              <w:rPr>
                <w:rFonts w:ascii="Times New Roman" w:hAnsi="Times New Roman"/>
                <w:color w:val="000000"/>
              </w:rPr>
              <w:fldChar w:fldCharType="end"/>
            </w:r>
            <w:r w:rsidR="00DC5258" w:rsidRPr="00424472">
              <w:rPr>
                <w:rFonts w:ascii="Times New Roman" w:hAnsi="Times New Roman"/>
                <w:color w:val="000000"/>
              </w:rPr>
              <w:t xml:space="preserve"> </w:t>
            </w:r>
            <w:r w:rsidR="00DC5258" w:rsidRPr="00424472">
              <w:rPr>
                <w:rFonts w:ascii="Times New Roman" w:hAnsi="Times New Roman"/>
                <w:color w:val="000000"/>
                <w:spacing w:val="-2"/>
              </w:rPr>
              <w:t>wydłużenie czasu na załatwienie sprawy</w:t>
            </w:r>
          </w:p>
          <w:p w:rsidR="00DC5258" w:rsidRPr="00424472" w:rsidRDefault="005F676D" w:rsidP="00424472">
            <w:pPr>
              <w:rPr>
                <w:rFonts w:ascii="Times New Roman" w:hAnsi="Times New Roman"/>
                <w:color w:val="000000"/>
              </w:rPr>
            </w:pPr>
            <w:r w:rsidRPr="00424472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258" w:rsidRPr="00424472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61B59">
              <w:rPr>
                <w:rFonts w:ascii="Times New Roman" w:hAnsi="Times New Roman"/>
                <w:color w:val="000000"/>
              </w:rPr>
            </w:r>
            <w:r w:rsidR="00061B59">
              <w:rPr>
                <w:rFonts w:ascii="Times New Roman" w:hAnsi="Times New Roman"/>
                <w:color w:val="000000"/>
              </w:rPr>
              <w:fldChar w:fldCharType="separate"/>
            </w:r>
            <w:r w:rsidRPr="00424472">
              <w:rPr>
                <w:rFonts w:ascii="Times New Roman" w:hAnsi="Times New Roman"/>
                <w:color w:val="000000"/>
              </w:rPr>
              <w:fldChar w:fldCharType="end"/>
            </w:r>
            <w:r w:rsidR="00DC5258" w:rsidRPr="00424472">
              <w:rPr>
                <w:rFonts w:ascii="Times New Roman" w:hAnsi="Times New Roman"/>
                <w:color w:val="000000"/>
              </w:rPr>
              <w:t xml:space="preserve"> </w:t>
            </w:r>
            <w:r w:rsidR="00DC5258" w:rsidRPr="00424472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="00DC5258" w:rsidRPr="00424472">
              <w:rPr>
                <w:rFonts w:ascii="Times New Roman" w:hAnsi="Times New Roman"/>
                <w:color w:val="000000"/>
              </w:rPr>
              <w:t xml:space="preserve"> </w:t>
            </w:r>
            <w:r w:rsidRPr="00424472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="00DC5258" w:rsidRPr="00424472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424472">
              <w:rPr>
                <w:rFonts w:ascii="Times New Roman" w:hAnsi="Times New Roman"/>
                <w:color w:val="000000"/>
              </w:rPr>
            </w:r>
            <w:r w:rsidRPr="00424472">
              <w:rPr>
                <w:rFonts w:ascii="Times New Roman" w:hAnsi="Times New Roman"/>
                <w:color w:val="000000"/>
              </w:rPr>
              <w:fldChar w:fldCharType="separate"/>
            </w:r>
            <w:r w:rsidR="00DC5258" w:rsidRPr="00424472">
              <w:rPr>
                <w:rFonts w:ascii="Times New Roman" w:hAnsi="Times New Roman"/>
                <w:noProof/>
                <w:color w:val="000000"/>
              </w:rPr>
              <w:t> </w:t>
            </w:r>
            <w:r w:rsidR="00DC5258" w:rsidRPr="00424472">
              <w:rPr>
                <w:rFonts w:ascii="Times New Roman" w:hAnsi="Times New Roman"/>
                <w:noProof/>
                <w:color w:val="000000"/>
              </w:rPr>
              <w:t> </w:t>
            </w:r>
            <w:r w:rsidR="00DC5258" w:rsidRPr="00424472">
              <w:rPr>
                <w:rFonts w:ascii="Times New Roman" w:hAnsi="Times New Roman"/>
                <w:noProof/>
                <w:color w:val="000000"/>
              </w:rPr>
              <w:t> </w:t>
            </w:r>
            <w:r w:rsidR="00DC5258" w:rsidRPr="00424472">
              <w:rPr>
                <w:rFonts w:ascii="Times New Roman" w:hAnsi="Times New Roman"/>
                <w:noProof/>
                <w:color w:val="000000"/>
              </w:rPr>
              <w:t> </w:t>
            </w:r>
            <w:r w:rsidR="00DC5258" w:rsidRPr="00424472">
              <w:rPr>
                <w:rFonts w:ascii="Times New Roman" w:hAnsi="Times New Roman"/>
                <w:noProof/>
                <w:color w:val="000000"/>
              </w:rPr>
              <w:t> </w:t>
            </w:r>
            <w:r w:rsidRPr="00424472">
              <w:rPr>
                <w:rFonts w:ascii="Times New Roman" w:hAnsi="Times New Roman"/>
                <w:color w:val="000000"/>
              </w:rPr>
              <w:fldChar w:fldCharType="end"/>
            </w:r>
          </w:p>
        </w:tc>
      </w:tr>
      <w:tr w:rsidR="00DC5258" w:rsidRPr="00424472" w:rsidTr="00461AD7">
        <w:trPr>
          <w:trHeight w:val="870"/>
          <w:jc w:val="center"/>
        </w:trPr>
        <w:tc>
          <w:tcPr>
            <w:tcW w:w="5101" w:type="dxa"/>
            <w:gridSpan w:val="12"/>
            <w:shd w:val="clear" w:color="auto" w:fill="FFFFFF"/>
            <w:vAlign w:val="center"/>
          </w:tcPr>
          <w:p w:rsidR="00DC5258" w:rsidRPr="00424472" w:rsidRDefault="00DC5258" w:rsidP="00424472">
            <w:pPr>
              <w:jc w:val="both"/>
              <w:rPr>
                <w:rFonts w:ascii="Times New Roman" w:hAnsi="Times New Roman"/>
                <w:color w:val="000000"/>
              </w:rPr>
            </w:pPr>
            <w:r w:rsidRPr="00424472">
              <w:rPr>
                <w:rFonts w:ascii="Times New Roman" w:hAnsi="Times New Roman"/>
                <w:color w:val="000000"/>
                <w:spacing w:val="-2"/>
              </w:rPr>
              <w:lastRenderedPageBreak/>
              <w:t xml:space="preserve">Wprowadzane obciążenia są przystosowane do ich elektronizacji. </w:t>
            </w:r>
          </w:p>
        </w:tc>
        <w:tc>
          <w:tcPr>
            <w:tcW w:w="5673" w:type="dxa"/>
            <w:gridSpan w:val="17"/>
            <w:shd w:val="clear" w:color="auto" w:fill="FFFFFF"/>
            <w:vAlign w:val="center"/>
          </w:tcPr>
          <w:p w:rsidR="00DC5258" w:rsidRPr="00424472" w:rsidRDefault="005F676D" w:rsidP="00424472">
            <w:pPr>
              <w:rPr>
                <w:rFonts w:ascii="Times New Roman" w:hAnsi="Times New Roman"/>
                <w:color w:val="000000"/>
              </w:rPr>
            </w:pPr>
            <w:r w:rsidRPr="00424472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258" w:rsidRPr="00424472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61B59">
              <w:rPr>
                <w:rFonts w:ascii="Times New Roman" w:hAnsi="Times New Roman"/>
                <w:color w:val="000000"/>
              </w:rPr>
            </w:r>
            <w:r w:rsidR="00061B59">
              <w:rPr>
                <w:rFonts w:ascii="Times New Roman" w:hAnsi="Times New Roman"/>
                <w:color w:val="000000"/>
              </w:rPr>
              <w:fldChar w:fldCharType="separate"/>
            </w:r>
            <w:r w:rsidRPr="00424472">
              <w:rPr>
                <w:rFonts w:ascii="Times New Roman" w:hAnsi="Times New Roman"/>
                <w:color w:val="000000"/>
              </w:rPr>
              <w:fldChar w:fldCharType="end"/>
            </w:r>
            <w:r w:rsidR="00DC5258" w:rsidRPr="00424472">
              <w:rPr>
                <w:rFonts w:ascii="Times New Roman" w:hAnsi="Times New Roman"/>
                <w:color w:val="000000"/>
              </w:rPr>
              <w:t xml:space="preserve"> tak</w:t>
            </w:r>
          </w:p>
          <w:p w:rsidR="00DC5258" w:rsidRPr="00424472" w:rsidRDefault="005F676D" w:rsidP="00424472">
            <w:pPr>
              <w:rPr>
                <w:rFonts w:ascii="Times New Roman" w:hAnsi="Times New Roman"/>
                <w:color w:val="000000"/>
              </w:rPr>
            </w:pPr>
            <w:r w:rsidRPr="00424472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258" w:rsidRPr="00424472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61B59">
              <w:rPr>
                <w:rFonts w:ascii="Times New Roman" w:hAnsi="Times New Roman"/>
                <w:color w:val="000000"/>
              </w:rPr>
            </w:r>
            <w:r w:rsidR="00061B59">
              <w:rPr>
                <w:rFonts w:ascii="Times New Roman" w:hAnsi="Times New Roman"/>
                <w:color w:val="000000"/>
              </w:rPr>
              <w:fldChar w:fldCharType="separate"/>
            </w:r>
            <w:r w:rsidRPr="00424472">
              <w:rPr>
                <w:rFonts w:ascii="Times New Roman" w:hAnsi="Times New Roman"/>
                <w:color w:val="000000"/>
              </w:rPr>
              <w:fldChar w:fldCharType="end"/>
            </w:r>
            <w:r w:rsidR="00DC5258" w:rsidRPr="00424472">
              <w:rPr>
                <w:rFonts w:ascii="Times New Roman" w:hAnsi="Times New Roman"/>
                <w:color w:val="000000"/>
              </w:rPr>
              <w:t xml:space="preserve"> nie</w:t>
            </w:r>
          </w:p>
          <w:p w:rsidR="00DC5258" w:rsidRPr="00424472" w:rsidRDefault="005F676D" w:rsidP="00424472">
            <w:pPr>
              <w:rPr>
                <w:rFonts w:ascii="Times New Roman" w:hAnsi="Times New Roman"/>
                <w:color w:val="000000"/>
              </w:rPr>
            </w:pPr>
            <w:r w:rsidRPr="00424472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C5258" w:rsidRPr="00424472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61B59">
              <w:rPr>
                <w:rFonts w:ascii="Times New Roman" w:hAnsi="Times New Roman"/>
                <w:color w:val="000000"/>
              </w:rPr>
            </w:r>
            <w:r w:rsidR="00061B59">
              <w:rPr>
                <w:rFonts w:ascii="Times New Roman" w:hAnsi="Times New Roman"/>
                <w:color w:val="000000"/>
              </w:rPr>
              <w:fldChar w:fldCharType="separate"/>
            </w:r>
            <w:r w:rsidRPr="00424472">
              <w:rPr>
                <w:rFonts w:ascii="Times New Roman" w:hAnsi="Times New Roman"/>
                <w:color w:val="000000"/>
              </w:rPr>
              <w:fldChar w:fldCharType="end"/>
            </w:r>
            <w:r w:rsidR="00DC5258" w:rsidRPr="00424472">
              <w:rPr>
                <w:rFonts w:ascii="Times New Roman" w:hAnsi="Times New Roman"/>
                <w:color w:val="000000"/>
              </w:rPr>
              <w:t xml:space="preserve"> nie dotyczy</w:t>
            </w:r>
          </w:p>
        </w:tc>
      </w:tr>
      <w:tr w:rsidR="00DC5258" w:rsidRPr="00424472" w:rsidTr="00461AD7">
        <w:trPr>
          <w:trHeight w:val="274"/>
          <w:jc w:val="center"/>
        </w:trPr>
        <w:tc>
          <w:tcPr>
            <w:tcW w:w="10774" w:type="dxa"/>
            <w:gridSpan w:val="29"/>
            <w:shd w:val="clear" w:color="auto" w:fill="FFFFFF"/>
          </w:tcPr>
          <w:p w:rsidR="00DC5258" w:rsidRPr="00424472" w:rsidRDefault="00DC5258" w:rsidP="00C37971">
            <w:pPr>
              <w:spacing w:before="120"/>
              <w:jc w:val="both"/>
              <w:rPr>
                <w:rFonts w:ascii="Times New Roman" w:hAnsi="Times New Roman"/>
              </w:rPr>
            </w:pPr>
            <w:r w:rsidRPr="00424472">
              <w:rPr>
                <w:rFonts w:ascii="Times New Roman" w:hAnsi="Times New Roman"/>
                <w:color w:val="000000"/>
              </w:rPr>
              <w:t>Komentarz:</w:t>
            </w:r>
            <w:r w:rsidRPr="00424472">
              <w:rPr>
                <w:rFonts w:ascii="Times New Roman" w:hAnsi="Times New Roman"/>
              </w:rPr>
              <w:t xml:space="preserve"> </w:t>
            </w:r>
            <w:r w:rsidR="00653A7D" w:rsidRPr="00424472">
              <w:rPr>
                <w:rFonts w:ascii="Times New Roman" w:hAnsi="Times New Roman"/>
              </w:rPr>
              <w:t xml:space="preserve">Projektowane zmiany </w:t>
            </w:r>
            <w:r w:rsidR="00C37971">
              <w:rPr>
                <w:rFonts w:ascii="Times New Roman" w:hAnsi="Times New Roman"/>
              </w:rPr>
              <w:t xml:space="preserve">przyczynią się do zmniejszenia obciążeń regulacyjnych poprzez skoncentrowanie spraw z zakresu ochrony </w:t>
            </w:r>
            <w:r w:rsidR="0026234A">
              <w:rPr>
                <w:rFonts w:ascii="Times New Roman" w:hAnsi="Times New Roman"/>
              </w:rPr>
              <w:t xml:space="preserve">klientów podmiotów rynku finansowego w ramach jednego działu administracji </w:t>
            </w:r>
            <w:r w:rsidR="00EC2578">
              <w:rPr>
                <w:rFonts w:ascii="Times New Roman" w:hAnsi="Times New Roman"/>
              </w:rPr>
              <w:t xml:space="preserve">oraz podniesienie </w:t>
            </w:r>
            <w:r w:rsidR="0021659E">
              <w:rPr>
                <w:rFonts w:ascii="Times New Roman" w:hAnsi="Times New Roman"/>
              </w:rPr>
              <w:t xml:space="preserve">jej </w:t>
            </w:r>
            <w:r w:rsidR="00EC2578">
              <w:rPr>
                <w:rFonts w:ascii="Times New Roman" w:hAnsi="Times New Roman"/>
              </w:rPr>
              <w:t xml:space="preserve">poziomu </w:t>
            </w:r>
            <w:r w:rsidR="001E3059">
              <w:rPr>
                <w:rFonts w:ascii="Times New Roman" w:hAnsi="Times New Roman"/>
              </w:rPr>
              <w:t>i efektywności</w:t>
            </w:r>
            <w:r w:rsidR="0021659E">
              <w:rPr>
                <w:rFonts w:ascii="Times New Roman" w:hAnsi="Times New Roman"/>
              </w:rPr>
              <w:t xml:space="preserve"> podejmowanych w tej materii działań.</w:t>
            </w:r>
            <w:r w:rsidR="001E3059">
              <w:rPr>
                <w:rFonts w:ascii="Times New Roman" w:hAnsi="Times New Roman"/>
              </w:rPr>
              <w:t xml:space="preserve"> </w:t>
            </w:r>
          </w:p>
        </w:tc>
      </w:tr>
      <w:tr w:rsidR="00DC5258" w:rsidRPr="00424472" w:rsidTr="00461AD7">
        <w:trPr>
          <w:trHeight w:val="142"/>
          <w:jc w:val="center"/>
        </w:trPr>
        <w:tc>
          <w:tcPr>
            <w:tcW w:w="10774" w:type="dxa"/>
            <w:gridSpan w:val="29"/>
            <w:shd w:val="clear" w:color="auto" w:fill="99CCFF"/>
          </w:tcPr>
          <w:p w:rsidR="00DC5258" w:rsidRPr="00424472" w:rsidRDefault="00DC5258" w:rsidP="00AC5F65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424472">
              <w:rPr>
                <w:rFonts w:ascii="Times New Roman" w:hAnsi="Times New Roman"/>
                <w:b/>
                <w:color w:val="000000"/>
              </w:rPr>
              <w:t xml:space="preserve">Wpływ na rynek pracy </w:t>
            </w:r>
          </w:p>
        </w:tc>
      </w:tr>
      <w:tr w:rsidR="00DC5258" w:rsidRPr="00424472" w:rsidTr="00461AD7">
        <w:trPr>
          <w:trHeight w:val="142"/>
          <w:jc w:val="center"/>
        </w:trPr>
        <w:tc>
          <w:tcPr>
            <w:tcW w:w="10774" w:type="dxa"/>
            <w:gridSpan w:val="29"/>
            <w:shd w:val="clear" w:color="auto" w:fill="auto"/>
          </w:tcPr>
          <w:p w:rsidR="00DC5258" w:rsidRPr="00424472" w:rsidRDefault="002C73B0" w:rsidP="005F3B82">
            <w:pPr>
              <w:spacing w:before="120" w:after="12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Zgodnie z projektem, pracownicy B</w:t>
            </w:r>
            <w:r w:rsidR="000A4227">
              <w:rPr>
                <w:rFonts w:ascii="Times New Roman" w:hAnsi="Times New Roman"/>
              </w:rPr>
              <w:t xml:space="preserve">iura </w:t>
            </w:r>
            <w:r>
              <w:rPr>
                <w:rFonts w:ascii="Times New Roman" w:hAnsi="Times New Roman"/>
              </w:rPr>
              <w:t>R</w:t>
            </w:r>
            <w:r w:rsidR="000A4227">
              <w:rPr>
                <w:rFonts w:ascii="Times New Roman" w:hAnsi="Times New Roman"/>
              </w:rPr>
              <w:t xml:space="preserve">zecznika </w:t>
            </w:r>
            <w:r w:rsidR="007B48FB">
              <w:rPr>
                <w:rFonts w:ascii="Times New Roman" w:hAnsi="Times New Roman"/>
              </w:rPr>
              <w:t>Finansowego</w:t>
            </w:r>
            <w:r>
              <w:rPr>
                <w:rFonts w:ascii="Times New Roman" w:hAnsi="Times New Roman"/>
              </w:rPr>
              <w:t>, z dniem wejścia w życie nowej ustawy, staną się pracownikami UOKiK. Urząd posiada już ukształtowaną strukturę organizacyjną oraz odpowiednio wykwalifikowane zasoby kadrowe, toteż z punktu widzenia sprawnego i profesjonalnego wykonywania nowych obowiązków przez Prezesa U</w:t>
            </w:r>
            <w:r w:rsidR="000A4227">
              <w:rPr>
                <w:rFonts w:ascii="Times New Roman" w:hAnsi="Times New Roman"/>
              </w:rPr>
              <w:t>rzędu</w:t>
            </w:r>
            <w:r>
              <w:rPr>
                <w:rFonts w:ascii="Times New Roman" w:hAnsi="Times New Roman"/>
              </w:rPr>
              <w:t>, a także mając na względzie zasady gospodarności i celowości wydatkowania środków publicznych niezbędne będzie przeprowadzenie analizy dotychczasowej struktury zatrudnienia w BRF pod kątem nakładających się na siebie zadań pracowników obydw</w:t>
            </w:r>
            <w:r w:rsidR="005F3B82" w:rsidRPr="003D1E1C"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</w:rPr>
              <w:t xml:space="preserve"> instytucji.  </w:t>
            </w:r>
          </w:p>
        </w:tc>
      </w:tr>
      <w:tr w:rsidR="00DC5258" w:rsidRPr="00424472" w:rsidTr="00461AD7">
        <w:trPr>
          <w:trHeight w:val="142"/>
          <w:jc w:val="center"/>
        </w:trPr>
        <w:tc>
          <w:tcPr>
            <w:tcW w:w="10774" w:type="dxa"/>
            <w:gridSpan w:val="29"/>
            <w:shd w:val="clear" w:color="auto" w:fill="99CCFF"/>
          </w:tcPr>
          <w:p w:rsidR="00DC5258" w:rsidRPr="00424472" w:rsidRDefault="00DC5258" w:rsidP="00AC5F65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424472">
              <w:rPr>
                <w:rFonts w:ascii="Times New Roman" w:hAnsi="Times New Roman"/>
                <w:b/>
                <w:color w:val="000000"/>
              </w:rPr>
              <w:t>Wpływ na pozostałe obszary</w:t>
            </w:r>
          </w:p>
        </w:tc>
      </w:tr>
      <w:tr w:rsidR="00DC5258" w:rsidRPr="00424472" w:rsidTr="00461AD7">
        <w:trPr>
          <w:trHeight w:val="764"/>
          <w:jc w:val="center"/>
        </w:trPr>
        <w:tc>
          <w:tcPr>
            <w:tcW w:w="3290" w:type="dxa"/>
            <w:gridSpan w:val="5"/>
            <w:shd w:val="clear" w:color="auto" w:fill="FFFFFF"/>
            <w:vAlign w:val="center"/>
          </w:tcPr>
          <w:p w:rsidR="00DC5258" w:rsidRPr="00424472" w:rsidRDefault="005F676D" w:rsidP="00424472">
            <w:pPr>
              <w:rPr>
                <w:rFonts w:ascii="Times New Roman" w:hAnsi="Times New Roman"/>
                <w:color w:val="000000"/>
                <w:spacing w:val="-2"/>
              </w:rPr>
            </w:pPr>
            <w:r w:rsidRPr="00424472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258" w:rsidRPr="00424472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61B59">
              <w:rPr>
                <w:rFonts w:ascii="Times New Roman" w:hAnsi="Times New Roman"/>
                <w:color w:val="000000"/>
              </w:rPr>
            </w:r>
            <w:r w:rsidR="00061B59">
              <w:rPr>
                <w:rFonts w:ascii="Times New Roman" w:hAnsi="Times New Roman"/>
                <w:color w:val="000000"/>
              </w:rPr>
              <w:fldChar w:fldCharType="separate"/>
            </w:r>
            <w:r w:rsidRPr="00424472">
              <w:rPr>
                <w:rFonts w:ascii="Times New Roman" w:hAnsi="Times New Roman"/>
                <w:color w:val="000000"/>
              </w:rPr>
              <w:fldChar w:fldCharType="end"/>
            </w:r>
            <w:r w:rsidR="00DC5258" w:rsidRPr="00424472">
              <w:rPr>
                <w:rFonts w:ascii="Times New Roman" w:hAnsi="Times New Roman"/>
                <w:color w:val="000000"/>
              </w:rPr>
              <w:t xml:space="preserve"> </w:t>
            </w:r>
            <w:r w:rsidR="00DC5258" w:rsidRPr="00424472">
              <w:rPr>
                <w:rFonts w:ascii="Times New Roman" w:hAnsi="Times New Roman"/>
                <w:color w:val="000000"/>
                <w:spacing w:val="-2"/>
              </w:rPr>
              <w:t>środowisko naturalne</w:t>
            </w:r>
          </w:p>
          <w:p w:rsidR="00DC5258" w:rsidRPr="00424472" w:rsidRDefault="005F676D" w:rsidP="00424472">
            <w:pPr>
              <w:rPr>
                <w:rFonts w:ascii="Times New Roman" w:hAnsi="Times New Roman"/>
                <w:color w:val="000000"/>
              </w:rPr>
            </w:pPr>
            <w:r w:rsidRPr="00424472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258" w:rsidRPr="00424472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61B59">
              <w:rPr>
                <w:rFonts w:ascii="Times New Roman" w:hAnsi="Times New Roman"/>
                <w:color w:val="000000"/>
              </w:rPr>
            </w:r>
            <w:r w:rsidR="00061B59">
              <w:rPr>
                <w:rFonts w:ascii="Times New Roman" w:hAnsi="Times New Roman"/>
                <w:color w:val="000000"/>
              </w:rPr>
              <w:fldChar w:fldCharType="separate"/>
            </w:r>
            <w:r w:rsidRPr="00424472">
              <w:rPr>
                <w:rFonts w:ascii="Times New Roman" w:hAnsi="Times New Roman"/>
                <w:color w:val="000000"/>
              </w:rPr>
              <w:fldChar w:fldCharType="end"/>
            </w:r>
            <w:r w:rsidR="00DC5258" w:rsidRPr="00424472">
              <w:rPr>
                <w:rFonts w:ascii="Times New Roman" w:hAnsi="Times New Roman"/>
                <w:color w:val="000000"/>
              </w:rPr>
              <w:t xml:space="preserve"> sytuacja i rozwój regionalny</w:t>
            </w:r>
          </w:p>
          <w:p w:rsidR="00DC5258" w:rsidRPr="00424472" w:rsidRDefault="005F676D" w:rsidP="00424472">
            <w:pPr>
              <w:rPr>
                <w:rFonts w:ascii="Times New Roman" w:hAnsi="Times New Roman"/>
                <w:color w:val="000000"/>
                <w:spacing w:val="-2"/>
              </w:rPr>
            </w:pPr>
            <w:r w:rsidRPr="00424472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258" w:rsidRPr="00424472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61B59">
              <w:rPr>
                <w:rFonts w:ascii="Times New Roman" w:hAnsi="Times New Roman"/>
                <w:color w:val="000000"/>
              </w:rPr>
            </w:r>
            <w:r w:rsidR="00061B59">
              <w:rPr>
                <w:rFonts w:ascii="Times New Roman" w:hAnsi="Times New Roman"/>
                <w:color w:val="000000"/>
              </w:rPr>
              <w:fldChar w:fldCharType="separate"/>
            </w:r>
            <w:r w:rsidRPr="00424472">
              <w:rPr>
                <w:rFonts w:ascii="Times New Roman" w:hAnsi="Times New Roman"/>
                <w:color w:val="000000"/>
              </w:rPr>
              <w:fldChar w:fldCharType="end"/>
            </w:r>
            <w:r w:rsidR="00DC5258" w:rsidRPr="00424472">
              <w:rPr>
                <w:rFonts w:ascii="Times New Roman" w:hAnsi="Times New Roman"/>
                <w:color w:val="000000"/>
              </w:rPr>
              <w:t xml:space="preserve"> </w:t>
            </w:r>
            <w:r w:rsidR="00DC5258" w:rsidRPr="00424472">
              <w:rPr>
                <w:rFonts w:ascii="Times New Roman" w:hAnsi="Times New Roman"/>
                <w:color w:val="000000"/>
                <w:spacing w:val="-2"/>
              </w:rPr>
              <w:t xml:space="preserve">inne: </w:t>
            </w:r>
            <w:r w:rsidRPr="00424472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="00DC5258" w:rsidRPr="00424472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424472">
              <w:rPr>
                <w:rFonts w:ascii="Times New Roman" w:hAnsi="Times New Roman"/>
                <w:color w:val="000000"/>
              </w:rPr>
            </w:r>
            <w:r w:rsidRPr="00424472">
              <w:rPr>
                <w:rFonts w:ascii="Times New Roman" w:hAnsi="Times New Roman"/>
                <w:color w:val="000000"/>
              </w:rPr>
              <w:fldChar w:fldCharType="separate"/>
            </w:r>
            <w:r w:rsidR="00DC5258" w:rsidRPr="00424472">
              <w:rPr>
                <w:rFonts w:ascii="Times New Roman" w:hAnsi="Times New Roman"/>
                <w:noProof/>
                <w:color w:val="000000"/>
              </w:rPr>
              <w:t> </w:t>
            </w:r>
            <w:r w:rsidR="00DC5258" w:rsidRPr="00424472">
              <w:rPr>
                <w:rFonts w:ascii="Times New Roman" w:hAnsi="Times New Roman"/>
                <w:noProof/>
                <w:color w:val="000000"/>
              </w:rPr>
              <w:t> </w:t>
            </w:r>
            <w:r w:rsidR="00DC5258" w:rsidRPr="00424472">
              <w:rPr>
                <w:rFonts w:ascii="Times New Roman" w:hAnsi="Times New Roman"/>
                <w:noProof/>
                <w:color w:val="000000"/>
              </w:rPr>
              <w:t> </w:t>
            </w:r>
            <w:r w:rsidR="00DC5258" w:rsidRPr="00424472">
              <w:rPr>
                <w:rFonts w:ascii="Times New Roman" w:hAnsi="Times New Roman"/>
                <w:noProof/>
                <w:color w:val="000000"/>
              </w:rPr>
              <w:t> </w:t>
            </w:r>
            <w:r w:rsidR="00DC5258" w:rsidRPr="00424472">
              <w:rPr>
                <w:rFonts w:ascii="Times New Roman" w:hAnsi="Times New Roman"/>
                <w:noProof/>
                <w:color w:val="000000"/>
              </w:rPr>
              <w:t> </w:t>
            </w:r>
            <w:r w:rsidRPr="00424472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3118" w:type="dxa"/>
            <w:gridSpan w:val="12"/>
            <w:shd w:val="clear" w:color="auto" w:fill="FFFFFF"/>
            <w:vAlign w:val="center"/>
          </w:tcPr>
          <w:p w:rsidR="00DC5258" w:rsidRPr="00424472" w:rsidRDefault="005F676D" w:rsidP="00424472">
            <w:pPr>
              <w:rPr>
                <w:rFonts w:ascii="Times New Roman" w:hAnsi="Times New Roman"/>
                <w:color w:val="000000"/>
                <w:spacing w:val="-2"/>
              </w:rPr>
            </w:pPr>
            <w:r w:rsidRPr="00424472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258" w:rsidRPr="00424472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61B59">
              <w:rPr>
                <w:rFonts w:ascii="Times New Roman" w:hAnsi="Times New Roman"/>
                <w:color w:val="000000"/>
              </w:rPr>
            </w:r>
            <w:r w:rsidR="00061B59">
              <w:rPr>
                <w:rFonts w:ascii="Times New Roman" w:hAnsi="Times New Roman"/>
                <w:color w:val="000000"/>
              </w:rPr>
              <w:fldChar w:fldCharType="separate"/>
            </w:r>
            <w:r w:rsidRPr="00424472">
              <w:rPr>
                <w:rFonts w:ascii="Times New Roman" w:hAnsi="Times New Roman"/>
                <w:color w:val="000000"/>
              </w:rPr>
              <w:fldChar w:fldCharType="end"/>
            </w:r>
            <w:r w:rsidR="00DC5258" w:rsidRPr="00424472">
              <w:rPr>
                <w:rFonts w:ascii="Times New Roman" w:hAnsi="Times New Roman"/>
                <w:color w:val="000000"/>
              </w:rPr>
              <w:t xml:space="preserve"> </w:t>
            </w:r>
            <w:r w:rsidR="00DC5258" w:rsidRPr="00424472">
              <w:rPr>
                <w:rFonts w:ascii="Times New Roman" w:hAnsi="Times New Roman"/>
                <w:color w:val="000000"/>
                <w:spacing w:val="-2"/>
              </w:rPr>
              <w:t>demografia</w:t>
            </w:r>
          </w:p>
          <w:p w:rsidR="00DC5258" w:rsidRPr="00424472" w:rsidRDefault="005F676D" w:rsidP="00424472">
            <w:pPr>
              <w:rPr>
                <w:rFonts w:ascii="Times New Roman" w:hAnsi="Times New Roman"/>
                <w:color w:val="000000"/>
              </w:rPr>
            </w:pPr>
            <w:r w:rsidRPr="00424472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258" w:rsidRPr="00424472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61B59">
              <w:rPr>
                <w:rFonts w:ascii="Times New Roman" w:hAnsi="Times New Roman"/>
                <w:color w:val="000000"/>
              </w:rPr>
            </w:r>
            <w:r w:rsidR="00061B59">
              <w:rPr>
                <w:rFonts w:ascii="Times New Roman" w:hAnsi="Times New Roman"/>
                <w:color w:val="000000"/>
              </w:rPr>
              <w:fldChar w:fldCharType="separate"/>
            </w:r>
            <w:r w:rsidRPr="00424472">
              <w:rPr>
                <w:rFonts w:ascii="Times New Roman" w:hAnsi="Times New Roman"/>
                <w:color w:val="000000"/>
              </w:rPr>
              <w:fldChar w:fldCharType="end"/>
            </w:r>
            <w:r w:rsidR="00DC5258" w:rsidRPr="00424472">
              <w:rPr>
                <w:rFonts w:ascii="Times New Roman" w:hAnsi="Times New Roman"/>
                <w:color w:val="000000"/>
              </w:rPr>
              <w:t xml:space="preserve"> mienie państwowe</w:t>
            </w:r>
          </w:p>
        </w:tc>
        <w:tc>
          <w:tcPr>
            <w:tcW w:w="4366" w:type="dxa"/>
            <w:gridSpan w:val="12"/>
            <w:shd w:val="clear" w:color="auto" w:fill="FFFFFF"/>
            <w:vAlign w:val="center"/>
          </w:tcPr>
          <w:p w:rsidR="00DC5258" w:rsidRPr="00424472" w:rsidRDefault="005F676D" w:rsidP="00424472">
            <w:pPr>
              <w:rPr>
                <w:rFonts w:ascii="Times New Roman" w:hAnsi="Times New Roman"/>
                <w:color w:val="000000"/>
                <w:spacing w:val="-2"/>
              </w:rPr>
            </w:pPr>
            <w:r w:rsidRPr="00424472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258" w:rsidRPr="00424472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61B59">
              <w:rPr>
                <w:rFonts w:ascii="Times New Roman" w:hAnsi="Times New Roman"/>
                <w:color w:val="000000"/>
              </w:rPr>
            </w:r>
            <w:r w:rsidR="00061B59">
              <w:rPr>
                <w:rFonts w:ascii="Times New Roman" w:hAnsi="Times New Roman"/>
                <w:color w:val="000000"/>
              </w:rPr>
              <w:fldChar w:fldCharType="separate"/>
            </w:r>
            <w:r w:rsidRPr="00424472">
              <w:rPr>
                <w:rFonts w:ascii="Times New Roman" w:hAnsi="Times New Roman"/>
                <w:color w:val="000000"/>
              </w:rPr>
              <w:fldChar w:fldCharType="end"/>
            </w:r>
            <w:r w:rsidR="00DC5258" w:rsidRPr="00424472">
              <w:rPr>
                <w:rFonts w:ascii="Times New Roman" w:hAnsi="Times New Roman"/>
                <w:color w:val="000000"/>
                <w:spacing w:val="-2"/>
              </w:rPr>
              <w:t>informatyzacja</w:t>
            </w:r>
          </w:p>
          <w:p w:rsidR="00DC5258" w:rsidRPr="00424472" w:rsidRDefault="005F676D" w:rsidP="00424472">
            <w:pPr>
              <w:rPr>
                <w:rFonts w:ascii="Times New Roman" w:hAnsi="Times New Roman"/>
                <w:color w:val="000000"/>
              </w:rPr>
            </w:pPr>
            <w:r w:rsidRPr="00424472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258" w:rsidRPr="00424472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61B59">
              <w:rPr>
                <w:rFonts w:ascii="Times New Roman" w:hAnsi="Times New Roman"/>
                <w:color w:val="000000"/>
              </w:rPr>
            </w:r>
            <w:r w:rsidR="00061B59">
              <w:rPr>
                <w:rFonts w:ascii="Times New Roman" w:hAnsi="Times New Roman"/>
                <w:color w:val="000000"/>
              </w:rPr>
              <w:fldChar w:fldCharType="separate"/>
            </w:r>
            <w:r w:rsidRPr="00424472">
              <w:rPr>
                <w:rFonts w:ascii="Times New Roman" w:hAnsi="Times New Roman"/>
                <w:color w:val="000000"/>
              </w:rPr>
              <w:fldChar w:fldCharType="end"/>
            </w:r>
            <w:r w:rsidR="00DC5258" w:rsidRPr="00424472">
              <w:rPr>
                <w:rFonts w:ascii="Times New Roman" w:hAnsi="Times New Roman"/>
                <w:color w:val="000000"/>
              </w:rPr>
              <w:t xml:space="preserve"> </w:t>
            </w:r>
            <w:r w:rsidR="00DC5258" w:rsidRPr="00424472">
              <w:rPr>
                <w:rFonts w:ascii="Times New Roman" w:hAnsi="Times New Roman"/>
                <w:color w:val="000000"/>
                <w:spacing w:val="-2"/>
              </w:rPr>
              <w:t>zdrowie</w:t>
            </w:r>
          </w:p>
        </w:tc>
      </w:tr>
      <w:tr w:rsidR="00DC5258" w:rsidRPr="00424472" w:rsidTr="00461AD7">
        <w:trPr>
          <w:trHeight w:val="452"/>
          <w:jc w:val="center"/>
        </w:trPr>
        <w:tc>
          <w:tcPr>
            <w:tcW w:w="2233" w:type="dxa"/>
            <w:gridSpan w:val="2"/>
            <w:shd w:val="clear" w:color="auto" w:fill="FFFFFF"/>
            <w:vAlign w:val="center"/>
          </w:tcPr>
          <w:p w:rsidR="00DC5258" w:rsidRPr="00424472" w:rsidRDefault="00DC5258" w:rsidP="00424472">
            <w:pPr>
              <w:rPr>
                <w:rFonts w:ascii="Times New Roman" w:hAnsi="Times New Roman"/>
                <w:color w:val="000000"/>
              </w:rPr>
            </w:pPr>
            <w:r w:rsidRPr="00424472">
              <w:rPr>
                <w:rFonts w:ascii="Times New Roman" w:hAnsi="Times New Roman"/>
                <w:color w:val="000000"/>
              </w:rPr>
              <w:t>Omówienie wpływu</w:t>
            </w:r>
          </w:p>
        </w:tc>
        <w:tc>
          <w:tcPr>
            <w:tcW w:w="8541" w:type="dxa"/>
            <w:gridSpan w:val="27"/>
            <w:shd w:val="clear" w:color="auto" w:fill="FFFFFF"/>
            <w:vAlign w:val="center"/>
          </w:tcPr>
          <w:p w:rsidR="00DC5258" w:rsidRPr="00424472" w:rsidRDefault="00AC5F65" w:rsidP="00424472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Brak wypływu.</w:t>
            </w:r>
          </w:p>
        </w:tc>
      </w:tr>
      <w:tr w:rsidR="00DC5258" w:rsidRPr="00424472" w:rsidTr="00461AD7">
        <w:trPr>
          <w:trHeight w:val="142"/>
          <w:jc w:val="center"/>
        </w:trPr>
        <w:tc>
          <w:tcPr>
            <w:tcW w:w="10774" w:type="dxa"/>
            <w:gridSpan w:val="29"/>
            <w:shd w:val="clear" w:color="auto" w:fill="99CCFF"/>
          </w:tcPr>
          <w:p w:rsidR="00DC5258" w:rsidRPr="00424472" w:rsidRDefault="00DC5258" w:rsidP="00AC5F65">
            <w:pPr>
              <w:numPr>
                <w:ilvl w:val="0"/>
                <w:numId w:val="1"/>
              </w:numPr>
              <w:spacing w:before="60" w:after="60"/>
              <w:ind w:left="318" w:hanging="284"/>
              <w:jc w:val="both"/>
              <w:rPr>
                <w:rFonts w:ascii="Times New Roman" w:hAnsi="Times New Roman"/>
                <w:b/>
              </w:rPr>
            </w:pPr>
            <w:r w:rsidRPr="00424472">
              <w:rPr>
                <w:rFonts w:ascii="Times New Roman" w:hAnsi="Times New Roman"/>
                <w:b/>
                <w:spacing w:val="-2"/>
              </w:rPr>
              <w:t>Planowane wykonanie przepisów aktu prawnego</w:t>
            </w:r>
          </w:p>
        </w:tc>
      </w:tr>
      <w:tr w:rsidR="00DC5258" w:rsidRPr="00424472" w:rsidTr="00461AD7">
        <w:trPr>
          <w:trHeight w:val="142"/>
          <w:jc w:val="center"/>
        </w:trPr>
        <w:tc>
          <w:tcPr>
            <w:tcW w:w="10774" w:type="dxa"/>
            <w:gridSpan w:val="29"/>
            <w:shd w:val="clear" w:color="auto" w:fill="FFFFFF"/>
          </w:tcPr>
          <w:p w:rsidR="00DC5258" w:rsidRDefault="00783662" w:rsidP="00A20D9C">
            <w:pPr>
              <w:widowControl w:val="0"/>
              <w:spacing w:before="120" w:after="120"/>
              <w:jc w:val="both"/>
              <w:rPr>
                <w:rStyle w:val="Ppogrubienie"/>
                <w:rFonts w:ascii="Times New Roman" w:hAnsi="Times New Roman"/>
                <w:b w:val="0"/>
              </w:rPr>
            </w:pPr>
            <w:r w:rsidRPr="007B48FB">
              <w:rPr>
                <w:rFonts w:ascii="Times New Roman" w:hAnsi="Times New Roman"/>
                <w:spacing w:val="-2"/>
              </w:rPr>
              <w:t xml:space="preserve">Przewiduje się wejście w życie </w:t>
            </w:r>
            <w:r w:rsidR="001F4764" w:rsidRPr="007B48FB">
              <w:rPr>
                <w:rFonts w:ascii="Times New Roman" w:hAnsi="Times New Roman"/>
                <w:spacing w:val="-2"/>
              </w:rPr>
              <w:t>projektowanej ustawy z dniem</w:t>
            </w:r>
            <w:r w:rsidR="00A20D9C" w:rsidRPr="007B48FB">
              <w:rPr>
                <w:rFonts w:ascii="Times New Roman" w:hAnsi="Times New Roman"/>
                <w:spacing w:val="-2"/>
              </w:rPr>
              <w:t xml:space="preserve"> 1</w:t>
            </w:r>
            <w:r w:rsidR="00A20D9C" w:rsidRPr="007B48FB">
              <w:rPr>
                <w:rStyle w:val="Ppogrubienie"/>
                <w:rFonts w:ascii="Times New Roman" w:hAnsi="Times New Roman"/>
                <w:b w:val="0"/>
              </w:rPr>
              <w:t xml:space="preserve"> stycznia 2021 r.</w:t>
            </w:r>
            <w:r w:rsidR="003D1E1C">
              <w:rPr>
                <w:rStyle w:val="Ppogrubienie"/>
                <w:rFonts w:ascii="Times New Roman" w:hAnsi="Times New Roman"/>
                <w:b w:val="0"/>
              </w:rPr>
              <w:t xml:space="preserve"> z wyjątkiem:</w:t>
            </w:r>
          </w:p>
          <w:p w:rsidR="00BD537B" w:rsidRPr="003D1E1C" w:rsidRDefault="00BD537B" w:rsidP="00BD537B">
            <w:pPr>
              <w:pStyle w:val="PKTpunkt"/>
              <w:rPr>
                <w:rStyle w:val="Ppogrubienie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D1E1C">
              <w:rPr>
                <w:rStyle w:val="Ppogrubienie"/>
                <w:rFonts w:ascii="Times New Roman" w:hAnsi="Times New Roman" w:cs="Times New Roman"/>
                <w:b w:val="0"/>
                <w:sz w:val="22"/>
                <w:szCs w:val="22"/>
              </w:rPr>
              <w:t>1)</w:t>
            </w:r>
            <w:r w:rsidRPr="003D1E1C">
              <w:rPr>
                <w:rStyle w:val="Ppogrubienie"/>
                <w:rFonts w:ascii="Times New Roman" w:hAnsi="Times New Roman" w:cs="Times New Roman"/>
                <w:b w:val="0"/>
                <w:sz w:val="22"/>
                <w:szCs w:val="22"/>
              </w:rPr>
              <w:tab/>
              <w:t>art. 61 ust. 2, art. 62 ust. 2, art. 65, art. 66 ust. 2, art. 7</w:t>
            </w:r>
            <w:r w:rsidR="000770C0">
              <w:rPr>
                <w:rStyle w:val="Ppogrubienie"/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  <w:r w:rsidRPr="003D1E1C">
              <w:rPr>
                <w:rStyle w:val="Ppogrubienie"/>
                <w:rFonts w:ascii="Times New Roman" w:hAnsi="Times New Roman" w:cs="Times New Roman"/>
                <w:b w:val="0"/>
                <w:sz w:val="22"/>
                <w:szCs w:val="22"/>
              </w:rPr>
              <w:t>, art. 7</w:t>
            </w:r>
            <w:r w:rsidR="000770C0">
              <w:rPr>
                <w:rStyle w:val="Ppogrubienie"/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  <w:r w:rsidRPr="003D1E1C">
              <w:rPr>
                <w:rStyle w:val="Ppogrubienie"/>
                <w:rFonts w:ascii="Times New Roman" w:hAnsi="Times New Roman" w:cs="Times New Roman"/>
                <w:b w:val="0"/>
                <w:sz w:val="22"/>
                <w:szCs w:val="22"/>
              </w:rPr>
              <w:t xml:space="preserve"> ust. 2, art. 7</w:t>
            </w:r>
            <w:r w:rsidR="000770C0">
              <w:rPr>
                <w:rStyle w:val="Ppogrubienie"/>
                <w:rFonts w:ascii="Times New Roman" w:hAnsi="Times New Roman" w:cs="Times New Roman"/>
                <w:b w:val="0"/>
                <w:sz w:val="22"/>
                <w:szCs w:val="22"/>
              </w:rPr>
              <w:t>7</w:t>
            </w:r>
            <w:r w:rsidRPr="003D1E1C">
              <w:rPr>
                <w:rStyle w:val="Ppogrubienie"/>
                <w:rFonts w:ascii="Times New Roman" w:hAnsi="Times New Roman" w:cs="Times New Roman"/>
                <w:b w:val="0"/>
                <w:sz w:val="22"/>
                <w:szCs w:val="22"/>
              </w:rPr>
              <w:t xml:space="preserve"> ust. 2, art. 80 ust. 2, które w</w:t>
            </w:r>
            <w:r w:rsidR="003D1E1C">
              <w:rPr>
                <w:rStyle w:val="Ppogrubienie"/>
                <w:rFonts w:ascii="Times New Roman" w:hAnsi="Times New Roman" w:cs="Times New Roman"/>
                <w:b w:val="0"/>
                <w:sz w:val="22"/>
                <w:szCs w:val="22"/>
              </w:rPr>
              <w:t>ejdą</w:t>
            </w:r>
            <w:r w:rsidRPr="003D1E1C">
              <w:rPr>
                <w:rStyle w:val="Ppogrubienie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>
              <w:rPr>
                <w:rStyle w:val="Ppogrubienie"/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Pr="003D1E1C">
              <w:rPr>
                <w:rStyle w:val="Ppogrubienie"/>
                <w:rFonts w:ascii="Times New Roman" w:hAnsi="Times New Roman" w:cs="Times New Roman"/>
                <w:b w:val="0"/>
                <w:sz w:val="22"/>
                <w:szCs w:val="22"/>
              </w:rPr>
              <w:t>w życie z dniem następującym po dniu ogłoszenia;</w:t>
            </w:r>
          </w:p>
          <w:p w:rsidR="00BD537B" w:rsidRPr="003D1E1C" w:rsidRDefault="00BD537B" w:rsidP="00BD537B">
            <w:pPr>
              <w:pStyle w:val="PKTpunkt"/>
              <w:rPr>
                <w:rStyle w:val="Ppogrubienie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D1E1C">
              <w:rPr>
                <w:rStyle w:val="Ppogrubienie"/>
                <w:rFonts w:ascii="Times New Roman" w:hAnsi="Times New Roman" w:cs="Times New Roman"/>
                <w:b w:val="0"/>
                <w:sz w:val="22"/>
                <w:szCs w:val="22"/>
              </w:rPr>
              <w:t>2)</w:t>
            </w:r>
            <w:r w:rsidR="003D1E1C">
              <w:rPr>
                <w:rStyle w:val="Ppogrubienie"/>
                <w:rFonts w:ascii="Times New Roman" w:hAnsi="Times New Roman" w:cs="Times New Roman"/>
                <w:b w:val="0"/>
                <w:sz w:val="22"/>
                <w:szCs w:val="22"/>
              </w:rPr>
              <w:t xml:space="preserve">      art. 79 ust. 1, który wejdzie</w:t>
            </w:r>
            <w:r w:rsidRPr="003D1E1C">
              <w:rPr>
                <w:rStyle w:val="Ppogrubienie"/>
                <w:rFonts w:ascii="Times New Roman" w:hAnsi="Times New Roman" w:cs="Times New Roman"/>
                <w:b w:val="0"/>
                <w:sz w:val="22"/>
                <w:szCs w:val="22"/>
              </w:rPr>
              <w:t xml:space="preserve"> w życie z dniem 16 listopada 2020 r.;</w:t>
            </w:r>
          </w:p>
          <w:p w:rsidR="00BD537B" w:rsidRPr="003D1E1C" w:rsidRDefault="00BD537B" w:rsidP="003D1E1C">
            <w:pPr>
              <w:pStyle w:val="PKTpunkt"/>
              <w:rPr>
                <w:bCs w:val="0"/>
              </w:rPr>
            </w:pPr>
            <w:r w:rsidRPr="003D1E1C">
              <w:rPr>
                <w:rStyle w:val="Ppogrubienie"/>
                <w:rFonts w:ascii="Times New Roman" w:hAnsi="Times New Roman" w:cs="Times New Roman"/>
                <w:b w:val="0"/>
                <w:sz w:val="22"/>
                <w:szCs w:val="22"/>
              </w:rPr>
              <w:t>3)</w:t>
            </w:r>
            <w:r w:rsidRPr="003D1E1C">
              <w:rPr>
                <w:rStyle w:val="Ppogrubienie"/>
                <w:rFonts w:ascii="Times New Roman" w:hAnsi="Times New Roman" w:cs="Times New Roman"/>
                <w:b w:val="0"/>
                <w:sz w:val="22"/>
                <w:szCs w:val="22"/>
              </w:rPr>
              <w:tab/>
              <w:t>art. 59, art. 60 i art. 7</w:t>
            </w:r>
            <w:r w:rsidR="000770C0">
              <w:rPr>
                <w:rStyle w:val="Ppogrubienie"/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  <w:r w:rsidRPr="003D1E1C">
              <w:rPr>
                <w:rStyle w:val="Ppogrubienie"/>
                <w:rFonts w:ascii="Times New Roman" w:hAnsi="Times New Roman" w:cs="Times New Roman"/>
                <w:b w:val="0"/>
                <w:sz w:val="22"/>
                <w:szCs w:val="22"/>
              </w:rPr>
              <w:t>, które w</w:t>
            </w:r>
            <w:r w:rsidR="003D1E1C">
              <w:rPr>
                <w:rStyle w:val="Ppogrubienie"/>
                <w:rFonts w:ascii="Times New Roman" w:hAnsi="Times New Roman" w:cs="Times New Roman"/>
                <w:b w:val="0"/>
                <w:sz w:val="22"/>
                <w:szCs w:val="22"/>
              </w:rPr>
              <w:t xml:space="preserve">ejdą </w:t>
            </w:r>
            <w:r w:rsidRPr="003D1E1C">
              <w:rPr>
                <w:rStyle w:val="Ppogrubienie"/>
                <w:rFonts w:ascii="Times New Roman" w:hAnsi="Times New Roman" w:cs="Times New Roman"/>
                <w:b w:val="0"/>
                <w:sz w:val="22"/>
                <w:szCs w:val="22"/>
              </w:rPr>
              <w:t>w życie z dniem 31 grudnia 2020 r.</w:t>
            </w:r>
          </w:p>
        </w:tc>
      </w:tr>
      <w:tr w:rsidR="00DC5258" w:rsidRPr="00424472" w:rsidTr="00461AD7">
        <w:trPr>
          <w:trHeight w:val="142"/>
          <w:jc w:val="center"/>
        </w:trPr>
        <w:tc>
          <w:tcPr>
            <w:tcW w:w="10774" w:type="dxa"/>
            <w:gridSpan w:val="29"/>
            <w:shd w:val="clear" w:color="auto" w:fill="99CCFF"/>
          </w:tcPr>
          <w:p w:rsidR="00DC5258" w:rsidRPr="007B48FB" w:rsidRDefault="00DC5258" w:rsidP="00AC5F65">
            <w:pPr>
              <w:numPr>
                <w:ilvl w:val="0"/>
                <w:numId w:val="1"/>
              </w:numPr>
              <w:spacing w:before="60" w:after="60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7B48FB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7B48FB">
              <w:rPr>
                <w:rFonts w:ascii="Times New Roman" w:hAnsi="Times New Roman"/>
                <w:b/>
                <w:spacing w:val="-2"/>
              </w:rPr>
              <w:t>W jaki sposób i kiedy nastąpi ewaluacja efektów projektu oraz jakie mierniki zostaną zastosowane?</w:t>
            </w:r>
          </w:p>
        </w:tc>
      </w:tr>
      <w:tr w:rsidR="00DC5258" w:rsidRPr="00424472" w:rsidTr="00461AD7">
        <w:trPr>
          <w:trHeight w:val="142"/>
          <w:jc w:val="center"/>
        </w:trPr>
        <w:tc>
          <w:tcPr>
            <w:tcW w:w="10774" w:type="dxa"/>
            <w:gridSpan w:val="29"/>
            <w:shd w:val="clear" w:color="auto" w:fill="FFFFFF"/>
          </w:tcPr>
          <w:p w:rsidR="00A1798D" w:rsidRPr="007B48FB" w:rsidRDefault="00931D6A" w:rsidP="003D1E1C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7B48FB">
              <w:rPr>
                <w:rFonts w:ascii="Times New Roman" w:hAnsi="Times New Roman"/>
                <w:color w:val="000000"/>
                <w:spacing w:val="-2"/>
              </w:rPr>
              <w:t>Efekty wejścia w życie proponowanych rozwiązań będzie można poddać ewaluacji w oparciu o następujące mierniki:</w:t>
            </w:r>
            <w:r w:rsidR="00A1798D" w:rsidRPr="007B48FB">
              <w:rPr>
                <w:rFonts w:ascii="Times New Roman" w:hAnsi="Times New Roman"/>
                <w:color w:val="000000"/>
                <w:spacing w:val="-2"/>
              </w:rPr>
              <w:br/>
              <w:t>- liczba wniosków klientów podmiotów ryn</w:t>
            </w:r>
            <w:r w:rsidR="003A7E91" w:rsidRPr="007B48FB">
              <w:rPr>
                <w:rFonts w:ascii="Times New Roman" w:hAnsi="Times New Roman"/>
                <w:color w:val="000000"/>
                <w:spacing w:val="-2"/>
              </w:rPr>
              <w:t>ku ubezpieczeniowo-emerytalnego,</w:t>
            </w:r>
          </w:p>
          <w:p w:rsidR="00A1798D" w:rsidRPr="007B48FB" w:rsidRDefault="00A1798D" w:rsidP="003D1E1C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7B48FB">
              <w:rPr>
                <w:rFonts w:ascii="Times New Roman" w:hAnsi="Times New Roman"/>
                <w:color w:val="000000"/>
                <w:spacing w:val="-2"/>
              </w:rPr>
              <w:t>- liczba wniosków klientów podmi</w:t>
            </w:r>
            <w:r w:rsidR="003A7E91" w:rsidRPr="007B48FB">
              <w:rPr>
                <w:rFonts w:ascii="Times New Roman" w:hAnsi="Times New Roman"/>
                <w:color w:val="000000"/>
                <w:spacing w:val="-2"/>
              </w:rPr>
              <w:t>otów rynku bankowo-kapitałowego,</w:t>
            </w:r>
          </w:p>
          <w:p w:rsidR="003A7E91" w:rsidRPr="007B48FB" w:rsidRDefault="00A1798D" w:rsidP="003D1E1C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7B48FB">
              <w:rPr>
                <w:rFonts w:ascii="Times New Roman" w:hAnsi="Times New Roman"/>
                <w:color w:val="000000"/>
                <w:spacing w:val="-2"/>
              </w:rPr>
              <w:t xml:space="preserve">- </w:t>
            </w:r>
            <w:r w:rsidR="00573FB2" w:rsidRPr="007B48FB">
              <w:rPr>
                <w:rFonts w:ascii="Times New Roman" w:hAnsi="Times New Roman"/>
                <w:color w:val="000000"/>
                <w:spacing w:val="-2"/>
              </w:rPr>
              <w:t>liczba wszczętych pozasądowych postępowań w sprawie rozwiązywania sporów między klientem a podmiotem rynku finansowego</w:t>
            </w:r>
            <w:r w:rsidR="003A7E91" w:rsidRPr="007B48FB"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</w:tc>
      </w:tr>
      <w:tr w:rsidR="00DC5258" w:rsidRPr="00424472" w:rsidTr="00461AD7">
        <w:trPr>
          <w:trHeight w:val="142"/>
          <w:jc w:val="center"/>
        </w:trPr>
        <w:tc>
          <w:tcPr>
            <w:tcW w:w="10774" w:type="dxa"/>
            <w:gridSpan w:val="29"/>
            <w:shd w:val="clear" w:color="auto" w:fill="99CCFF"/>
          </w:tcPr>
          <w:p w:rsidR="00DC5258" w:rsidRPr="00424472" w:rsidRDefault="00DC5258" w:rsidP="00AC5F65">
            <w:pPr>
              <w:numPr>
                <w:ilvl w:val="0"/>
                <w:numId w:val="1"/>
              </w:numPr>
              <w:spacing w:before="60" w:after="60"/>
              <w:ind w:left="318" w:hanging="284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424472">
              <w:rPr>
                <w:rFonts w:ascii="Times New Roman" w:hAnsi="Times New Roman"/>
                <w:b/>
                <w:color w:val="000000"/>
                <w:spacing w:val="-2"/>
              </w:rPr>
              <w:t xml:space="preserve">Załączniki </w:t>
            </w:r>
            <w:r w:rsidRPr="00424472">
              <w:rPr>
                <w:rFonts w:ascii="Times New Roman" w:hAnsi="Times New Roman"/>
                <w:b/>
                <w:spacing w:val="-2"/>
              </w:rPr>
              <w:t>(istotne dokumenty źródłowe, badania, analizy itp.</w:t>
            </w:r>
            <w:r w:rsidRPr="00424472">
              <w:rPr>
                <w:rFonts w:ascii="Times New Roman" w:hAnsi="Times New Roman"/>
                <w:b/>
                <w:color w:val="000000"/>
                <w:spacing w:val="-2"/>
              </w:rPr>
              <w:t xml:space="preserve">) </w:t>
            </w:r>
          </w:p>
        </w:tc>
      </w:tr>
      <w:tr w:rsidR="00DC5258" w:rsidRPr="00424472" w:rsidTr="00461AD7">
        <w:trPr>
          <w:trHeight w:val="142"/>
          <w:jc w:val="center"/>
        </w:trPr>
        <w:tc>
          <w:tcPr>
            <w:tcW w:w="10774" w:type="dxa"/>
            <w:gridSpan w:val="29"/>
            <w:shd w:val="clear" w:color="auto" w:fill="FFFFFF"/>
          </w:tcPr>
          <w:p w:rsidR="00DC5258" w:rsidRPr="00424472" w:rsidRDefault="006F3525" w:rsidP="00424472">
            <w:pPr>
              <w:spacing w:before="120" w:after="120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Brak. </w:t>
            </w:r>
          </w:p>
        </w:tc>
      </w:tr>
    </w:tbl>
    <w:p w:rsidR="006176ED" w:rsidRPr="00424472" w:rsidRDefault="006176ED" w:rsidP="00424472">
      <w:pPr>
        <w:spacing w:after="120"/>
        <w:jc w:val="both"/>
        <w:rPr>
          <w:rFonts w:ascii="Times New Roman" w:hAnsi="Times New Roman"/>
        </w:rPr>
      </w:pPr>
    </w:p>
    <w:sectPr w:rsidR="006176ED" w:rsidRPr="00424472" w:rsidSect="00725DE7">
      <w:pgSz w:w="11906" w:h="16838"/>
      <w:pgMar w:top="568" w:right="707" w:bottom="568" w:left="72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B59" w:rsidRDefault="00061B59" w:rsidP="00044739">
      <w:pPr>
        <w:spacing w:line="240" w:lineRule="auto"/>
      </w:pPr>
      <w:r>
        <w:separator/>
      </w:r>
    </w:p>
  </w:endnote>
  <w:endnote w:type="continuationSeparator" w:id="0">
    <w:p w:rsidR="00061B59" w:rsidRDefault="00061B59" w:rsidP="000447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B59" w:rsidRDefault="00061B59" w:rsidP="00044739">
      <w:pPr>
        <w:spacing w:line="240" w:lineRule="auto"/>
      </w:pPr>
      <w:r>
        <w:separator/>
      </w:r>
    </w:p>
  </w:footnote>
  <w:footnote w:type="continuationSeparator" w:id="0">
    <w:p w:rsidR="00061B59" w:rsidRDefault="00061B59" w:rsidP="000447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F176E"/>
    <w:multiLevelType w:val="hybridMultilevel"/>
    <w:tmpl w:val="5178FC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F2AB1"/>
    <w:multiLevelType w:val="hybridMultilevel"/>
    <w:tmpl w:val="FEDE4F76"/>
    <w:lvl w:ilvl="0" w:tplc="6F3E0CD0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F6F10"/>
    <w:multiLevelType w:val="hybridMultilevel"/>
    <w:tmpl w:val="7DE09498"/>
    <w:lvl w:ilvl="0" w:tplc="AC1059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03343"/>
    <w:multiLevelType w:val="hybridMultilevel"/>
    <w:tmpl w:val="AC3875EC"/>
    <w:lvl w:ilvl="0" w:tplc="4BE4E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03250"/>
    <w:multiLevelType w:val="hybridMultilevel"/>
    <w:tmpl w:val="E43A17BA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6" w15:restartNumberingAfterBreak="0">
    <w:nsid w:val="4775055E"/>
    <w:multiLevelType w:val="hybridMultilevel"/>
    <w:tmpl w:val="50E607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7C6691"/>
    <w:multiLevelType w:val="singleLevel"/>
    <w:tmpl w:val="DBBA22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56611C67"/>
    <w:multiLevelType w:val="hybridMultilevel"/>
    <w:tmpl w:val="C6F2A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86FB1"/>
    <w:multiLevelType w:val="hybridMultilevel"/>
    <w:tmpl w:val="5F9EB7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B4585B"/>
    <w:multiLevelType w:val="hybridMultilevel"/>
    <w:tmpl w:val="C248D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143E51"/>
    <w:multiLevelType w:val="hybridMultilevel"/>
    <w:tmpl w:val="D4624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  <w:lvlOverride w:ilvl="0">
      <w:startOverride w:val="1"/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11"/>
  </w:num>
  <w:num w:numId="8">
    <w:abstractNumId w:val="3"/>
  </w:num>
  <w:num w:numId="9">
    <w:abstractNumId w:val="0"/>
  </w:num>
  <w:num w:numId="10">
    <w:abstractNumId w:val="5"/>
  </w:num>
  <w:num w:numId="11">
    <w:abstractNumId w:val="9"/>
  </w:num>
  <w:num w:numId="12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ocumentProtection w:edit="forms" w:formatting="1" w:enforcement="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6CB"/>
    <w:rsid w:val="000008E5"/>
    <w:rsid w:val="000015EE"/>
    <w:rsid w:val="000019BE"/>
    <w:rsid w:val="000022D5"/>
    <w:rsid w:val="000031CD"/>
    <w:rsid w:val="0000355C"/>
    <w:rsid w:val="00003848"/>
    <w:rsid w:val="00003A70"/>
    <w:rsid w:val="00004C6A"/>
    <w:rsid w:val="000052A7"/>
    <w:rsid w:val="00005D71"/>
    <w:rsid w:val="00010434"/>
    <w:rsid w:val="00012D11"/>
    <w:rsid w:val="000137F8"/>
    <w:rsid w:val="00013EB5"/>
    <w:rsid w:val="000144F1"/>
    <w:rsid w:val="000148A5"/>
    <w:rsid w:val="00014A55"/>
    <w:rsid w:val="0001728A"/>
    <w:rsid w:val="00023836"/>
    <w:rsid w:val="00025041"/>
    <w:rsid w:val="00025B5A"/>
    <w:rsid w:val="000276BF"/>
    <w:rsid w:val="000310A3"/>
    <w:rsid w:val="000316D9"/>
    <w:rsid w:val="0003193A"/>
    <w:rsid w:val="00032628"/>
    <w:rsid w:val="00034682"/>
    <w:rsid w:val="000356A9"/>
    <w:rsid w:val="00036029"/>
    <w:rsid w:val="00036478"/>
    <w:rsid w:val="0003651C"/>
    <w:rsid w:val="00037481"/>
    <w:rsid w:val="00041F50"/>
    <w:rsid w:val="0004252A"/>
    <w:rsid w:val="000425CF"/>
    <w:rsid w:val="000429FF"/>
    <w:rsid w:val="00044138"/>
    <w:rsid w:val="00044739"/>
    <w:rsid w:val="000472ED"/>
    <w:rsid w:val="000500DE"/>
    <w:rsid w:val="00050414"/>
    <w:rsid w:val="00050E52"/>
    <w:rsid w:val="00051637"/>
    <w:rsid w:val="0005280A"/>
    <w:rsid w:val="00055560"/>
    <w:rsid w:val="000555EA"/>
    <w:rsid w:val="00055921"/>
    <w:rsid w:val="00055F9A"/>
    <w:rsid w:val="00056681"/>
    <w:rsid w:val="00061B59"/>
    <w:rsid w:val="00062F22"/>
    <w:rsid w:val="0006307D"/>
    <w:rsid w:val="000643DC"/>
    <w:rsid w:val="000648A7"/>
    <w:rsid w:val="0006618B"/>
    <w:rsid w:val="000670C0"/>
    <w:rsid w:val="00071B99"/>
    <w:rsid w:val="000738C6"/>
    <w:rsid w:val="000756E5"/>
    <w:rsid w:val="0007639C"/>
    <w:rsid w:val="0007704E"/>
    <w:rsid w:val="000770C0"/>
    <w:rsid w:val="00077596"/>
    <w:rsid w:val="00080EC8"/>
    <w:rsid w:val="00085FE2"/>
    <w:rsid w:val="000868B3"/>
    <w:rsid w:val="00090C69"/>
    <w:rsid w:val="000914C1"/>
    <w:rsid w:val="00092CB4"/>
    <w:rsid w:val="000930BD"/>
    <w:rsid w:val="0009342A"/>
    <w:rsid w:val="000944AC"/>
    <w:rsid w:val="00094CB9"/>
    <w:rsid w:val="000956B2"/>
    <w:rsid w:val="000969E7"/>
    <w:rsid w:val="00097A96"/>
    <w:rsid w:val="00097E0D"/>
    <w:rsid w:val="000A0F0B"/>
    <w:rsid w:val="000A16A6"/>
    <w:rsid w:val="000A23DE"/>
    <w:rsid w:val="000A3E7C"/>
    <w:rsid w:val="000A4020"/>
    <w:rsid w:val="000A4227"/>
    <w:rsid w:val="000A5CF2"/>
    <w:rsid w:val="000A7D64"/>
    <w:rsid w:val="000B35DC"/>
    <w:rsid w:val="000B3C2E"/>
    <w:rsid w:val="000B54FB"/>
    <w:rsid w:val="000B55B9"/>
    <w:rsid w:val="000B797D"/>
    <w:rsid w:val="000C29B0"/>
    <w:rsid w:val="000C4004"/>
    <w:rsid w:val="000C4496"/>
    <w:rsid w:val="000C4F24"/>
    <w:rsid w:val="000C6E60"/>
    <w:rsid w:val="000C76FC"/>
    <w:rsid w:val="000D0570"/>
    <w:rsid w:val="000D146C"/>
    <w:rsid w:val="000D38FC"/>
    <w:rsid w:val="000D4D90"/>
    <w:rsid w:val="000D65CE"/>
    <w:rsid w:val="000E04A1"/>
    <w:rsid w:val="000E1537"/>
    <w:rsid w:val="000E272D"/>
    <w:rsid w:val="000E2D10"/>
    <w:rsid w:val="000E2E0A"/>
    <w:rsid w:val="000E3D28"/>
    <w:rsid w:val="000E5F99"/>
    <w:rsid w:val="000E6146"/>
    <w:rsid w:val="000F0BCA"/>
    <w:rsid w:val="000F3204"/>
    <w:rsid w:val="000F5092"/>
    <w:rsid w:val="00100210"/>
    <w:rsid w:val="00100A28"/>
    <w:rsid w:val="001032A8"/>
    <w:rsid w:val="0010548B"/>
    <w:rsid w:val="00105BA5"/>
    <w:rsid w:val="001072D1"/>
    <w:rsid w:val="00110C7C"/>
    <w:rsid w:val="00111DD2"/>
    <w:rsid w:val="0011234A"/>
    <w:rsid w:val="00117017"/>
    <w:rsid w:val="0011774B"/>
    <w:rsid w:val="00121C9D"/>
    <w:rsid w:val="00122E8B"/>
    <w:rsid w:val="00123886"/>
    <w:rsid w:val="00126EF8"/>
    <w:rsid w:val="00130E8E"/>
    <w:rsid w:val="0013216E"/>
    <w:rsid w:val="0013477E"/>
    <w:rsid w:val="001401B5"/>
    <w:rsid w:val="001422B9"/>
    <w:rsid w:val="0014290A"/>
    <w:rsid w:val="0014602D"/>
    <w:rsid w:val="0014665F"/>
    <w:rsid w:val="00147FD5"/>
    <w:rsid w:val="0015014C"/>
    <w:rsid w:val="00152603"/>
    <w:rsid w:val="00152694"/>
    <w:rsid w:val="00153464"/>
    <w:rsid w:val="001539D3"/>
    <w:rsid w:val="001541B3"/>
    <w:rsid w:val="00155B15"/>
    <w:rsid w:val="00155F57"/>
    <w:rsid w:val="001560EC"/>
    <w:rsid w:val="00156C16"/>
    <w:rsid w:val="00161D06"/>
    <w:rsid w:val="001625BE"/>
    <w:rsid w:val="00162724"/>
    <w:rsid w:val="001643A4"/>
    <w:rsid w:val="00164F7D"/>
    <w:rsid w:val="001727BB"/>
    <w:rsid w:val="001727DD"/>
    <w:rsid w:val="00172F8C"/>
    <w:rsid w:val="00173EA1"/>
    <w:rsid w:val="00175D87"/>
    <w:rsid w:val="0018015A"/>
    <w:rsid w:val="00180D25"/>
    <w:rsid w:val="0018204D"/>
    <w:rsid w:val="0018265B"/>
    <w:rsid w:val="0018318D"/>
    <w:rsid w:val="0018572C"/>
    <w:rsid w:val="00187E79"/>
    <w:rsid w:val="00187EEF"/>
    <w:rsid w:val="00187F0D"/>
    <w:rsid w:val="00191EF3"/>
    <w:rsid w:val="00192CC5"/>
    <w:rsid w:val="001956A7"/>
    <w:rsid w:val="0019609C"/>
    <w:rsid w:val="001A118A"/>
    <w:rsid w:val="001A27F4"/>
    <w:rsid w:val="001A2D95"/>
    <w:rsid w:val="001A35AB"/>
    <w:rsid w:val="001A4F62"/>
    <w:rsid w:val="001A5537"/>
    <w:rsid w:val="001A6A71"/>
    <w:rsid w:val="001A7994"/>
    <w:rsid w:val="001A7FBC"/>
    <w:rsid w:val="001B0BF1"/>
    <w:rsid w:val="001B21C8"/>
    <w:rsid w:val="001B3460"/>
    <w:rsid w:val="001B4CA1"/>
    <w:rsid w:val="001B75D8"/>
    <w:rsid w:val="001C023A"/>
    <w:rsid w:val="001C1060"/>
    <w:rsid w:val="001C1A13"/>
    <w:rsid w:val="001C3C63"/>
    <w:rsid w:val="001D1284"/>
    <w:rsid w:val="001D4732"/>
    <w:rsid w:val="001D6A3C"/>
    <w:rsid w:val="001D6D51"/>
    <w:rsid w:val="001D7746"/>
    <w:rsid w:val="001D7920"/>
    <w:rsid w:val="001E24C3"/>
    <w:rsid w:val="001E2D5B"/>
    <w:rsid w:val="001E3059"/>
    <w:rsid w:val="001E5916"/>
    <w:rsid w:val="001F2414"/>
    <w:rsid w:val="001F2BE9"/>
    <w:rsid w:val="001F2EEC"/>
    <w:rsid w:val="001F362C"/>
    <w:rsid w:val="001F4764"/>
    <w:rsid w:val="001F4946"/>
    <w:rsid w:val="001F653A"/>
    <w:rsid w:val="001F6979"/>
    <w:rsid w:val="001F6C6E"/>
    <w:rsid w:val="002007A7"/>
    <w:rsid w:val="00201473"/>
    <w:rsid w:val="002016E1"/>
    <w:rsid w:val="00202BA8"/>
    <w:rsid w:val="00202BC6"/>
    <w:rsid w:val="0020393F"/>
    <w:rsid w:val="00204055"/>
    <w:rsid w:val="00205141"/>
    <w:rsid w:val="0020516B"/>
    <w:rsid w:val="002111BE"/>
    <w:rsid w:val="00213559"/>
    <w:rsid w:val="00213EFD"/>
    <w:rsid w:val="00215DD1"/>
    <w:rsid w:val="00216234"/>
    <w:rsid w:val="0021659E"/>
    <w:rsid w:val="002172F1"/>
    <w:rsid w:val="00221CC4"/>
    <w:rsid w:val="002230F2"/>
    <w:rsid w:val="00223C7B"/>
    <w:rsid w:val="00224369"/>
    <w:rsid w:val="00224AB1"/>
    <w:rsid w:val="00225A30"/>
    <w:rsid w:val="0022687A"/>
    <w:rsid w:val="00230728"/>
    <w:rsid w:val="002333F6"/>
    <w:rsid w:val="00233937"/>
    <w:rsid w:val="00234040"/>
    <w:rsid w:val="00235CD2"/>
    <w:rsid w:val="0023646D"/>
    <w:rsid w:val="00237C6A"/>
    <w:rsid w:val="00242766"/>
    <w:rsid w:val="00247706"/>
    <w:rsid w:val="00247F41"/>
    <w:rsid w:val="00250A1E"/>
    <w:rsid w:val="00251252"/>
    <w:rsid w:val="002515B1"/>
    <w:rsid w:val="00251C28"/>
    <w:rsid w:val="00252EEC"/>
    <w:rsid w:val="00254DED"/>
    <w:rsid w:val="00255619"/>
    <w:rsid w:val="00255DAD"/>
    <w:rsid w:val="00256108"/>
    <w:rsid w:val="00260DAC"/>
    <w:rsid w:val="00260F33"/>
    <w:rsid w:val="002613BD"/>
    <w:rsid w:val="0026234A"/>
    <w:rsid w:val="002624F1"/>
    <w:rsid w:val="002657D2"/>
    <w:rsid w:val="00267887"/>
    <w:rsid w:val="00270C81"/>
    <w:rsid w:val="00271558"/>
    <w:rsid w:val="00272F5D"/>
    <w:rsid w:val="00274862"/>
    <w:rsid w:val="0027574A"/>
    <w:rsid w:val="00276365"/>
    <w:rsid w:val="00276792"/>
    <w:rsid w:val="00276955"/>
    <w:rsid w:val="00276EF8"/>
    <w:rsid w:val="00281790"/>
    <w:rsid w:val="00281F78"/>
    <w:rsid w:val="00282D72"/>
    <w:rsid w:val="00283402"/>
    <w:rsid w:val="00284CDA"/>
    <w:rsid w:val="00286827"/>
    <w:rsid w:val="00286B8B"/>
    <w:rsid w:val="00286C7E"/>
    <w:rsid w:val="002870CF"/>
    <w:rsid w:val="00287D85"/>
    <w:rsid w:val="00290FD6"/>
    <w:rsid w:val="00291C0C"/>
    <w:rsid w:val="00292F6D"/>
    <w:rsid w:val="00294259"/>
    <w:rsid w:val="00294AD7"/>
    <w:rsid w:val="002953E9"/>
    <w:rsid w:val="002A28A5"/>
    <w:rsid w:val="002A2C81"/>
    <w:rsid w:val="002B0A10"/>
    <w:rsid w:val="002B3D1A"/>
    <w:rsid w:val="002B40F4"/>
    <w:rsid w:val="002C1E0B"/>
    <w:rsid w:val="002C251A"/>
    <w:rsid w:val="002C27D0"/>
    <w:rsid w:val="002C2C9B"/>
    <w:rsid w:val="002C3C36"/>
    <w:rsid w:val="002C4F5E"/>
    <w:rsid w:val="002C73B0"/>
    <w:rsid w:val="002C7E24"/>
    <w:rsid w:val="002D0E8D"/>
    <w:rsid w:val="002D0FA3"/>
    <w:rsid w:val="002D17D6"/>
    <w:rsid w:val="002D18D7"/>
    <w:rsid w:val="002D21CE"/>
    <w:rsid w:val="002D3724"/>
    <w:rsid w:val="002D6125"/>
    <w:rsid w:val="002D6BFA"/>
    <w:rsid w:val="002D6EB5"/>
    <w:rsid w:val="002E0DB4"/>
    <w:rsid w:val="002E203C"/>
    <w:rsid w:val="002E22ED"/>
    <w:rsid w:val="002E320C"/>
    <w:rsid w:val="002E3749"/>
    <w:rsid w:val="002E3DA3"/>
    <w:rsid w:val="002E450F"/>
    <w:rsid w:val="002E6B38"/>
    <w:rsid w:val="002E6D63"/>
    <w:rsid w:val="002E6E2B"/>
    <w:rsid w:val="002F23B8"/>
    <w:rsid w:val="002F31F0"/>
    <w:rsid w:val="002F4E47"/>
    <w:rsid w:val="002F500B"/>
    <w:rsid w:val="002F543D"/>
    <w:rsid w:val="002F729E"/>
    <w:rsid w:val="0030096A"/>
    <w:rsid w:val="00300991"/>
    <w:rsid w:val="00301959"/>
    <w:rsid w:val="0030520E"/>
    <w:rsid w:val="00305AD2"/>
    <w:rsid w:val="00305ADF"/>
    <w:rsid w:val="00305B8A"/>
    <w:rsid w:val="00310203"/>
    <w:rsid w:val="0031188C"/>
    <w:rsid w:val="00312548"/>
    <w:rsid w:val="00317E4C"/>
    <w:rsid w:val="00317E80"/>
    <w:rsid w:val="00320893"/>
    <w:rsid w:val="00323BD0"/>
    <w:rsid w:val="00324021"/>
    <w:rsid w:val="00324A46"/>
    <w:rsid w:val="00324B5A"/>
    <w:rsid w:val="00326772"/>
    <w:rsid w:val="00331BF9"/>
    <w:rsid w:val="00333A5B"/>
    <w:rsid w:val="00333CCF"/>
    <w:rsid w:val="0033495E"/>
    <w:rsid w:val="00334A79"/>
    <w:rsid w:val="00334D8D"/>
    <w:rsid w:val="00335B11"/>
    <w:rsid w:val="00335FDD"/>
    <w:rsid w:val="00336A46"/>
    <w:rsid w:val="00337345"/>
    <w:rsid w:val="00337DD2"/>
    <w:rsid w:val="00337DFF"/>
    <w:rsid w:val="003404D1"/>
    <w:rsid w:val="003443FF"/>
    <w:rsid w:val="003447D4"/>
    <w:rsid w:val="00345DDB"/>
    <w:rsid w:val="00352535"/>
    <w:rsid w:val="003525F3"/>
    <w:rsid w:val="00352ACE"/>
    <w:rsid w:val="00355808"/>
    <w:rsid w:val="00356976"/>
    <w:rsid w:val="00356AE6"/>
    <w:rsid w:val="003605E8"/>
    <w:rsid w:val="0036241E"/>
    <w:rsid w:val="00362C7E"/>
    <w:rsid w:val="00363309"/>
    <w:rsid w:val="00363601"/>
    <w:rsid w:val="00364670"/>
    <w:rsid w:val="00372FFC"/>
    <w:rsid w:val="0037372F"/>
    <w:rsid w:val="00374832"/>
    <w:rsid w:val="00375288"/>
    <w:rsid w:val="00375FD2"/>
    <w:rsid w:val="00376AC9"/>
    <w:rsid w:val="00382C5C"/>
    <w:rsid w:val="003905EA"/>
    <w:rsid w:val="00391D5B"/>
    <w:rsid w:val="00391DBC"/>
    <w:rsid w:val="00393032"/>
    <w:rsid w:val="00394B69"/>
    <w:rsid w:val="00395D62"/>
    <w:rsid w:val="00397078"/>
    <w:rsid w:val="003A09B5"/>
    <w:rsid w:val="003A330F"/>
    <w:rsid w:val="003A3984"/>
    <w:rsid w:val="003A6953"/>
    <w:rsid w:val="003A7E91"/>
    <w:rsid w:val="003B105A"/>
    <w:rsid w:val="003B16AE"/>
    <w:rsid w:val="003B1889"/>
    <w:rsid w:val="003B1BD0"/>
    <w:rsid w:val="003B375E"/>
    <w:rsid w:val="003B6083"/>
    <w:rsid w:val="003C1191"/>
    <w:rsid w:val="003C1AC0"/>
    <w:rsid w:val="003C24F5"/>
    <w:rsid w:val="003C3838"/>
    <w:rsid w:val="003C5847"/>
    <w:rsid w:val="003D023B"/>
    <w:rsid w:val="003D0681"/>
    <w:rsid w:val="003D0A7B"/>
    <w:rsid w:val="003D12AC"/>
    <w:rsid w:val="003D12F6"/>
    <w:rsid w:val="003D1426"/>
    <w:rsid w:val="003D1E1C"/>
    <w:rsid w:val="003D3C8F"/>
    <w:rsid w:val="003D4F61"/>
    <w:rsid w:val="003D67E1"/>
    <w:rsid w:val="003D7B46"/>
    <w:rsid w:val="003E0271"/>
    <w:rsid w:val="003E2357"/>
    <w:rsid w:val="003E2F4E"/>
    <w:rsid w:val="003E44F4"/>
    <w:rsid w:val="003E5795"/>
    <w:rsid w:val="003E616B"/>
    <w:rsid w:val="003E6C46"/>
    <w:rsid w:val="003E720A"/>
    <w:rsid w:val="003F0B9F"/>
    <w:rsid w:val="003F1A80"/>
    <w:rsid w:val="003F1EC2"/>
    <w:rsid w:val="003F2579"/>
    <w:rsid w:val="003F319D"/>
    <w:rsid w:val="003F5634"/>
    <w:rsid w:val="004005B3"/>
    <w:rsid w:val="00400E03"/>
    <w:rsid w:val="00402FC8"/>
    <w:rsid w:val="004038F3"/>
    <w:rsid w:val="00403E6E"/>
    <w:rsid w:val="0040433B"/>
    <w:rsid w:val="004058F6"/>
    <w:rsid w:val="004065D5"/>
    <w:rsid w:val="0040727F"/>
    <w:rsid w:val="004129B4"/>
    <w:rsid w:val="00412D2D"/>
    <w:rsid w:val="00416473"/>
    <w:rsid w:val="00417EF0"/>
    <w:rsid w:val="00420035"/>
    <w:rsid w:val="00421769"/>
    <w:rsid w:val="00421872"/>
    <w:rsid w:val="00422181"/>
    <w:rsid w:val="00422767"/>
    <w:rsid w:val="00423CB0"/>
    <w:rsid w:val="00424472"/>
    <w:rsid w:val="004244A8"/>
    <w:rsid w:val="00425F72"/>
    <w:rsid w:val="00427736"/>
    <w:rsid w:val="004277AC"/>
    <w:rsid w:val="00427B0F"/>
    <w:rsid w:val="00431D6B"/>
    <w:rsid w:val="00431EA4"/>
    <w:rsid w:val="004324A9"/>
    <w:rsid w:val="00435D0E"/>
    <w:rsid w:val="00437548"/>
    <w:rsid w:val="00437D54"/>
    <w:rsid w:val="00441787"/>
    <w:rsid w:val="00441C04"/>
    <w:rsid w:val="00442076"/>
    <w:rsid w:val="004433D2"/>
    <w:rsid w:val="00444F2D"/>
    <w:rsid w:val="00452034"/>
    <w:rsid w:val="00452182"/>
    <w:rsid w:val="00455FA6"/>
    <w:rsid w:val="00457F5F"/>
    <w:rsid w:val="00460FFF"/>
    <w:rsid w:val="00461AD7"/>
    <w:rsid w:val="004630DF"/>
    <w:rsid w:val="0046624D"/>
    <w:rsid w:val="00466C70"/>
    <w:rsid w:val="00467C0F"/>
    <w:rsid w:val="00467F3C"/>
    <w:rsid w:val="004702C9"/>
    <w:rsid w:val="00470357"/>
    <w:rsid w:val="00472E45"/>
    <w:rsid w:val="00473FEA"/>
    <w:rsid w:val="0047579D"/>
    <w:rsid w:val="00475DC8"/>
    <w:rsid w:val="00476BAD"/>
    <w:rsid w:val="00477E77"/>
    <w:rsid w:val="00480766"/>
    <w:rsid w:val="004807D5"/>
    <w:rsid w:val="00480BB4"/>
    <w:rsid w:val="00483262"/>
    <w:rsid w:val="00484107"/>
    <w:rsid w:val="00484A92"/>
    <w:rsid w:val="00485CC5"/>
    <w:rsid w:val="0048679F"/>
    <w:rsid w:val="004908B5"/>
    <w:rsid w:val="004924D2"/>
    <w:rsid w:val="0049343F"/>
    <w:rsid w:val="004964FC"/>
    <w:rsid w:val="004A00CB"/>
    <w:rsid w:val="004A0101"/>
    <w:rsid w:val="004A145E"/>
    <w:rsid w:val="004A15D9"/>
    <w:rsid w:val="004A1670"/>
    <w:rsid w:val="004A1F15"/>
    <w:rsid w:val="004A21C5"/>
    <w:rsid w:val="004A2A81"/>
    <w:rsid w:val="004A30F3"/>
    <w:rsid w:val="004A3873"/>
    <w:rsid w:val="004A39EE"/>
    <w:rsid w:val="004A53C3"/>
    <w:rsid w:val="004A7182"/>
    <w:rsid w:val="004A7BD7"/>
    <w:rsid w:val="004B034D"/>
    <w:rsid w:val="004B27AE"/>
    <w:rsid w:val="004B3CB1"/>
    <w:rsid w:val="004C09E3"/>
    <w:rsid w:val="004C15C2"/>
    <w:rsid w:val="004C2665"/>
    <w:rsid w:val="004C36D8"/>
    <w:rsid w:val="004C56BF"/>
    <w:rsid w:val="004C7411"/>
    <w:rsid w:val="004D1248"/>
    <w:rsid w:val="004D1E3C"/>
    <w:rsid w:val="004D2482"/>
    <w:rsid w:val="004D4169"/>
    <w:rsid w:val="004D4648"/>
    <w:rsid w:val="004D5634"/>
    <w:rsid w:val="004D598F"/>
    <w:rsid w:val="004D643B"/>
    <w:rsid w:val="004D6E14"/>
    <w:rsid w:val="004E0448"/>
    <w:rsid w:val="004E1D72"/>
    <w:rsid w:val="004E4132"/>
    <w:rsid w:val="004E7047"/>
    <w:rsid w:val="004E70D7"/>
    <w:rsid w:val="004F0C95"/>
    <w:rsid w:val="004F4B61"/>
    <w:rsid w:val="004F4E17"/>
    <w:rsid w:val="004F5677"/>
    <w:rsid w:val="004F6AFA"/>
    <w:rsid w:val="004F6E38"/>
    <w:rsid w:val="0050082F"/>
    <w:rsid w:val="00500B86"/>
    <w:rsid w:val="00500C56"/>
    <w:rsid w:val="00501713"/>
    <w:rsid w:val="0050248B"/>
    <w:rsid w:val="00504B62"/>
    <w:rsid w:val="00505BF0"/>
    <w:rsid w:val="00506063"/>
    <w:rsid w:val="00506568"/>
    <w:rsid w:val="005117D6"/>
    <w:rsid w:val="005122D1"/>
    <w:rsid w:val="00512B14"/>
    <w:rsid w:val="00514357"/>
    <w:rsid w:val="0051551B"/>
    <w:rsid w:val="00520C57"/>
    <w:rsid w:val="0052109B"/>
    <w:rsid w:val="00521D7B"/>
    <w:rsid w:val="00522A37"/>
    <w:rsid w:val="00522D94"/>
    <w:rsid w:val="00523D7A"/>
    <w:rsid w:val="00524DF4"/>
    <w:rsid w:val="0052522F"/>
    <w:rsid w:val="00525646"/>
    <w:rsid w:val="00527045"/>
    <w:rsid w:val="005307CC"/>
    <w:rsid w:val="00530B83"/>
    <w:rsid w:val="00530D2C"/>
    <w:rsid w:val="005319E8"/>
    <w:rsid w:val="00533D89"/>
    <w:rsid w:val="005342F3"/>
    <w:rsid w:val="00534E08"/>
    <w:rsid w:val="00535074"/>
    <w:rsid w:val="00536564"/>
    <w:rsid w:val="00544597"/>
    <w:rsid w:val="00544FFE"/>
    <w:rsid w:val="00545ABA"/>
    <w:rsid w:val="005473F5"/>
    <w:rsid w:val="005477E7"/>
    <w:rsid w:val="005510FF"/>
    <w:rsid w:val="0055262B"/>
    <w:rsid w:val="00552794"/>
    <w:rsid w:val="00552A1E"/>
    <w:rsid w:val="00552A7C"/>
    <w:rsid w:val="0055355D"/>
    <w:rsid w:val="00553EBB"/>
    <w:rsid w:val="00563199"/>
    <w:rsid w:val="0056402A"/>
    <w:rsid w:val="00564874"/>
    <w:rsid w:val="005657DC"/>
    <w:rsid w:val="0056619B"/>
    <w:rsid w:val="00567963"/>
    <w:rsid w:val="0057009A"/>
    <w:rsid w:val="00571260"/>
    <w:rsid w:val="0057189C"/>
    <w:rsid w:val="00573FB2"/>
    <w:rsid w:val="00573FC1"/>
    <w:rsid w:val="005741EE"/>
    <w:rsid w:val="005749A0"/>
    <w:rsid w:val="0057668E"/>
    <w:rsid w:val="005802C2"/>
    <w:rsid w:val="00580311"/>
    <w:rsid w:val="00580EC4"/>
    <w:rsid w:val="00581A9F"/>
    <w:rsid w:val="00586B84"/>
    <w:rsid w:val="00587FBA"/>
    <w:rsid w:val="005900FE"/>
    <w:rsid w:val="00595BE8"/>
    <w:rsid w:val="00595E83"/>
    <w:rsid w:val="00596530"/>
    <w:rsid w:val="005967F3"/>
    <w:rsid w:val="005A06DF"/>
    <w:rsid w:val="005A3482"/>
    <w:rsid w:val="005A3488"/>
    <w:rsid w:val="005A37E5"/>
    <w:rsid w:val="005A4893"/>
    <w:rsid w:val="005A5527"/>
    <w:rsid w:val="005A5AE6"/>
    <w:rsid w:val="005B0217"/>
    <w:rsid w:val="005B0219"/>
    <w:rsid w:val="005B1206"/>
    <w:rsid w:val="005B3009"/>
    <w:rsid w:val="005B37E8"/>
    <w:rsid w:val="005B4B87"/>
    <w:rsid w:val="005C0056"/>
    <w:rsid w:val="005C0069"/>
    <w:rsid w:val="005D15ED"/>
    <w:rsid w:val="005D267F"/>
    <w:rsid w:val="005D4FF4"/>
    <w:rsid w:val="005D61D6"/>
    <w:rsid w:val="005D755F"/>
    <w:rsid w:val="005E0D13"/>
    <w:rsid w:val="005E100A"/>
    <w:rsid w:val="005E16FE"/>
    <w:rsid w:val="005E5047"/>
    <w:rsid w:val="005E5680"/>
    <w:rsid w:val="005E7205"/>
    <w:rsid w:val="005E7371"/>
    <w:rsid w:val="005F116C"/>
    <w:rsid w:val="005F154E"/>
    <w:rsid w:val="005F2131"/>
    <w:rsid w:val="005F3B82"/>
    <w:rsid w:val="005F552C"/>
    <w:rsid w:val="005F676D"/>
    <w:rsid w:val="00600E07"/>
    <w:rsid w:val="00605EF6"/>
    <w:rsid w:val="00606455"/>
    <w:rsid w:val="00606F58"/>
    <w:rsid w:val="006120B5"/>
    <w:rsid w:val="00612929"/>
    <w:rsid w:val="00614929"/>
    <w:rsid w:val="00615DE7"/>
    <w:rsid w:val="00616511"/>
    <w:rsid w:val="006172C7"/>
    <w:rsid w:val="006176ED"/>
    <w:rsid w:val="00617F69"/>
    <w:rsid w:val="006202F3"/>
    <w:rsid w:val="0062097A"/>
    <w:rsid w:val="00620AE0"/>
    <w:rsid w:val="00621C9C"/>
    <w:rsid w:val="00621DA6"/>
    <w:rsid w:val="00623710"/>
    <w:rsid w:val="00623CFE"/>
    <w:rsid w:val="00625D5F"/>
    <w:rsid w:val="00626269"/>
    <w:rsid w:val="00626B6F"/>
    <w:rsid w:val="00627221"/>
    <w:rsid w:val="00627EE8"/>
    <w:rsid w:val="006316FA"/>
    <w:rsid w:val="006370D2"/>
    <w:rsid w:val="0064038C"/>
    <w:rsid w:val="0064070B"/>
    <w:rsid w:val="0064074C"/>
    <w:rsid w:val="0064074F"/>
    <w:rsid w:val="00641F55"/>
    <w:rsid w:val="0064495F"/>
    <w:rsid w:val="00645E4A"/>
    <w:rsid w:val="0064683C"/>
    <w:rsid w:val="006479E5"/>
    <w:rsid w:val="00647C5C"/>
    <w:rsid w:val="00651563"/>
    <w:rsid w:val="00652923"/>
    <w:rsid w:val="00653688"/>
    <w:rsid w:val="00653A7D"/>
    <w:rsid w:val="00654C18"/>
    <w:rsid w:val="0066091B"/>
    <w:rsid w:val="00661587"/>
    <w:rsid w:val="006631BB"/>
    <w:rsid w:val="006660E9"/>
    <w:rsid w:val="00666574"/>
    <w:rsid w:val="006669F2"/>
    <w:rsid w:val="00667249"/>
    <w:rsid w:val="00667389"/>
    <w:rsid w:val="00667558"/>
    <w:rsid w:val="0067011E"/>
    <w:rsid w:val="00670C70"/>
    <w:rsid w:val="00671523"/>
    <w:rsid w:val="00671BD0"/>
    <w:rsid w:val="00671D24"/>
    <w:rsid w:val="00671FBB"/>
    <w:rsid w:val="006728D3"/>
    <w:rsid w:val="006754EF"/>
    <w:rsid w:val="00676C8D"/>
    <w:rsid w:val="00676F1F"/>
    <w:rsid w:val="00677381"/>
    <w:rsid w:val="00677414"/>
    <w:rsid w:val="00677476"/>
    <w:rsid w:val="00677C90"/>
    <w:rsid w:val="006812BD"/>
    <w:rsid w:val="00681ECE"/>
    <w:rsid w:val="006832CF"/>
    <w:rsid w:val="00683BDA"/>
    <w:rsid w:val="0068601E"/>
    <w:rsid w:val="00687384"/>
    <w:rsid w:val="00690092"/>
    <w:rsid w:val="00690DF1"/>
    <w:rsid w:val="00692492"/>
    <w:rsid w:val="0069486B"/>
    <w:rsid w:val="00696CFA"/>
    <w:rsid w:val="006A2A45"/>
    <w:rsid w:val="006A3510"/>
    <w:rsid w:val="006A4636"/>
    <w:rsid w:val="006A4904"/>
    <w:rsid w:val="006A548F"/>
    <w:rsid w:val="006A701A"/>
    <w:rsid w:val="006B1E25"/>
    <w:rsid w:val="006B1FAE"/>
    <w:rsid w:val="006B3B15"/>
    <w:rsid w:val="006B3DCC"/>
    <w:rsid w:val="006B4D81"/>
    <w:rsid w:val="006B4F01"/>
    <w:rsid w:val="006B64DC"/>
    <w:rsid w:val="006B7A91"/>
    <w:rsid w:val="006C1746"/>
    <w:rsid w:val="006C4429"/>
    <w:rsid w:val="006C44F2"/>
    <w:rsid w:val="006C4563"/>
    <w:rsid w:val="006C61C6"/>
    <w:rsid w:val="006C6AAA"/>
    <w:rsid w:val="006C7B0C"/>
    <w:rsid w:val="006D1226"/>
    <w:rsid w:val="006D44B2"/>
    <w:rsid w:val="006D4704"/>
    <w:rsid w:val="006D50B4"/>
    <w:rsid w:val="006D63BA"/>
    <w:rsid w:val="006D669B"/>
    <w:rsid w:val="006D6A2D"/>
    <w:rsid w:val="006E1E18"/>
    <w:rsid w:val="006E31CE"/>
    <w:rsid w:val="006E34D3"/>
    <w:rsid w:val="006E504E"/>
    <w:rsid w:val="006E7C2C"/>
    <w:rsid w:val="006F1435"/>
    <w:rsid w:val="006F2EC1"/>
    <w:rsid w:val="006F3525"/>
    <w:rsid w:val="006F61F7"/>
    <w:rsid w:val="006F78C4"/>
    <w:rsid w:val="00700963"/>
    <w:rsid w:val="007031A0"/>
    <w:rsid w:val="00704A42"/>
    <w:rsid w:val="00704D43"/>
    <w:rsid w:val="00705A29"/>
    <w:rsid w:val="00705A50"/>
    <w:rsid w:val="00707498"/>
    <w:rsid w:val="00707878"/>
    <w:rsid w:val="00711A65"/>
    <w:rsid w:val="007122BD"/>
    <w:rsid w:val="00714133"/>
    <w:rsid w:val="007142DA"/>
    <w:rsid w:val="007147CF"/>
    <w:rsid w:val="00714DA4"/>
    <w:rsid w:val="0071507B"/>
    <w:rsid w:val="007158B2"/>
    <w:rsid w:val="00716081"/>
    <w:rsid w:val="0072065B"/>
    <w:rsid w:val="007216A9"/>
    <w:rsid w:val="00721B78"/>
    <w:rsid w:val="00722B48"/>
    <w:rsid w:val="00724164"/>
    <w:rsid w:val="007242A4"/>
    <w:rsid w:val="00725DE7"/>
    <w:rsid w:val="0072636A"/>
    <w:rsid w:val="00726B44"/>
    <w:rsid w:val="00726F0D"/>
    <w:rsid w:val="007318DD"/>
    <w:rsid w:val="00733167"/>
    <w:rsid w:val="0073639D"/>
    <w:rsid w:val="00736A65"/>
    <w:rsid w:val="00740D2C"/>
    <w:rsid w:val="00742CEA"/>
    <w:rsid w:val="00744BF9"/>
    <w:rsid w:val="00745F8A"/>
    <w:rsid w:val="00746159"/>
    <w:rsid w:val="00747A5E"/>
    <w:rsid w:val="00747CB1"/>
    <w:rsid w:val="007510E7"/>
    <w:rsid w:val="00751B91"/>
    <w:rsid w:val="0075256D"/>
    <w:rsid w:val="00752619"/>
    <w:rsid w:val="00752623"/>
    <w:rsid w:val="007542F4"/>
    <w:rsid w:val="00754797"/>
    <w:rsid w:val="00754810"/>
    <w:rsid w:val="007568FF"/>
    <w:rsid w:val="00756FE3"/>
    <w:rsid w:val="00760F1F"/>
    <w:rsid w:val="00762219"/>
    <w:rsid w:val="00762D69"/>
    <w:rsid w:val="0076423E"/>
    <w:rsid w:val="007646CB"/>
    <w:rsid w:val="0076658F"/>
    <w:rsid w:val="00766B7F"/>
    <w:rsid w:val="00767CA6"/>
    <w:rsid w:val="0077040A"/>
    <w:rsid w:val="0077148E"/>
    <w:rsid w:val="00772A01"/>
    <w:rsid w:val="00772D64"/>
    <w:rsid w:val="00772DB7"/>
    <w:rsid w:val="00775749"/>
    <w:rsid w:val="00775CEA"/>
    <w:rsid w:val="007768DB"/>
    <w:rsid w:val="00776D74"/>
    <w:rsid w:val="00781788"/>
    <w:rsid w:val="00783662"/>
    <w:rsid w:val="0078419A"/>
    <w:rsid w:val="00791262"/>
    <w:rsid w:val="0079153C"/>
    <w:rsid w:val="00792609"/>
    <w:rsid w:val="00792887"/>
    <w:rsid w:val="007929EE"/>
    <w:rsid w:val="007941B2"/>
    <w:rsid w:val="007943E2"/>
    <w:rsid w:val="00794F2C"/>
    <w:rsid w:val="007A0329"/>
    <w:rsid w:val="007A251F"/>
    <w:rsid w:val="007A3AD2"/>
    <w:rsid w:val="007A3BC7"/>
    <w:rsid w:val="007A5AC4"/>
    <w:rsid w:val="007A6F5D"/>
    <w:rsid w:val="007B0FDD"/>
    <w:rsid w:val="007B18D3"/>
    <w:rsid w:val="007B1B6C"/>
    <w:rsid w:val="007B4802"/>
    <w:rsid w:val="007B48FB"/>
    <w:rsid w:val="007B6668"/>
    <w:rsid w:val="007B6B33"/>
    <w:rsid w:val="007B6EAF"/>
    <w:rsid w:val="007C1B9B"/>
    <w:rsid w:val="007C2656"/>
    <w:rsid w:val="007C2701"/>
    <w:rsid w:val="007C4511"/>
    <w:rsid w:val="007D0564"/>
    <w:rsid w:val="007D2192"/>
    <w:rsid w:val="007D2FBD"/>
    <w:rsid w:val="007D4243"/>
    <w:rsid w:val="007D6DA9"/>
    <w:rsid w:val="007D77FE"/>
    <w:rsid w:val="007D7DEA"/>
    <w:rsid w:val="007E21AB"/>
    <w:rsid w:val="007E3289"/>
    <w:rsid w:val="007E7FC4"/>
    <w:rsid w:val="007F0021"/>
    <w:rsid w:val="007F2F52"/>
    <w:rsid w:val="007F38D9"/>
    <w:rsid w:val="007F4175"/>
    <w:rsid w:val="007F6A07"/>
    <w:rsid w:val="00800AB3"/>
    <w:rsid w:val="00800F31"/>
    <w:rsid w:val="00801F71"/>
    <w:rsid w:val="00805F28"/>
    <w:rsid w:val="00805F8E"/>
    <w:rsid w:val="00806E95"/>
    <w:rsid w:val="0080749F"/>
    <w:rsid w:val="00810356"/>
    <w:rsid w:val="00811D46"/>
    <w:rsid w:val="008125B0"/>
    <w:rsid w:val="008144CB"/>
    <w:rsid w:val="008146B7"/>
    <w:rsid w:val="00815313"/>
    <w:rsid w:val="008167A4"/>
    <w:rsid w:val="00817DAC"/>
    <w:rsid w:val="00820689"/>
    <w:rsid w:val="00821717"/>
    <w:rsid w:val="00824210"/>
    <w:rsid w:val="00825AA2"/>
    <w:rsid w:val="0082614E"/>
    <w:rsid w:val="008263C0"/>
    <w:rsid w:val="00826B8A"/>
    <w:rsid w:val="00827B21"/>
    <w:rsid w:val="00830761"/>
    <w:rsid w:val="008312AE"/>
    <w:rsid w:val="0083247A"/>
    <w:rsid w:val="008326F7"/>
    <w:rsid w:val="0083504D"/>
    <w:rsid w:val="00835402"/>
    <w:rsid w:val="00835DC8"/>
    <w:rsid w:val="00837FCA"/>
    <w:rsid w:val="008403F3"/>
    <w:rsid w:val="00841413"/>
    <w:rsid w:val="00841422"/>
    <w:rsid w:val="00841D3B"/>
    <w:rsid w:val="008427E2"/>
    <w:rsid w:val="0084314C"/>
    <w:rsid w:val="00843171"/>
    <w:rsid w:val="0084435C"/>
    <w:rsid w:val="008454CE"/>
    <w:rsid w:val="008525F9"/>
    <w:rsid w:val="00852FE0"/>
    <w:rsid w:val="00855A49"/>
    <w:rsid w:val="008561F6"/>
    <w:rsid w:val="008568B5"/>
    <w:rsid w:val="008575C3"/>
    <w:rsid w:val="00857FDC"/>
    <w:rsid w:val="00862A55"/>
    <w:rsid w:val="008630C9"/>
    <w:rsid w:val="00863D28"/>
    <w:rsid w:val="008646FF"/>
    <w:rsid w:val="008648C3"/>
    <w:rsid w:val="008652C1"/>
    <w:rsid w:val="00865A77"/>
    <w:rsid w:val="00866D73"/>
    <w:rsid w:val="008670E0"/>
    <w:rsid w:val="0087303F"/>
    <w:rsid w:val="0088045D"/>
    <w:rsid w:val="008808C1"/>
    <w:rsid w:val="00880F26"/>
    <w:rsid w:val="008833D4"/>
    <w:rsid w:val="00887227"/>
    <w:rsid w:val="008911EA"/>
    <w:rsid w:val="00891793"/>
    <w:rsid w:val="008918B5"/>
    <w:rsid w:val="008926F4"/>
    <w:rsid w:val="0089518A"/>
    <w:rsid w:val="00896C2E"/>
    <w:rsid w:val="008971D4"/>
    <w:rsid w:val="00897A9F"/>
    <w:rsid w:val="008A1F7E"/>
    <w:rsid w:val="008A27C7"/>
    <w:rsid w:val="008A2941"/>
    <w:rsid w:val="008A3AAD"/>
    <w:rsid w:val="008A5095"/>
    <w:rsid w:val="008A537D"/>
    <w:rsid w:val="008A5794"/>
    <w:rsid w:val="008A608F"/>
    <w:rsid w:val="008B1A9A"/>
    <w:rsid w:val="008B2520"/>
    <w:rsid w:val="008B2AA3"/>
    <w:rsid w:val="008B32D0"/>
    <w:rsid w:val="008B3DF2"/>
    <w:rsid w:val="008B49F0"/>
    <w:rsid w:val="008B4FE6"/>
    <w:rsid w:val="008B549A"/>
    <w:rsid w:val="008B6C37"/>
    <w:rsid w:val="008B6F1D"/>
    <w:rsid w:val="008B7273"/>
    <w:rsid w:val="008C1476"/>
    <w:rsid w:val="008C4B63"/>
    <w:rsid w:val="008C4D11"/>
    <w:rsid w:val="008C5231"/>
    <w:rsid w:val="008D3A9C"/>
    <w:rsid w:val="008D699E"/>
    <w:rsid w:val="008D6A4F"/>
    <w:rsid w:val="008E1594"/>
    <w:rsid w:val="008E18F7"/>
    <w:rsid w:val="008E1C89"/>
    <w:rsid w:val="008E1E10"/>
    <w:rsid w:val="008E291B"/>
    <w:rsid w:val="008E427B"/>
    <w:rsid w:val="008E4A62"/>
    <w:rsid w:val="008E4F2F"/>
    <w:rsid w:val="008E5C9A"/>
    <w:rsid w:val="008E6AB8"/>
    <w:rsid w:val="008E74B0"/>
    <w:rsid w:val="008F12B1"/>
    <w:rsid w:val="008F2D16"/>
    <w:rsid w:val="008F6CC8"/>
    <w:rsid w:val="008F79AD"/>
    <w:rsid w:val="009008A8"/>
    <w:rsid w:val="0090298A"/>
    <w:rsid w:val="009036EF"/>
    <w:rsid w:val="00904A28"/>
    <w:rsid w:val="00905CB9"/>
    <w:rsid w:val="009060C0"/>
    <w:rsid w:val="009063B0"/>
    <w:rsid w:val="00907106"/>
    <w:rsid w:val="009107FD"/>
    <w:rsid w:val="00910AD8"/>
    <w:rsid w:val="0091137C"/>
    <w:rsid w:val="00911567"/>
    <w:rsid w:val="00911660"/>
    <w:rsid w:val="00917AAE"/>
    <w:rsid w:val="00917C93"/>
    <w:rsid w:val="00920483"/>
    <w:rsid w:val="009212A2"/>
    <w:rsid w:val="009239DF"/>
    <w:rsid w:val="00924496"/>
    <w:rsid w:val="009251A9"/>
    <w:rsid w:val="0092557A"/>
    <w:rsid w:val="0092562E"/>
    <w:rsid w:val="00925F81"/>
    <w:rsid w:val="00927A2D"/>
    <w:rsid w:val="00927E76"/>
    <w:rsid w:val="00930699"/>
    <w:rsid w:val="00931D6A"/>
    <w:rsid w:val="00931F69"/>
    <w:rsid w:val="00934123"/>
    <w:rsid w:val="009341F0"/>
    <w:rsid w:val="00936734"/>
    <w:rsid w:val="0093715F"/>
    <w:rsid w:val="00940322"/>
    <w:rsid w:val="0094187F"/>
    <w:rsid w:val="00942087"/>
    <w:rsid w:val="0094240D"/>
    <w:rsid w:val="00942BDD"/>
    <w:rsid w:val="00943038"/>
    <w:rsid w:val="00947331"/>
    <w:rsid w:val="00952DD0"/>
    <w:rsid w:val="00954643"/>
    <w:rsid w:val="00955774"/>
    <w:rsid w:val="00955935"/>
    <w:rsid w:val="009560B5"/>
    <w:rsid w:val="0095634E"/>
    <w:rsid w:val="00956892"/>
    <w:rsid w:val="009600A7"/>
    <w:rsid w:val="00962724"/>
    <w:rsid w:val="009639D8"/>
    <w:rsid w:val="009703D6"/>
    <w:rsid w:val="0097181B"/>
    <w:rsid w:val="0097574A"/>
    <w:rsid w:val="00976B5E"/>
    <w:rsid w:val="00976DC5"/>
    <w:rsid w:val="009818C7"/>
    <w:rsid w:val="00982DD4"/>
    <w:rsid w:val="00982E9D"/>
    <w:rsid w:val="009841E5"/>
    <w:rsid w:val="0098479F"/>
    <w:rsid w:val="00984A8A"/>
    <w:rsid w:val="0098537B"/>
    <w:rsid w:val="009857B6"/>
    <w:rsid w:val="00985A8D"/>
    <w:rsid w:val="00986610"/>
    <w:rsid w:val="009877DC"/>
    <w:rsid w:val="009905FA"/>
    <w:rsid w:val="009908C6"/>
    <w:rsid w:val="00991F96"/>
    <w:rsid w:val="0099460C"/>
    <w:rsid w:val="00996382"/>
    <w:rsid w:val="00996F0A"/>
    <w:rsid w:val="00997A2E"/>
    <w:rsid w:val="009A1D86"/>
    <w:rsid w:val="009A410C"/>
    <w:rsid w:val="009A54AA"/>
    <w:rsid w:val="009A67BB"/>
    <w:rsid w:val="009A7434"/>
    <w:rsid w:val="009B049C"/>
    <w:rsid w:val="009B11C8"/>
    <w:rsid w:val="009B2BCF"/>
    <w:rsid w:val="009B2FF8"/>
    <w:rsid w:val="009B452C"/>
    <w:rsid w:val="009B5615"/>
    <w:rsid w:val="009B5BA3"/>
    <w:rsid w:val="009B6548"/>
    <w:rsid w:val="009C0C6B"/>
    <w:rsid w:val="009C0EF6"/>
    <w:rsid w:val="009C3F6D"/>
    <w:rsid w:val="009C435D"/>
    <w:rsid w:val="009C79BB"/>
    <w:rsid w:val="009D0027"/>
    <w:rsid w:val="009D02E7"/>
    <w:rsid w:val="009D0655"/>
    <w:rsid w:val="009D1CB2"/>
    <w:rsid w:val="009D33B8"/>
    <w:rsid w:val="009D5973"/>
    <w:rsid w:val="009E1E98"/>
    <w:rsid w:val="009E2438"/>
    <w:rsid w:val="009E3ABE"/>
    <w:rsid w:val="009E3C4B"/>
    <w:rsid w:val="009E4471"/>
    <w:rsid w:val="009E70D9"/>
    <w:rsid w:val="009F0071"/>
    <w:rsid w:val="009F0637"/>
    <w:rsid w:val="009F5053"/>
    <w:rsid w:val="009F59F2"/>
    <w:rsid w:val="009F62A6"/>
    <w:rsid w:val="009F674F"/>
    <w:rsid w:val="009F71E1"/>
    <w:rsid w:val="009F76A4"/>
    <w:rsid w:val="009F799E"/>
    <w:rsid w:val="00A00408"/>
    <w:rsid w:val="00A01075"/>
    <w:rsid w:val="00A02020"/>
    <w:rsid w:val="00A056CB"/>
    <w:rsid w:val="00A07A29"/>
    <w:rsid w:val="00A10FF1"/>
    <w:rsid w:val="00A1148C"/>
    <w:rsid w:val="00A11F44"/>
    <w:rsid w:val="00A1502B"/>
    <w:rsid w:val="00A1506B"/>
    <w:rsid w:val="00A1798D"/>
    <w:rsid w:val="00A17CB2"/>
    <w:rsid w:val="00A20D9C"/>
    <w:rsid w:val="00A20F3D"/>
    <w:rsid w:val="00A23191"/>
    <w:rsid w:val="00A2534F"/>
    <w:rsid w:val="00A2668F"/>
    <w:rsid w:val="00A26CCC"/>
    <w:rsid w:val="00A26F4F"/>
    <w:rsid w:val="00A272EB"/>
    <w:rsid w:val="00A31226"/>
    <w:rsid w:val="00A319C0"/>
    <w:rsid w:val="00A322F0"/>
    <w:rsid w:val="00A3320F"/>
    <w:rsid w:val="00A33471"/>
    <w:rsid w:val="00A33560"/>
    <w:rsid w:val="00A345B3"/>
    <w:rsid w:val="00A34B9A"/>
    <w:rsid w:val="00A364E4"/>
    <w:rsid w:val="00A371A5"/>
    <w:rsid w:val="00A40533"/>
    <w:rsid w:val="00A412B3"/>
    <w:rsid w:val="00A44B91"/>
    <w:rsid w:val="00A450D5"/>
    <w:rsid w:val="00A46925"/>
    <w:rsid w:val="00A46A42"/>
    <w:rsid w:val="00A46D80"/>
    <w:rsid w:val="00A47BDF"/>
    <w:rsid w:val="00A51CD7"/>
    <w:rsid w:val="00A51EFE"/>
    <w:rsid w:val="00A52ADB"/>
    <w:rsid w:val="00A52E67"/>
    <w:rsid w:val="00A530CA"/>
    <w:rsid w:val="00A533E8"/>
    <w:rsid w:val="00A542D9"/>
    <w:rsid w:val="00A54E53"/>
    <w:rsid w:val="00A56E64"/>
    <w:rsid w:val="00A6003A"/>
    <w:rsid w:val="00A602BF"/>
    <w:rsid w:val="00A60914"/>
    <w:rsid w:val="00A609EE"/>
    <w:rsid w:val="00A6188B"/>
    <w:rsid w:val="00A624C3"/>
    <w:rsid w:val="00A62B53"/>
    <w:rsid w:val="00A64474"/>
    <w:rsid w:val="00A64F50"/>
    <w:rsid w:val="00A6641C"/>
    <w:rsid w:val="00A673A8"/>
    <w:rsid w:val="00A7015A"/>
    <w:rsid w:val="00A72AAF"/>
    <w:rsid w:val="00A74480"/>
    <w:rsid w:val="00A767D2"/>
    <w:rsid w:val="00A77616"/>
    <w:rsid w:val="00A80064"/>
    <w:rsid w:val="00A805DA"/>
    <w:rsid w:val="00A811B4"/>
    <w:rsid w:val="00A83449"/>
    <w:rsid w:val="00A838DD"/>
    <w:rsid w:val="00A83BEB"/>
    <w:rsid w:val="00A84861"/>
    <w:rsid w:val="00A8697E"/>
    <w:rsid w:val="00A873E4"/>
    <w:rsid w:val="00A87CDE"/>
    <w:rsid w:val="00A92A7E"/>
    <w:rsid w:val="00A92BAF"/>
    <w:rsid w:val="00A92D25"/>
    <w:rsid w:val="00A94737"/>
    <w:rsid w:val="00A94BA3"/>
    <w:rsid w:val="00A95465"/>
    <w:rsid w:val="00A96CBA"/>
    <w:rsid w:val="00AA2D69"/>
    <w:rsid w:val="00AA382A"/>
    <w:rsid w:val="00AA383D"/>
    <w:rsid w:val="00AA3FE7"/>
    <w:rsid w:val="00AA492D"/>
    <w:rsid w:val="00AA4CF1"/>
    <w:rsid w:val="00AA6EF6"/>
    <w:rsid w:val="00AA7DC1"/>
    <w:rsid w:val="00AB079F"/>
    <w:rsid w:val="00AB1ACD"/>
    <w:rsid w:val="00AB277F"/>
    <w:rsid w:val="00AB337A"/>
    <w:rsid w:val="00AB4099"/>
    <w:rsid w:val="00AB449A"/>
    <w:rsid w:val="00AB4896"/>
    <w:rsid w:val="00AC22C6"/>
    <w:rsid w:val="00AC2F4E"/>
    <w:rsid w:val="00AC5F65"/>
    <w:rsid w:val="00AD03A2"/>
    <w:rsid w:val="00AD093B"/>
    <w:rsid w:val="00AD13D3"/>
    <w:rsid w:val="00AD14F9"/>
    <w:rsid w:val="00AD195B"/>
    <w:rsid w:val="00AD206B"/>
    <w:rsid w:val="00AD35D6"/>
    <w:rsid w:val="00AD470C"/>
    <w:rsid w:val="00AD55D4"/>
    <w:rsid w:val="00AD58C5"/>
    <w:rsid w:val="00AE27CB"/>
    <w:rsid w:val="00AE3375"/>
    <w:rsid w:val="00AE36C4"/>
    <w:rsid w:val="00AE472C"/>
    <w:rsid w:val="00AE4BEF"/>
    <w:rsid w:val="00AE5375"/>
    <w:rsid w:val="00AE5A64"/>
    <w:rsid w:val="00AE6CF8"/>
    <w:rsid w:val="00AE72B1"/>
    <w:rsid w:val="00AF0CC5"/>
    <w:rsid w:val="00AF42BF"/>
    <w:rsid w:val="00AF46D3"/>
    <w:rsid w:val="00AF473D"/>
    <w:rsid w:val="00AF4CAC"/>
    <w:rsid w:val="00B007D1"/>
    <w:rsid w:val="00B008A7"/>
    <w:rsid w:val="00B00A05"/>
    <w:rsid w:val="00B02D4F"/>
    <w:rsid w:val="00B03C89"/>
    <w:rsid w:val="00B03D8F"/>
    <w:rsid w:val="00B03E0D"/>
    <w:rsid w:val="00B048DC"/>
    <w:rsid w:val="00B04B47"/>
    <w:rsid w:val="00B054F8"/>
    <w:rsid w:val="00B05B14"/>
    <w:rsid w:val="00B10BA3"/>
    <w:rsid w:val="00B13E89"/>
    <w:rsid w:val="00B15689"/>
    <w:rsid w:val="00B1720E"/>
    <w:rsid w:val="00B2219A"/>
    <w:rsid w:val="00B25CEB"/>
    <w:rsid w:val="00B3299D"/>
    <w:rsid w:val="00B33C33"/>
    <w:rsid w:val="00B33D05"/>
    <w:rsid w:val="00B3581B"/>
    <w:rsid w:val="00B36B81"/>
    <w:rsid w:val="00B36FEE"/>
    <w:rsid w:val="00B37C80"/>
    <w:rsid w:val="00B4138A"/>
    <w:rsid w:val="00B41E35"/>
    <w:rsid w:val="00B42892"/>
    <w:rsid w:val="00B44CB7"/>
    <w:rsid w:val="00B454FC"/>
    <w:rsid w:val="00B4619D"/>
    <w:rsid w:val="00B5092B"/>
    <w:rsid w:val="00B50EAB"/>
    <w:rsid w:val="00B5194E"/>
    <w:rsid w:val="00B51AF5"/>
    <w:rsid w:val="00B5258E"/>
    <w:rsid w:val="00B52889"/>
    <w:rsid w:val="00B531FC"/>
    <w:rsid w:val="00B53598"/>
    <w:rsid w:val="00B5401D"/>
    <w:rsid w:val="00B55347"/>
    <w:rsid w:val="00B55B0C"/>
    <w:rsid w:val="00B56469"/>
    <w:rsid w:val="00B57245"/>
    <w:rsid w:val="00B57E5E"/>
    <w:rsid w:val="00B61F37"/>
    <w:rsid w:val="00B63117"/>
    <w:rsid w:val="00B63EC1"/>
    <w:rsid w:val="00B647B0"/>
    <w:rsid w:val="00B6491B"/>
    <w:rsid w:val="00B64D40"/>
    <w:rsid w:val="00B65D75"/>
    <w:rsid w:val="00B65D8C"/>
    <w:rsid w:val="00B70DB9"/>
    <w:rsid w:val="00B722A6"/>
    <w:rsid w:val="00B73EE4"/>
    <w:rsid w:val="00B752A3"/>
    <w:rsid w:val="00B77190"/>
    <w:rsid w:val="00B77272"/>
    <w:rsid w:val="00B7770F"/>
    <w:rsid w:val="00B77A89"/>
    <w:rsid w:val="00B77B27"/>
    <w:rsid w:val="00B8051F"/>
    <w:rsid w:val="00B8134E"/>
    <w:rsid w:val="00B81AC3"/>
    <w:rsid w:val="00B81B55"/>
    <w:rsid w:val="00B83906"/>
    <w:rsid w:val="00B84613"/>
    <w:rsid w:val="00B87AF0"/>
    <w:rsid w:val="00B9037B"/>
    <w:rsid w:val="00B909B9"/>
    <w:rsid w:val="00B910BD"/>
    <w:rsid w:val="00B926E1"/>
    <w:rsid w:val="00B93834"/>
    <w:rsid w:val="00B9513D"/>
    <w:rsid w:val="00B96104"/>
    <w:rsid w:val="00B96469"/>
    <w:rsid w:val="00BA0608"/>
    <w:rsid w:val="00BA0DA2"/>
    <w:rsid w:val="00BA1EC5"/>
    <w:rsid w:val="00BA28D1"/>
    <w:rsid w:val="00BA2981"/>
    <w:rsid w:val="00BA361A"/>
    <w:rsid w:val="00BA39D5"/>
    <w:rsid w:val="00BA42EE"/>
    <w:rsid w:val="00BA48F9"/>
    <w:rsid w:val="00BA6CBE"/>
    <w:rsid w:val="00BB0DCA"/>
    <w:rsid w:val="00BB1F0D"/>
    <w:rsid w:val="00BB2666"/>
    <w:rsid w:val="00BB327A"/>
    <w:rsid w:val="00BB6B80"/>
    <w:rsid w:val="00BB74B6"/>
    <w:rsid w:val="00BC10F1"/>
    <w:rsid w:val="00BC3773"/>
    <w:rsid w:val="00BC381A"/>
    <w:rsid w:val="00BC49B4"/>
    <w:rsid w:val="00BD00F8"/>
    <w:rsid w:val="00BD0962"/>
    <w:rsid w:val="00BD1E22"/>
    <w:rsid w:val="00BD1EED"/>
    <w:rsid w:val="00BD2659"/>
    <w:rsid w:val="00BD3530"/>
    <w:rsid w:val="00BD3D14"/>
    <w:rsid w:val="00BD537B"/>
    <w:rsid w:val="00BD708D"/>
    <w:rsid w:val="00BE14D6"/>
    <w:rsid w:val="00BE186A"/>
    <w:rsid w:val="00BE3124"/>
    <w:rsid w:val="00BE3405"/>
    <w:rsid w:val="00BE45B7"/>
    <w:rsid w:val="00BF08B7"/>
    <w:rsid w:val="00BF0DA2"/>
    <w:rsid w:val="00BF109C"/>
    <w:rsid w:val="00BF34FA"/>
    <w:rsid w:val="00BF44D8"/>
    <w:rsid w:val="00BF6BB6"/>
    <w:rsid w:val="00BF7271"/>
    <w:rsid w:val="00C004B6"/>
    <w:rsid w:val="00C047A7"/>
    <w:rsid w:val="00C052C0"/>
    <w:rsid w:val="00C05DE5"/>
    <w:rsid w:val="00C1037A"/>
    <w:rsid w:val="00C110C1"/>
    <w:rsid w:val="00C1225F"/>
    <w:rsid w:val="00C137E6"/>
    <w:rsid w:val="00C14416"/>
    <w:rsid w:val="00C1494A"/>
    <w:rsid w:val="00C1538C"/>
    <w:rsid w:val="00C15881"/>
    <w:rsid w:val="00C16E45"/>
    <w:rsid w:val="00C17454"/>
    <w:rsid w:val="00C17846"/>
    <w:rsid w:val="00C20A19"/>
    <w:rsid w:val="00C2275C"/>
    <w:rsid w:val="00C2457B"/>
    <w:rsid w:val="00C33027"/>
    <w:rsid w:val="00C33935"/>
    <w:rsid w:val="00C37667"/>
    <w:rsid w:val="00C37971"/>
    <w:rsid w:val="00C41D00"/>
    <w:rsid w:val="00C435DB"/>
    <w:rsid w:val="00C44C56"/>
    <w:rsid w:val="00C44D73"/>
    <w:rsid w:val="00C4712B"/>
    <w:rsid w:val="00C477D6"/>
    <w:rsid w:val="00C50B42"/>
    <w:rsid w:val="00C516FF"/>
    <w:rsid w:val="00C52BFA"/>
    <w:rsid w:val="00C52CD9"/>
    <w:rsid w:val="00C53D1D"/>
    <w:rsid w:val="00C53F26"/>
    <w:rsid w:val="00C540BC"/>
    <w:rsid w:val="00C54CA6"/>
    <w:rsid w:val="00C56626"/>
    <w:rsid w:val="00C56662"/>
    <w:rsid w:val="00C56C34"/>
    <w:rsid w:val="00C63037"/>
    <w:rsid w:val="00C64ED0"/>
    <w:rsid w:val="00C64F7D"/>
    <w:rsid w:val="00C6692C"/>
    <w:rsid w:val="00C67309"/>
    <w:rsid w:val="00C72732"/>
    <w:rsid w:val="00C7614E"/>
    <w:rsid w:val="00C76AC7"/>
    <w:rsid w:val="00C77BF1"/>
    <w:rsid w:val="00C80D60"/>
    <w:rsid w:val="00C82FBD"/>
    <w:rsid w:val="00C84B46"/>
    <w:rsid w:val="00C850F9"/>
    <w:rsid w:val="00C85267"/>
    <w:rsid w:val="00C8721B"/>
    <w:rsid w:val="00C924C6"/>
    <w:rsid w:val="00C9372C"/>
    <w:rsid w:val="00C9470E"/>
    <w:rsid w:val="00C94D89"/>
    <w:rsid w:val="00C9534E"/>
    <w:rsid w:val="00C95CEB"/>
    <w:rsid w:val="00C9616E"/>
    <w:rsid w:val="00C97B0C"/>
    <w:rsid w:val="00CA1054"/>
    <w:rsid w:val="00CA3DEB"/>
    <w:rsid w:val="00CA63EB"/>
    <w:rsid w:val="00CA6608"/>
    <w:rsid w:val="00CA69F1"/>
    <w:rsid w:val="00CA6CE4"/>
    <w:rsid w:val="00CA7E18"/>
    <w:rsid w:val="00CB1D5B"/>
    <w:rsid w:val="00CB2DAA"/>
    <w:rsid w:val="00CB6441"/>
    <w:rsid w:val="00CB6991"/>
    <w:rsid w:val="00CB6D5F"/>
    <w:rsid w:val="00CC06BD"/>
    <w:rsid w:val="00CC0966"/>
    <w:rsid w:val="00CC16B7"/>
    <w:rsid w:val="00CC3AF2"/>
    <w:rsid w:val="00CC4211"/>
    <w:rsid w:val="00CC5A22"/>
    <w:rsid w:val="00CC60B8"/>
    <w:rsid w:val="00CC6194"/>
    <w:rsid w:val="00CC6305"/>
    <w:rsid w:val="00CC78A5"/>
    <w:rsid w:val="00CD0516"/>
    <w:rsid w:val="00CD31CD"/>
    <w:rsid w:val="00CD43D6"/>
    <w:rsid w:val="00CD756B"/>
    <w:rsid w:val="00CE10BB"/>
    <w:rsid w:val="00CE3B03"/>
    <w:rsid w:val="00CE4362"/>
    <w:rsid w:val="00CE5927"/>
    <w:rsid w:val="00CE6777"/>
    <w:rsid w:val="00CE734F"/>
    <w:rsid w:val="00CE73A9"/>
    <w:rsid w:val="00CE758F"/>
    <w:rsid w:val="00CF112E"/>
    <w:rsid w:val="00CF24C6"/>
    <w:rsid w:val="00CF5F4F"/>
    <w:rsid w:val="00CF6E5F"/>
    <w:rsid w:val="00CF7898"/>
    <w:rsid w:val="00D0034C"/>
    <w:rsid w:val="00D00605"/>
    <w:rsid w:val="00D074C5"/>
    <w:rsid w:val="00D104A5"/>
    <w:rsid w:val="00D11122"/>
    <w:rsid w:val="00D127FE"/>
    <w:rsid w:val="00D14609"/>
    <w:rsid w:val="00D176EC"/>
    <w:rsid w:val="00D2181E"/>
    <w:rsid w:val="00D218DC"/>
    <w:rsid w:val="00D2420F"/>
    <w:rsid w:val="00D24D38"/>
    <w:rsid w:val="00D24E56"/>
    <w:rsid w:val="00D24E5B"/>
    <w:rsid w:val="00D25D42"/>
    <w:rsid w:val="00D26CE2"/>
    <w:rsid w:val="00D30E41"/>
    <w:rsid w:val="00D31643"/>
    <w:rsid w:val="00D31AEB"/>
    <w:rsid w:val="00D32ECD"/>
    <w:rsid w:val="00D337EB"/>
    <w:rsid w:val="00D35000"/>
    <w:rsid w:val="00D35197"/>
    <w:rsid w:val="00D35925"/>
    <w:rsid w:val="00D35D7F"/>
    <w:rsid w:val="00D361E4"/>
    <w:rsid w:val="00D4130C"/>
    <w:rsid w:val="00D42A8F"/>
    <w:rsid w:val="00D439F6"/>
    <w:rsid w:val="00D459C6"/>
    <w:rsid w:val="00D47B70"/>
    <w:rsid w:val="00D50729"/>
    <w:rsid w:val="00D50C19"/>
    <w:rsid w:val="00D51783"/>
    <w:rsid w:val="00D5379E"/>
    <w:rsid w:val="00D54DAD"/>
    <w:rsid w:val="00D62643"/>
    <w:rsid w:val="00D628CC"/>
    <w:rsid w:val="00D6368D"/>
    <w:rsid w:val="00D64C0F"/>
    <w:rsid w:val="00D66781"/>
    <w:rsid w:val="00D67334"/>
    <w:rsid w:val="00D67EBD"/>
    <w:rsid w:val="00D70A80"/>
    <w:rsid w:val="00D71E60"/>
    <w:rsid w:val="00D72EFE"/>
    <w:rsid w:val="00D74923"/>
    <w:rsid w:val="00D76227"/>
    <w:rsid w:val="00D76474"/>
    <w:rsid w:val="00D77180"/>
    <w:rsid w:val="00D77DF1"/>
    <w:rsid w:val="00D84364"/>
    <w:rsid w:val="00D86AFF"/>
    <w:rsid w:val="00D90BD6"/>
    <w:rsid w:val="00D90E50"/>
    <w:rsid w:val="00D9119A"/>
    <w:rsid w:val="00D92B1B"/>
    <w:rsid w:val="00D95A44"/>
    <w:rsid w:val="00D95D16"/>
    <w:rsid w:val="00D97506"/>
    <w:rsid w:val="00D97C76"/>
    <w:rsid w:val="00DA0728"/>
    <w:rsid w:val="00DA2331"/>
    <w:rsid w:val="00DA2E70"/>
    <w:rsid w:val="00DA2E7A"/>
    <w:rsid w:val="00DA3D02"/>
    <w:rsid w:val="00DA4493"/>
    <w:rsid w:val="00DA662B"/>
    <w:rsid w:val="00DB02B4"/>
    <w:rsid w:val="00DB14CB"/>
    <w:rsid w:val="00DB538D"/>
    <w:rsid w:val="00DB67E7"/>
    <w:rsid w:val="00DB7887"/>
    <w:rsid w:val="00DC275C"/>
    <w:rsid w:val="00DC3846"/>
    <w:rsid w:val="00DC4B0D"/>
    <w:rsid w:val="00DC5258"/>
    <w:rsid w:val="00DC5A2E"/>
    <w:rsid w:val="00DC7FE1"/>
    <w:rsid w:val="00DD00FB"/>
    <w:rsid w:val="00DD3F3F"/>
    <w:rsid w:val="00DD5572"/>
    <w:rsid w:val="00DE55EF"/>
    <w:rsid w:val="00DE5D80"/>
    <w:rsid w:val="00DE6B44"/>
    <w:rsid w:val="00DF09DF"/>
    <w:rsid w:val="00DF112C"/>
    <w:rsid w:val="00DF2BD8"/>
    <w:rsid w:val="00DF3154"/>
    <w:rsid w:val="00DF3ED4"/>
    <w:rsid w:val="00DF58CD"/>
    <w:rsid w:val="00DF65DE"/>
    <w:rsid w:val="00DF6A90"/>
    <w:rsid w:val="00DF7E24"/>
    <w:rsid w:val="00E00915"/>
    <w:rsid w:val="00E019A5"/>
    <w:rsid w:val="00E02EC8"/>
    <w:rsid w:val="00E030C9"/>
    <w:rsid w:val="00E037F5"/>
    <w:rsid w:val="00E038CE"/>
    <w:rsid w:val="00E04ECB"/>
    <w:rsid w:val="00E05A09"/>
    <w:rsid w:val="00E06CA1"/>
    <w:rsid w:val="00E112BD"/>
    <w:rsid w:val="00E114DE"/>
    <w:rsid w:val="00E12809"/>
    <w:rsid w:val="00E145A5"/>
    <w:rsid w:val="00E149B2"/>
    <w:rsid w:val="00E171DE"/>
    <w:rsid w:val="00E172B8"/>
    <w:rsid w:val="00E17FB4"/>
    <w:rsid w:val="00E20B75"/>
    <w:rsid w:val="00E214F2"/>
    <w:rsid w:val="00E2363C"/>
    <w:rsid w:val="00E2371E"/>
    <w:rsid w:val="00E24BD7"/>
    <w:rsid w:val="00E26523"/>
    <w:rsid w:val="00E2672A"/>
    <w:rsid w:val="00E267CE"/>
    <w:rsid w:val="00E26809"/>
    <w:rsid w:val="00E315D4"/>
    <w:rsid w:val="00E3412D"/>
    <w:rsid w:val="00E35333"/>
    <w:rsid w:val="00E40619"/>
    <w:rsid w:val="00E40C89"/>
    <w:rsid w:val="00E41C83"/>
    <w:rsid w:val="00E42557"/>
    <w:rsid w:val="00E44EE3"/>
    <w:rsid w:val="00E45668"/>
    <w:rsid w:val="00E47F32"/>
    <w:rsid w:val="00E52AC1"/>
    <w:rsid w:val="00E57322"/>
    <w:rsid w:val="00E607AD"/>
    <w:rsid w:val="00E61723"/>
    <w:rsid w:val="00E62624"/>
    <w:rsid w:val="00E628CB"/>
    <w:rsid w:val="00E62AD9"/>
    <w:rsid w:val="00E63241"/>
    <w:rsid w:val="00E638C8"/>
    <w:rsid w:val="00E677F7"/>
    <w:rsid w:val="00E7005E"/>
    <w:rsid w:val="00E70AB3"/>
    <w:rsid w:val="00E71360"/>
    <w:rsid w:val="00E73AFF"/>
    <w:rsid w:val="00E73F9F"/>
    <w:rsid w:val="00E7509B"/>
    <w:rsid w:val="00E75311"/>
    <w:rsid w:val="00E820F6"/>
    <w:rsid w:val="00E84657"/>
    <w:rsid w:val="00E8642F"/>
    <w:rsid w:val="00E86590"/>
    <w:rsid w:val="00E907FF"/>
    <w:rsid w:val="00E919BD"/>
    <w:rsid w:val="00E960AB"/>
    <w:rsid w:val="00E97734"/>
    <w:rsid w:val="00EA1A95"/>
    <w:rsid w:val="00EA208D"/>
    <w:rsid w:val="00EA42D1"/>
    <w:rsid w:val="00EA42EF"/>
    <w:rsid w:val="00EA5438"/>
    <w:rsid w:val="00EA710B"/>
    <w:rsid w:val="00EB083A"/>
    <w:rsid w:val="00EB159B"/>
    <w:rsid w:val="00EB1B39"/>
    <w:rsid w:val="00EB235A"/>
    <w:rsid w:val="00EB2DD1"/>
    <w:rsid w:val="00EB4B24"/>
    <w:rsid w:val="00EB6B37"/>
    <w:rsid w:val="00EB6D26"/>
    <w:rsid w:val="00EB792D"/>
    <w:rsid w:val="00EC08B6"/>
    <w:rsid w:val="00EC23B4"/>
    <w:rsid w:val="00EC2578"/>
    <w:rsid w:val="00EC29FE"/>
    <w:rsid w:val="00EC302E"/>
    <w:rsid w:val="00EC3C70"/>
    <w:rsid w:val="00EC700E"/>
    <w:rsid w:val="00ED1FE0"/>
    <w:rsid w:val="00ED3A3D"/>
    <w:rsid w:val="00ED538A"/>
    <w:rsid w:val="00ED667D"/>
    <w:rsid w:val="00ED6FBC"/>
    <w:rsid w:val="00ED73A3"/>
    <w:rsid w:val="00ED7B01"/>
    <w:rsid w:val="00EE1105"/>
    <w:rsid w:val="00EE2CF6"/>
    <w:rsid w:val="00EE2F16"/>
    <w:rsid w:val="00EE33B0"/>
    <w:rsid w:val="00EE3861"/>
    <w:rsid w:val="00EE3AAE"/>
    <w:rsid w:val="00EE4CCF"/>
    <w:rsid w:val="00EE4F61"/>
    <w:rsid w:val="00EE7886"/>
    <w:rsid w:val="00EE79D8"/>
    <w:rsid w:val="00EF1186"/>
    <w:rsid w:val="00EF2CB5"/>
    <w:rsid w:val="00EF2E73"/>
    <w:rsid w:val="00EF56A3"/>
    <w:rsid w:val="00EF7683"/>
    <w:rsid w:val="00EF7A2D"/>
    <w:rsid w:val="00F025E8"/>
    <w:rsid w:val="00F04F8D"/>
    <w:rsid w:val="00F067CB"/>
    <w:rsid w:val="00F067F1"/>
    <w:rsid w:val="00F10AD0"/>
    <w:rsid w:val="00F116CC"/>
    <w:rsid w:val="00F1192A"/>
    <w:rsid w:val="00F12355"/>
    <w:rsid w:val="00F12BD1"/>
    <w:rsid w:val="00F15327"/>
    <w:rsid w:val="00F168CF"/>
    <w:rsid w:val="00F22D5F"/>
    <w:rsid w:val="00F24CBD"/>
    <w:rsid w:val="00F2555C"/>
    <w:rsid w:val="00F27492"/>
    <w:rsid w:val="00F31D8B"/>
    <w:rsid w:val="00F31DF3"/>
    <w:rsid w:val="00F33AE5"/>
    <w:rsid w:val="00F33F7C"/>
    <w:rsid w:val="00F3419D"/>
    <w:rsid w:val="00F358B0"/>
    <w:rsid w:val="00F3597D"/>
    <w:rsid w:val="00F36BB1"/>
    <w:rsid w:val="00F36D79"/>
    <w:rsid w:val="00F40A5D"/>
    <w:rsid w:val="00F4376D"/>
    <w:rsid w:val="00F45399"/>
    <w:rsid w:val="00F465EA"/>
    <w:rsid w:val="00F46D49"/>
    <w:rsid w:val="00F50B92"/>
    <w:rsid w:val="00F50C2E"/>
    <w:rsid w:val="00F52A9C"/>
    <w:rsid w:val="00F5302C"/>
    <w:rsid w:val="00F5316D"/>
    <w:rsid w:val="00F54E21"/>
    <w:rsid w:val="00F54E7B"/>
    <w:rsid w:val="00F55A88"/>
    <w:rsid w:val="00F6104D"/>
    <w:rsid w:val="00F6270D"/>
    <w:rsid w:val="00F66111"/>
    <w:rsid w:val="00F732D7"/>
    <w:rsid w:val="00F74005"/>
    <w:rsid w:val="00F76749"/>
    <w:rsid w:val="00F76884"/>
    <w:rsid w:val="00F8196B"/>
    <w:rsid w:val="00F82178"/>
    <w:rsid w:val="00F825D2"/>
    <w:rsid w:val="00F83D24"/>
    <w:rsid w:val="00F83DD9"/>
    <w:rsid w:val="00F83F40"/>
    <w:rsid w:val="00F8752D"/>
    <w:rsid w:val="00F87530"/>
    <w:rsid w:val="00F91EBE"/>
    <w:rsid w:val="00F93EF6"/>
    <w:rsid w:val="00F94391"/>
    <w:rsid w:val="00FA0391"/>
    <w:rsid w:val="00FA117A"/>
    <w:rsid w:val="00FA2056"/>
    <w:rsid w:val="00FA25AD"/>
    <w:rsid w:val="00FA50B1"/>
    <w:rsid w:val="00FA603B"/>
    <w:rsid w:val="00FA7785"/>
    <w:rsid w:val="00FB0439"/>
    <w:rsid w:val="00FB0C3E"/>
    <w:rsid w:val="00FB103D"/>
    <w:rsid w:val="00FB28F5"/>
    <w:rsid w:val="00FB386A"/>
    <w:rsid w:val="00FB38BC"/>
    <w:rsid w:val="00FB43CA"/>
    <w:rsid w:val="00FB484F"/>
    <w:rsid w:val="00FB4CB0"/>
    <w:rsid w:val="00FC0786"/>
    <w:rsid w:val="00FC2982"/>
    <w:rsid w:val="00FC418D"/>
    <w:rsid w:val="00FC49EF"/>
    <w:rsid w:val="00FC6DA3"/>
    <w:rsid w:val="00FD0A2D"/>
    <w:rsid w:val="00FD3111"/>
    <w:rsid w:val="00FD4D0C"/>
    <w:rsid w:val="00FD59A8"/>
    <w:rsid w:val="00FD616F"/>
    <w:rsid w:val="00FE115C"/>
    <w:rsid w:val="00FE36E2"/>
    <w:rsid w:val="00FE7B2E"/>
    <w:rsid w:val="00FF00ED"/>
    <w:rsid w:val="00FF11AD"/>
    <w:rsid w:val="00FF1BFC"/>
    <w:rsid w:val="00FF2971"/>
    <w:rsid w:val="00FF34D4"/>
    <w:rsid w:val="00FF66CC"/>
    <w:rsid w:val="00F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3CFE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locked/>
    <w:rsid w:val="006176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D628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qFormat/>
    <w:locked/>
    <w:rsid w:val="00522D9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64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4702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702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sid w:val="00044739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044739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58C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F58CD"/>
    <w:rPr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unhideWhenUsed/>
    <w:rsid w:val="00DF58CD"/>
    <w:rPr>
      <w:vertAlign w:val="superscript"/>
    </w:rPr>
  </w:style>
  <w:style w:type="paragraph" w:styleId="Akapitzlist">
    <w:name w:val="List Paragraph"/>
    <w:basedOn w:val="Normalny"/>
    <w:uiPriority w:val="72"/>
    <w:qFormat/>
    <w:rsid w:val="0039707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17C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7CB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A17CB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C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17CB2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047A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C047A7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047A7"/>
    <w:rPr>
      <w:vertAlign w:val="superscript"/>
    </w:rPr>
  </w:style>
  <w:style w:type="character" w:styleId="Hipercze">
    <w:name w:val="Hyperlink"/>
    <w:uiPriority w:val="99"/>
    <w:unhideWhenUsed/>
    <w:rsid w:val="0072636A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801F71"/>
    <w:rPr>
      <w:color w:val="800080"/>
      <w:u w:val="singl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E112BD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character" w:customStyle="1" w:styleId="IDindeksdolny">
    <w:name w:val="_ID_ – indeks dolny"/>
    <w:basedOn w:val="Domylnaczcionkaakapitu"/>
    <w:uiPriority w:val="3"/>
    <w:qFormat/>
    <w:rsid w:val="00E112BD"/>
    <w:rPr>
      <w:b w:val="0"/>
      <w:i w:val="0"/>
      <w:vanish w:val="0"/>
      <w:spacing w:val="0"/>
      <w:vertAlign w:val="subscript"/>
    </w:rPr>
  </w:style>
  <w:style w:type="paragraph" w:customStyle="1" w:styleId="ARTartustawynprozporzdzenia">
    <w:name w:val="ART(§) – art. ustawy (§ np. rozporządzenia)"/>
    <w:uiPriority w:val="11"/>
    <w:qFormat/>
    <w:rsid w:val="00A84861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character" w:customStyle="1" w:styleId="Ppogrubienie">
    <w:name w:val="_P_ – pogrubienie"/>
    <w:basedOn w:val="Domylnaczcionkaakapitu"/>
    <w:uiPriority w:val="1"/>
    <w:qFormat/>
    <w:rsid w:val="00B63117"/>
    <w:rPr>
      <w:b/>
    </w:rPr>
  </w:style>
  <w:style w:type="paragraph" w:customStyle="1" w:styleId="PKTpunkt">
    <w:name w:val="PKT – punkt"/>
    <w:uiPriority w:val="13"/>
    <w:qFormat/>
    <w:rsid w:val="000500DE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character" w:customStyle="1" w:styleId="FontStyle26">
    <w:name w:val="Font Style26"/>
    <w:uiPriority w:val="99"/>
    <w:rsid w:val="008E1C89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uiPriority w:val="99"/>
    <w:rsid w:val="00441C04"/>
    <w:rPr>
      <w:rFonts w:ascii="Times New Roman" w:hAnsi="Times New Roman" w:cs="Times New Roman" w:hint="default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0A10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semiHidden/>
    <w:rsid w:val="00D628C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Poprawka">
    <w:name w:val="Revision"/>
    <w:hidden/>
    <w:uiPriority w:val="99"/>
    <w:semiHidden/>
    <w:rsid w:val="00505BF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andra.ostapiuk@mf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aulina.sawa\Desktop\Projekt%20ustawy%20o%20zmianie%20ustawy%20o%20RF\Dane%20i%20analizy\Zeszyt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aulina.sawa\Desktop\Projekt%20ustawy%20o%20zmianie%20ustawy%20o%20RF\Dane%20i%20analizy\Zeszyt1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Zeszyt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Zeszyt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1100" b="1"/>
              <a:t>Udział zawiadomień/sygnałów</a:t>
            </a:r>
            <a:r>
              <a:rPr lang="pl-PL" sz="1100" b="1" baseline="0"/>
              <a:t> </a:t>
            </a:r>
            <a:r>
              <a:rPr lang="en-US" sz="1100" b="1"/>
              <a:t>konsumenckich dot. usług</a:t>
            </a:r>
            <a:r>
              <a:rPr lang="pl-PL" sz="1100" b="1" baseline="0"/>
              <a:t> </a:t>
            </a:r>
            <a:r>
              <a:rPr lang="en-US" sz="1100" b="1"/>
              <a:t>finansowych w ogólnej liczbie zawiadomień/sygnałów</a:t>
            </a:r>
            <a:r>
              <a:rPr lang="pl-PL" sz="1100" b="1" baseline="0"/>
              <a:t> </a:t>
            </a:r>
            <a:r>
              <a:rPr lang="en-US" sz="1100" b="1"/>
              <a:t>konsumenckich wpływających do UOKiK  (w %)</a:t>
            </a:r>
          </a:p>
        </c:rich>
      </c:tx>
      <c:layout>
        <c:manualLayout>
          <c:xMode val="edge"/>
          <c:yMode val="edge"/>
          <c:x val="0.15404182671788311"/>
          <c:y val="3.1496062992125991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Arkusz1!$E$43</c:f>
              <c:strCache>
                <c:ptCount val="1"/>
                <c:pt idx="0">
                  <c:v>Udział zawiadomień/sygnałów
konsumenckich dot. usług
finansowych w ogólnej liczbie zawiadomień/sygnałów
konsumenckich wpływających do UOKiK  (w %)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Arkusz1!$D$44:$D$46</c:f>
              <c:strCache>
                <c:ptCount val="3"/>
                <c:pt idx="0">
                  <c:v>2018</c:v>
                </c:pt>
                <c:pt idx="1">
                  <c:v>2019</c:v>
                </c:pt>
                <c:pt idx="2">
                  <c:v>I poł. 2020</c:v>
                </c:pt>
              </c:strCache>
            </c:strRef>
          </c:cat>
          <c:val>
            <c:numRef>
              <c:f>Arkusz1!$E$44:$E$46</c:f>
              <c:numCache>
                <c:formatCode>General</c:formatCode>
                <c:ptCount val="3"/>
                <c:pt idx="0">
                  <c:v>16.399999999999999</c:v>
                </c:pt>
                <c:pt idx="1">
                  <c:v>22.2</c:v>
                </c:pt>
                <c:pt idx="2">
                  <c:v>19.2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86F-4454-9BBC-16FEABD13B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98836600"/>
        <c:axId val="395549264"/>
      </c:barChart>
      <c:catAx>
        <c:axId val="398836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395549264"/>
        <c:crosses val="autoZero"/>
        <c:auto val="1"/>
        <c:lblAlgn val="ctr"/>
        <c:lblOffset val="100"/>
        <c:noMultiLvlLbl val="0"/>
      </c:catAx>
      <c:valAx>
        <c:axId val="395549264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398836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Arkusz1!$B$9</c:f>
              <c:strCache>
                <c:ptCount val="1"/>
                <c:pt idx="0">
                  <c:v>Koszty fukcjonowania Rzecznika Finansowego i jego Biura (w mln zł)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Arkusz1!$A$10:$A$14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Arkusz1!$B$10:$B$14</c:f>
              <c:numCache>
                <c:formatCode>0.00</c:formatCode>
                <c:ptCount val="5"/>
                <c:pt idx="0">
                  <c:v>10.594000000000001</c:v>
                </c:pt>
                <c:pt idx="1">
                  <c:v>14.937000000000001</c:v>
                </c:pt>
                <c:pt idx="2">
                  <c:v>16.239999999999991</c:v>
                </c:pt>
                <c:pt idx="3">
                  <c:v>18.689</c:v>
                </c:pt>
                <c:pt idx="4">
                  <c:v>31.06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531-4EC2-8172-D2506C3620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8414776"/>
        <c:axId val="400915832"/>
      </c:barChart>
      <c:catAx>
        <c:axId val="308414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400915832"/>
        <c:crosses val="autoZero"/>
        <c:auto val="1"/>
        <c:lblAlgn val="ctr"/>
        <c:lblOffset val="100"/>
        <c:noMultiLvlLbl val="0"/>
      </c:catAx>
      <c:valAx>
        <c:axId val="400915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3084147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pl-P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Liczba wniosków o wszczęcie pozasądowych postępowań mających na celu rozwiązanie sporu klienta
rynku finansowego z podmiotem rynku finansowego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Arkusz1!$A$2:$A$5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Arkusz1!$B$2:$B$5</c:f>
              <c:numCache>
                <c:formatCode>General</c:formatCode>
                <c:ptCount val="4"/>
                <c:pt idx="0">
                  <c:v>2388</c:v>
                </c:pt>
                <c:pt idx="1">
                  <c:v>3741</c:v>
                </c:pt>
                <c:pt idx="2">
                  <c:v>4014</c:v>
                </c:pt>
                <c:pt idx="3">
                  <c:v>2732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40-4CFA-A95C-89D0E9FB6B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0915048"/>
        <c:axId val="400917008"/>
      </c:barChart>
      <c:catAx>
        <c:axId val="400915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400917008"/>
        <c:crosses val="autoZero"/>
        <c:auto val="1"/>
        <c:lblAlgn val="ctr"/>
        <c:lblOffset val="100"/>
        <c:noMultiLvlLbl val="0"/>
      </c:catAx>
      <c:valAx>
        <c:axId val="400917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4009150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Liczba wniosków o wszczęcie pozasądowych postępowań mających na celu rozwiązanie sporu klienta
rynku finansowego z podmiotem rynku finansowego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Arkusz1!$A$2:$A$5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Arkusz1!$B$2:$B$5</c:f>
              <c:numCache>
                <c:formatCode>General</c:formatCode>
                <c:ptCount val="4"/>
                <c:pt idx="0">
                  <c:v>2388</c:v>
                </c:pt>
                <c:pt idx="1">
                  <c:v>3741</c:v>
                </c:pt>
                <c:pt idx="2">
                  <c:v>4014</c:v>
                </c:pt>
                <c:pt idx="3">
                  <c:v>2732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E71-4B70-B9F2-07C4D2D92B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0914264"/>
        <c:axId val="400913872"/>
      </c:barChart>
      <c:catAx>
        <c:axId val="400914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400913872"/>
        <c:crosses val="autoZero"/>
        <c:auto val="1"/>
        <c:lblAlgn val="ctr"/>
        <c:lblOffset val="100"/>
        <c:noMultiLvlLbl val="0"/>
      </c:catAx>
      <c:valAx>
        <c:axId val="400913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4009142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pl-PL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DB161-9CCB-439B-A957-647683842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4048</Words>
  <Characters>24293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28285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2020-10-01T07:58:00Z</dcterms:created>
  <dcterms:modified xsi:type="dcterms:W3CDTF">2020-10-01T07:58:00Z</dcterms:modified>
</cp:coreProperties>
</file>