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0A3" w:rsidRDefault="00FA0E0B">
      <w:pPr>
        <w:pStyle w:val="Pagedecouverture"/>
        <w:rPr>
          <w:noProof/>
        </w:rPr>
      </w:pPr>
      <w:bookmarkStart w:id="0" w:name="LW_BM_COVERPAGE"/>
      <w:bookmarkStart w:id="1" w:name="_GoBack"/>
      <w:bookmarkEnd w:id="1"/>
      <w:r>
        <w:rPr>
          <w:noProof/>
          <w:lang w:eastAsia="pl-PL"/>
        </w:rPr>
        <w:drawing>
          <wp:inline distT="0" distB="0" distL="0" distR="0">
            <wp:extent cx="5720715" cy="4239895"/>
            <wp:effectExtent l="0" t="0" r="0" b="0"/>
            <wp:docPr id="1" name="Obraz 1" descr="F9F647D8-A9F2-4BD6-BC51-64DB44ADB6C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9F647D8-A9F2-4BD6-BC51-64DB44ADB6C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0715" cy="423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:rsidR="00B730A3" w:rsidRDefault="00B730A3">
      <w:pPr>
        <w:rPr>
          <w:noProof/>
        </w:rPr>
        <w:sectPr w:rsidR="00B730A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 w:rsidR="00B730A3" w:rsidRDefault="00FA0E0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lastRenderedPageBreak/>
        <w:t>Wprowadzenie</w:t>
      </w:r>
    </w:p>
    <w:p w:rsidR="00B730A3" w:rsidRDefault="00FA0E0B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>Pandemia COVID-19 zepchnęła świat w nagłą i głęboką recesję.</w:t>
      </w:r>
      <w:r>
        <w:rPr>
          <w:rFonts w:ascii="Times New Roman" w:hAnsi="Times New Roman"/>
          <w:noProof/>
          <w:sz w:val="24"/>
          <w:szCs w:val="24"/>
        </w:rPr>
        <w:t xml:space="preserve"> Pomimo zdecydowanej, skoordynowanej i innowacyjnej reakcji na szczeblu krajowym i unijnym pozostaje wiele niejasności; w szczególności, jak długo będzie trwał ten kryzys i w jaki dokładnie sposób wpłynie on na nasze życie i gospodarkę. Musimy chronić obyw</w:t>
      </w:r>
      <w:r>
        <w:rPr>
          <w:rFonts w:ascii="Times New Roman" w:hAnsi="Times New Roman"/>
          <w:noProof/>
          <w:sz w:val="24"/>
          <w:szCs w:val="24"/>
        </w:rPr>
        <w:t xml:space="preserve">ateli Unii Europejskiej, ich zdrowie i miejsca pracy, a jednocześnie zapewniać sprawiedliwość, odporność i stabilność makroekonomiczną w całej Unii. Chociaż pandemia dotknęła wszystkie państwa członkowskie, skala skutków oraz tempo i intensywność odbudowy </w:t>
      </w:r>
      <w:r>
        <w:rPr>
          <w:rFonts w:ascii="Times New Roman" w:hAnsi="Times New Roman"/>
          <w:noProof/>
          <w:sz w:val="24"/>
          <w:szCs w:val="24"/>
        </w:rPr>
        <w:t xml:space="preserve">gospodarki będą się znacznie różnić w zależności od regionu. </w:t>
      </w:r>
    </w:p>
    <w:p w:rsidR="00B730A3" w:rsidRDefault="00FA0E0B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>W prognozie gospodarczej z lata 2020 r. przewiduje się, że gospodarka strefy euro skurczy się o 8,7 % w 2020 r., a w 2021 r. ponownie wzrośnie o 6,1 %, natomiast gospodarka UE według przewidywań</w:t>
      </w:r>
      <w:r>
        <w:rPr>
          <w:rFonts w:ascii="Times New Roman" w:hAnsi="Times New Roman"/>
          <w:b/>
          <w:noProof/>
          <w:sz w:val="24"/>
          <w:szCs w:val="24"/>
        </w:rPr>
        <w:t xml:space="preserve"> skurczy się w 2020 r. o 8,3 %, a w 2021 r. wzrośnie o 5,8 %</w:t>
      </w:r>
      <w:r>
        <w:rPr>
          <w:rStyle w:val="Odwoanieprzypisudolnego"/>
          <w:rFonts w:ascii="Times New Roman" w:hAnsi="Times New Roman" w:cs="Times New Roman"/>
          <w:noProof/>
          <w:sz w:val="24"/>
          <w:szCs w:val="24"/>
        </w:rPr>
        <w:footnoteReference w:id="1"/>
      </w:r>
      <w:r>
        <w:rPr>
          <w:rFonts w:ascii="Times New Roman" w:hAnsi="Times New Roman"/>
          <w:noProof/>
          <w:sz w:val="24"/>
          <w:szCs w:val="24"/>
        </w:rPr>
        <w:t>. W drugim kwartale zatrudnienie również spadło bardziej niż kiedykolwiek, jednak spadek ten był znacznie mniejszy niż spadek produktu krajowego brutto w związku z bezprecedensowym wsparciem udzi</w:t>
      </w:r>
      <w:r>
        <w:rPr>
          <w:rFonts w:ascii="Times New Roman" w:hAnsi="Times New Roman"/>
          <w:noProof/>
          <w:sz w:val="24"/>
          <w:szCs w:val="24"/>
        </w:rPr>
        <w:t>elanym w państwach członkowskich i w UE za pośrednictwem nowego instrumentu SURE</w:t>
      </w:r>
      <w:r>
        <w:rPr>
          <w:rFonts w:ascii="Times New Roman" w:hAnsi="Times New Roman" w:cs="Times New Roman"/>
          <w:noProof/>
          <w:sz w:val="24"/>
          <w:szCs w:val="24"/>
          <w:vertAlign w:val="superscript"/>
        </w:rPr>
        <w:footnoteReference w:id="2"/>
      </w:r>
      <w:r>
        <w:rPr>
          <w:rFonts w:ascii="Times New Roman" w:hAnsi="Times New Roman"/>
          <w:noProof/>
          <w:sz w:val="24"/>
          <w:szCs w:val="24"/>
        </w:rPr>
        <w:t xml:space="preserve"> oraz niespotykaną dotąd elastycznością w wykorzystaniu funduszy polityki spójności w ramach inicjatywy inwestycyjnej w odpowiedzi na koronawirusa</w:t>
      </w:r>
      <w:r>
        <w:rPr>
          <w:rFonts w:ascii="Times New Roman" w:hAnsi="Times New Roman" w:cs="Times New Roman"/>
          <w:noProof/>
          <w:sz w:val="24"/>
          <w:szCs w:val="24"/>
          <w:vertAlign w:val="superscript"/>
        </w:rPr>
        <w:footnoteReference w:id="3"/>
      </w:r>
      <w:r>
        <w:rPr>
          <w:rFonts w:ascii="Times New Roman" w:hAnsi="Times New Roman"/>
          <w:noProof/>
          <w:sz w:val="24"/>
          <w:szCs w:val="24"/>
        </w:rPr>
        <w:t>. Perspektywy gospodarcze za</w:t>
      </w:r>
      <w:r>
        <w:rPr>
          <w:rFonts w:ascii="Times New Roman" w:hAnsi="Times New Roman"/>
          <w:noProof/>
          <w:sz w:val="24"/>
          <w:szCs w:val="24"/>
        </w:rPr>
        <w:t>leżą przede wszystkim od rozwoju pandemii i mających ją powstrzymać ograniczeń działalności gospodarczej. Wsparcie polityczne na szczeblu krajowym i unijnym będzie miało kluczowe znaczenie dla odbudowy. W tym kontekście osiągnięte w dniu 21 lipca 2020 r. p</w:t>
      </w:r>
      <w:r>
        <w:rPr>
          <w:rFonts w:ascii="Times New Roman" w:hAnsi="Times New Roman"/>
          <w:noProof/>
          <w:sz w:val="24"/>
          <w:szCs w:val="24"/>
        </w:rPr>
        <w:t>rzez Radę Europejską porozumienie w sprawie kolejnych wieloletnich ram finansowych oraz instrumentu „Next Generation EU” stanowić będzie pozytywny impuls dla perspektyw wzrostu gospodarczego i zatrudnienia. Na szczeblu Unii i państw członkowskich musimy te</w:t>
      </w:r>
      <w:r>
        <w:rPr>
          <w:rFonts w:ascii="Times New Roman" w:hAnsi="Times New Roman"/>
          <w:noProof/>
          <w:sz w:val="24"/>
          <w:szCs w:val="24"/>
        </w:rPr>
        <w:t xml:space="preserve">raz jak najlepiej wykorzystać to przełomowe porozumienie. </w:t>
      </w:r>
    </w:p>
    <w:p w:rsidR="00B730A3" w:rsidRDefault="00FA0E0B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>Reakcja Unii była zdecydowana.</w:t>
      </w:r>
      <w:r>
        <w:rPr>
          <w:rFonts w:ascii="Times New Roman" w:hAnsi="Times New Roman"/>
          <w:noProof/>
          <w:sz w:val="24"/>
          <w:szCs w:val="24"/>
        </w:rPr>
        <w:t xml:space="preserve"> Obecnie trwają negocjacje między Parlamentem Europejskim a Radą w sprawie kolejnych wieloletnich ram finansowych i nowego instrumentu „Next Generation EU”, aby pilnie</w:t>
      </w:r>
      <w:r>
        <w:rPr>
          <w:rFonts w:ascii="Times New Roman" w:hAnsi="Times New Roman"/>
          <w:noProof/>
          <w:sz w:val="24"/>
          <w:szCs w:val="24"/>
        </w:rPr>
        <w:t xml:space="preserve"> zakończyć prace nad wszystkimi aktami prawnymi. Prace te należy wykonać do dnia 1 stycznia 2021 r., tak aby programy mogły zacząć działać w terminie. Pełne uruchomienie potencjału budżetowego UE ma kluczowe znaczenie dla szybkiej i trwałej odbudowy. Co is</w:t>
      </w:r>
      <w:r>
        <w:rPr>
          <w:rFonts w:ascii="Times New Roman" w:hAnsi="Times New Roman"/>
          <w:noProof/>
          <w:sz w:val="24"/>
          <w:szCs w:val="24"/>
        </w:rPr>
        <w:t>totne, po przyjęciu przez Radę decyzja w sprawie zasobów własnych będzie musiała zostać zatwierdzona przez wszystkie państwa członkowskie zgodnie z ich odpowiednimi wymogami konstytucyjnymi, zanim Komisja będzie mogła rozpocząć zaciąganie pożyczek na rynku</w:t>
      </w:r>
      <w:r>
        <w:rPr>
          <w:rFonts w:ascii="Times New Roman" w:hAnsi="Times New Roman"/>
          <w:noProof/>
          <w:sz w:val="24"/>
          <w:szCs w:val="24"/>
        </w:rPr>
        <w:t xml:space="preserve"> na finansowanie programów w ramach instrumentu „Next Generation EU”. Szybkie uruchomienie instrumentu „Next Generation EU” zależy zatem przede wszystkim od tego terminowego zatwierdzenia.</w:t>
      </w:r>
    </w:p>
    <w:p w:rsidR="00B730A3" w:rsidRDefault="00FA0E0B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>Instrument na rzecz Odbudowy i Zwiększania Odporności będzie jednym</w:t>
      </w:r>
      <w:r>
        <w:rPr>
          <w:rFonts w:ascii="Times New Roman" w:hAnsi="Times New Roman"/>
          <w:b/>
          <w:noProof/>
          <w:sz w:val="24"/>
          <w:szCs w:val="24"/>
        </w:rPr>
        <w:t xml:space="preserve"> z głównych narzędzi odbudowy gospodarki dzięki bezprecedensowej kwocie 672,5 mld EUR pożyczek </w:t>
      </w:r>
      <w:r>
        <w:rPr>
          <w:rFonts w:ascii="Times New Roman" w:hAnsi="Times New Roman"/>
          <w:b/>
          <w:noProof/>
          <w:sz w:val="24"/>
          <w:szCs w:val="24"/>
        </w:rPr>
        <w:lastRenderedPageBreak/>
        <w:t>i dotacji w ramach wsparcia finansowego skoncentrowanego na wstępie w pierwszych kluczowych latach odbudowy.</w:t>
      </w:r>
      <w:r>
        <w:rPr>
          <w:rFonts w:ascii="Times New Roman" w:hAnsi="Times New Roman"/>
          <w:noProof/>
          <w:sz w:val="24"/>
          <w:szCs w:val="24"/>
        </w:rPr>
        <w:t xml:space="preserve"> Państwa członkowskie uwzględnią w swoich planach odb</w:t>
      </w:r>
      <w:r>
        <w:rPr>
          <w:rFonts w:ascii="Times New Roman" w:hAnsi="Times New Roman"/>
          <w:noProof/>
          <w:sz w:val="24"/>
          <w:szCs w:val="24"/>
        </w:rPr>
        <w:t xml:space="preserve">udowy i zwiększania odporności swoje krajowe programy reform i inwestycji opracowane zgodnie z celami polityki UE, koncentrujące się na transformacji ekologicznej i cyfrowej. Wspomniany instrument będzie stanowić wsparcie dla wysiłków państw członkowskich </w:t>
      </w:r>
      <w:r>
        <w:rPr>
          <w:rFonts w:ascii="Times New Roman" w:hAnsi="Times New Roman"/>
          <w:noProof/>
          <w:sz w:val="24"/>
          <w:szCs w:val="24"/>
        </w:rPr>
        <w:t xml:space="preserve">na rzecz skutecznego wzmocnienia ich odporności społecznej i gospodarczej, a tym samym dla potencjału wzrostu gospodarczego i tworzenia miejsc pracy w gospodarkach tych państw, wspierając w ten sposób cele UE. </w:t>
      </w:r>
    </w:p>
    <w:p w:rsidR="00B730A3" w:rsidRDefault="00FA0E0B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>Instrument na rzecz Odbudowy i Zwiększania Od</w:t>
      </w:r>
      <w:r>
        <w:rPr>
          <w:rFonts w:ascii="Times New Roman" w:hAnsi="Times New Roman"/>
          <w:b/>
          <w:noProof/>
          <w:sz w:val="24"/>
          <w:szCs w:val="24"/>
        </w:rPr>
        <w:t xml:space="preserve">porności jest symbolem determinacji UE w stawianiu czoła stojącym przed nią wyzwaniom w ramach wspólnego podejścia. </w:t>
      </w:r>
      <w:r>
        <w:rPr>
          <w:rFonts w:ascii="Times New Roman" w:hAnsi="Times New Roman"/>
          <w:noProof/>
          <w:sz w:val="24"/>
          <w:szCs w:val="24"/>
        </w:rPr>
        <w:t>Utrzymanie funkcjonowania jednolitego rynku ma kluczowe znaczenie dla energicznego zapoczątkowania odbudowy, jak też dla zapewnienia uczciwe</w:t>
      </w:r>
      <w:r>
        <w:rPr>
          <w:rFonts w:ascii="Times New Roman" w:hAnsi="Times New Roman"/>
          <w:noProof/>
          <w:sz w:val="24"/>
          <w:szCs w:val="24"/>
        </w:rPr>
        <w:t>j konkurencji i zapobiegania zakłóceniom w transgranicznych łańcuchach wartości oraz w swobodnym przepływie pracowników i towarów. Będzie ono sprzyjać pozytywnej konwergencji poziomów życia i zapobiegać zakłócaniu warunków gospodarczych. Skuteczne wdrożeni</w:t>
      </w:r>
      <w:r>
        <w:rPr>
          <w:rFonts w:ascii="Times New Roman" w:hAnsi="Times New Roman"/>
          <w:noProof/>
          <w:sz w:val="24"/>
          <w:szCs w:val="24"/>
        </w:rPr>
        <w:t>e instrumentu „Next Generation EU” może zapewnić 2 % dodatkowego produktu krajowego brutto do 2024 r. i stworzyć 2 mln miejsc pracy, m.in. poprzez przyspieszenie transformacji ekologicznej i cyfrowej</w:t>
      </w:r>
      <w:r>
        <w:rPr>
          <w:rStyle w:val="Odwoanieprzypisudolnego"/>
          <w:rFonts w:ascii="Times New Roman" w:hAnsi="Times New Roman" w:cs="Times New Roman"/>
          <w:noProof/>
          <w:sz w:val="24"/>
          <w:szCs w:val="24"/>
        </w:rPr>
        <w:footnoteReference w:id="4"/>
      </w:r>
      <w:r>
        <w:rPr>
          <w:rFonts w:ascii="Times New Roman" w:hAnsi="Times New Roman"/>
          <w:noProof/>
          <w:sz w:val="24"/>
          <w:szCs w:val="24"/>
        </w:rPr>
        <w:t xml:space="preserve">. Szacuje się, że z czasem ten dodatkowy wzrost sprawi, </w:t>
      </w:r>
      <w:r>
        <w:rPr>
          <w:rFonts w:ascii="Times New Roman" w:hAnsi="Times New Roman"/>
          <w:noProof/>
          <w:sz w:val="24"/>
          <w:szCs w:val="24"/>
        </w:rPr>
        <w:t>iż Instrument na rzecz Odbudowy i Zwiększania Odporności będzie się sam finansował poprzez dodatkowe działania i dodatkowe dochody podatkowe generowane dla państw członkowskich i UE.</w:t>
      </w:r>
    </w:p>
    <w:p w:rsidR="00B730A3" w:rsidRDefault="00FA0E0B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>Te środki z zakresu polityki UE muszą zostać wdrożone jak najszybciej.</w:t>
      </w:r>
      <w:r>
        <w:rPr>
          <w:rFonts w:ascii="Times New Roman" w:hAnsi="Times New Roman"/>
          <w:noProof/>
          <w:sz w:val="24"/>
          <w:szCs w:val="24"/>
        </w:rPr>
        <w:t xml:space="preserve"> Ch</w:t>
      </w:r>
      <w:r>
        <w:rPr>
          <w:rFonts w:ascii="Times New Roman" w:hAnsi="Times New Roman"/>
          <w:noProof/>
          <w:sz w:val="24"/>
          <w:szCs w:val="24"/>
        </w:rPr>
        <w:t>oć porozumienie w sprawie pakietu na rzecz odbudowy pomaga ograniczyć niepewność, skuteczna realizacja w nadchodzących latach ma kluczowe znaczenie dla wsparcia odbudowy. Obecnie najważniejszą sprawą dla Unii jest współpraca z państwami członkowskimi w cel</w:t>
      </w:r>
      <w:r>
        <w:rPr>
          <w:rFonts w:ascii="Times New Roman" w:hAnsi="Times New Roman"/>
          <w:noProof/>
          <w:sz w:val="24"/>
          <w:szCs w:val="24"/>
        </w:rPr>
        <w:t xml:space="preserve">u zapewnienia zdecydowanych postępów w łączeniu właściwych priorytetów w zakresie reform i inwestycji zgodnie z celami europejskimi, a następnie zapewnienie ich skutecznej realizacji. </w:t>
      </w:r>
    </w:p>
    <w:p w:rsidR="00B730A3" w:rsidRDefault="00FA0E0B">
      <w:pPr>
        <w:pStyle w:val="Akapitzlist"/>
        <w:keepNext/>
        <w:numPr>
          <w:ilvl w:val="0"/>
          <w:numId w:val="1"/>
        </w:numPr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>Europejski Instrument na rzecz Odbudowy i Zwiększania Odporności: reali</w:t>
      </w:r>
      <w:r>
        <w:rPr>
          <w:rFonts w:ascii="Times New Roman" w:hAnsi="Times New Roman"/>
          <w:b/>
          <w:noProof/>
          <w:sz w:val="24"/>
          <w:szCs w:val="24"/>
        </w:rPr>
        <w:t>zacja celu UE, jakim jest konkurencyjna zrównoważoność</w:t>
      </w:r>
    </w:p>
    <w:p w:rsidR="00B730A3" w:rsidRDefault="00FA0E0B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 xml:space="preserve">Instrument na rzecz Odbudowy i Zwiększania Odporności jest silnie powiązany z dążeniem UE do osiągnięcia konkurencyjnej zrównoważoności i spójności dzięki nowej strategii na rzecz wzrostu, tj. </w:t>
      </w:r>
      <w:r>
        <w:rPr>
          <w:rFonts w:ascii="Times New Roman" w:hAnsi="Times New Roman"/>
          <w:b/>
          <w:noProof/>
          <w:sz w:val="24"/>
          <w:szCs w:val="24"/>
        </w:rPr>
        <w:t>Europejskiemu Zielonemu Ładowi.</w:t>
      </w:r>
      <w:r>
        <w:rPr>
          <w:rFonts w:ascii="Times New Roman" w:hAnsi="Times New Roman"/>
          <w:noProof/>
          <w:sz w:val="24"/>
          <w:szCs w:val="24"/>
        </w:rPr>
        <w:t xml:space="preserve"> Przejście na zrównoważony i sprzyjający włączeniu społecznemu model gospodarczy, możliwe dzięki szerszemu rozpowszechnianiu i wprowadzaniu technologii cyfrowych i czystych technologii, może sprawić, że Europa stanie się liderem transformacji. Zamiast ozna</w:t>
      </w:r>
      <w:r>
        <w:rPr>
          <w:rFonts w:ascii="Times New Roman" w:hAnsi="Times New Roman"/>
          <w:noProof/>
          <w:sz w:val="24"/>
          <w:szCs w:val="24"/>
        </w:rPr>
        <w:t xml:space="preserve">czać odejście od programu sprzed kryzysu wywołanego przez COVID-19, Instrument na rzecz Odbudowy i Zwiększania Odporności powinien przyspieszyć działania mające na celu stawienie czoła wcześniej istniejącym wyzwaniom, pozwalając przy tym uniknąć wszelkich </w:t>
      </w:r>
      <w:r>
        <w:rPr>
          <w:rFonts w:ascii="Times New Roman" w:hAnsi="Times New Roman"/>
          <w:noProof/>
          <w:sz w:val="24"/>
          <w:szCs w:val="24"/>
        </w:rPr>
        <w:t>nowych komplikacji związanych z kryzysem. Cztery wymiary – zrównoważenia środowiskowego, wydajności, sprawiedliwości i stabilności makroekonomicznej – określone w rocznej strategii zrównoważonego wzrostu gospodarczego na rok 2020 powinny pozostać przewodni</w:t>
      </w:r>
      <w:r>
        <w:rPr>
          <w:rFonts w:ascii="Times New Roman" w:hAnsi="Times New Roman"/>
          <w:noProof/>
          <w:sz w:val="24"/>
          <w:szCs w:val="24"/>
        </w:rPr>
        <w:t xml:space="preserve">mi zasadami leżącymi u podstaw planów odbudowy i zwiększania odporności realizowanych przez państwa członkowskie. Priorytety te leżą u podstaw europejskiego semestru i gwarantują, że nowy program na rzecz wzrostu będzie najlepszy dla ludzi i planety. </w:t>
      </w:r>
    </w:p>
    <w:p w:rsidR="00B730A3" w:rsidRDefault="00FA0E0B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>Konk</w:t>
      </w:r>
      <w:r>
        <w:rPr>
          <w:rFonts w:ascii="Times New Roman" w:hAnsi="Times New Roman"/>
          <w:b/>
          <w:noProof/>
          <w:sz w:val="24"/>
          <w:szCs w:val="24"/>
        </w:rPr>
        <w:t>urencyjna zrównoważoność i odporność to dwie strony tego samego medalu; uwypuklił to kryzys związany z COVID-19.</w:t>
      </w:r>
      <w:r>
        <w:rPr>
          <w:rFonts w:ascii="Times New Roman" w:hAnsi="Times New Roman"/>
          <w:noProof/>
          <w:sz w:val="24"/>
          <w:szCs w:val="24"/>
        </w:rPr>
        <w:t xml:space="preserve"> Odporność to zdolność nie tylko do stawienia czoła wyzwaniom i sprostania im, ale także do przejścia transformacji w sposób zrównoważony, spraw</w:t>
      </w:r>
      <w:r>
        <w:rPr>
          <w:rFonts w:ascii="Times New Roman" w:hAnsi="Times New Roman"/>
          <w:noProof/>
          <w:sz w:val="24"/>
          <w:szCs w:val="24"/>
        </w:rPr>
        <w:t>iedliwy i demokratyczny</w:t>
      </w:r>
      <w:r>
        <w:rPr>
          <w:rStyle w:val="Odwoanieprzypisudolnego"/>
          <w:rFonts w:ascii="Times New Roman" w:hAnsi="Times New Roman" w:cs="Times New Roman"/>
          <w:noProof/>
          <w:color w:val="000000" w:themeColor="text1"/>
          <w:sz w:val="24"/>
          <w:szCs w:val="24"/>
        </w:rPr>
        <w:footnoteReference w:id="5"/>
      </w:r>
      <w:r>
        <w:rPr>
          <w:rFonts w:ascii="Times New Roman" w:hAnsi="Times New Roman"/>
          <w:noProof/>
          <w:sz w:val="24"/>
          <w:szCs w:val="24"/>
        </w:rPr>
        <w:t>. Dla mniej odpornych państw UE i mniej odpornych sektorów zmaganie się z kryzysem i reagowanie na niego okazało się trudniejsze. Bez odpowiedniej reakcji będzie to miało wpływ na ich wyniki gospodarcze i społeczne w nadchodzących l</w:t>
      </w:r>
      <w:r>
        <w:rPr>
          <w:rFonts w:ascii="Times New Roman" w:hAnsi="Times New Roman"/>
          <w:noProof/>
          <w:sz w:val="24"/>
          <w:szCs w:val="24"/>
        </w:rPr>
        <w:t xml:space="preserve">atach i dziesięcioleciach. Różnice w odporności w obrębie UE mają również wpływ na spójność społeczną, gospodarczą i terytorialną, a także na konwergencję w strefie euro i skuteczność jednolitej polityki pieniężnej. Dzięki zapewnieniu wsparcia finansowego </w:t>
      </w:r>
      <w:r>
        <w:rPr>
          <w:rFonts w:ascii="Times New Roman" w:hAnsi="Times New Roman"/>
          <w:noProof/>
          <w:sz w:val="24"/>
          <w:szCs w:val="24"/>
        </w:rPr>
        <w:t>na wielką skalę na rzecz inwestycji publicznych i reform, przy jednoczesnym wspieraniu spójności i konwergencji, Instrument na rzecz Odbudowy i Zwiększania Odporności sprawi, że gospodarki i społeczeństwa państw członkowskich staną się bardziej odporne i l</w:t>
      </w:r>
      <w:r>
        <w:rPr>
          <w:rFonts w:ascii="Times New Roman" w:hAnsi="Times New Roman"/>
          <w:noProof/>
          <w:sz w:val="24"/>
          <w:szCs w:val="24"/>
        </w:rPr>
        <w:t>epiej przygotowane na przyszłość. Konieczne jest również wzmocnienie odporności niektórych krytycznych łańcuchów dostaw, zwłaszcza w sektorach najbardziej narażonych na wstrząsy zewnętrzne.</w:t>
      </w:r>
    </w:p>
    <w:p w:rsidR="00B730A3" w:rsidRDefault="00FA0E0B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>Instrument na rzecz Odbudowy i Zwiększania Odporności pomoże napra</w:t>
      </w:r>
      <w:r>
        <w:rPr>
          <w:rFonts w:ascii="Times New Roman" w:hAnsi="Times New Roman"/>
          <w:b/>
          <w:noProof/>
          <w:sz w:val="24"/>
          <w:szCs w:val="24"/>
        </w:rPr>
        <w:t>wić szkody wyrządzone przez kryzys i przygotować lepszą przyszłość dla kolejnych pokoleń.</w:t>
      </w:r>
      <w:r>
        <w:rPr>
          <w:rFonts w:ascii="Times New Roman" w:hAnsi="Times New Roman"/>
          <w:noProof/>
          <w:sz w:val="24"/>
          <w:szCs w:val="24"/>
        </w:rPr>
        <w:t xml:space="preserve"> Powstałe obecnie wyższe zadłużenie stanowi bezpośredni sposób na sprostanie wyzwaniom, przed którymi staną przyszłe pokolenia. Ogromne inwestycje, konieczne do ożywie</w:t>
      </w:r>
      <w:r>
        <w:rPr>
          <w:rFonts w:ascii="Times New Roman" w:hAnsi="Times New Roman"/>
          <w:noProof/>
          <w:sz w:val="24"/>
          <w:szCs w:val="24"/>
        </w:rPr>
        <w:t>nia gospodarki, mają odciążyć następną generację, a nie stać się dla niej ciężarem. Dlatego też Instrument na rzecz Odbudowy i Zwiększania Odporności musi ukierunkowywać i budować bardziej zrównoważoną, odporną i sprawiedliwszą Europę dla następnego pokole</w:t>
      </w:r>
      <w:r>
        <w:rPr>
          <w:rFonts w:ascii="Times New Roman" w:hAnsi="Times New Roman"/>
          <w:noProof/>
          <w:sz w:val="24"/>
          <w:szCs w:val="24"/>
        </w:rPr>
        <w:t>nia zgodnie z celami zrównoważonego rozwoju Organizacji Narodów Zjednoczonych.</w:t>
      </w:r>
    </w:p>
    <w:p w:rsidR="00B730A3" w:rsidRDefault="00FA0E0B">
      <w:pPr>
        <w:spacing w:after="12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>Rozwiązanie kryzysu klimatycznego i środowiskowego jest decydującym wyzwaniem naszych czasów i szansą na ożywienie naszych gospodarek w zrównoważony sposób.</w:t>
      </w:r>
      <w:r>
        <w:rPr>
          <w:rFonts w:ascii="Times New Roman" w:hAnsi="Times New Roman"/>
          <w:noProof/>
          <w:sz w:val="24"/>
          <w:szCs w:val="24"/>
        </w:rPr>
        <w:t xml:space="preserve"> Wymaga to pilnych i </w:t>
      </w:r>
      <w:r>
        <w:rPr>
          <w:rFonts w:ascii="Times New Roman" w:hAnsi="Times New Roman"/>
          <w:noProof/>
          <w:sz w:val="24"/>
          <w:szCs w:val="24"/>
        </w:rPr>
        <w:t>nieustannych działań wszystkich podmiotów społecznych na rzecz ochrony zdrowia, dobrobytu i dobrostanu ludzi w Europie i na całym świecie. Europejski Zielony Ład to nasze zobowiązanie polityczne i nasza odpowiedź na to wyzwanie. Jest to także europejska st</w:t>
      </w:r>
      <w:r>
        <w:rPr>
          <w:rFonts w:ascii="Times New Roman" w:hAnsi="Times New Roman"/>
          <w:noProof/>
          <w:sz w:val="24"/>
          <w:szCs w:val="24"/>
        </w:rPr>
        <w:t>rategia na rzecz wzrostu, której celem jest przekształcenie UE w sprawiedliwe i dobrze prosperujące społeczeństwo z zasobooszczędną i konkurencyjną gospodarką. Reakcja gospodarcza na kryzys związany z COVID-19 stwarza wyjątkową okazję do przyspieszenia tra</w:t>
      </w:r>
      <w:r>
        <w:rPr>
          <w:rFonts w:ascii="Times New Roman" w:hAnsi="Times New Roman"/>
          <w:noProof/>
          <w:sz w:val="24"/>
          <w:szCs w:val="24"/>
        </w:rPr>
        <w:t>nsformacji ekologicznej. Przezwyciężenie tego kryzysu będzie wymagało ogromnych inwestycji i istotnych reform, które w dużej mierze wspierać będzie unijny Instrument na rzecz Odbudowy i Zwiększania Odporności. Dokonanie ekologicznej transformacji wymaga re</w:t>
      </w:r>
      <w:r>
        <w:rPr>
          <w:rFonts w:ascii="Times New Roman" w:hAnsi="Times New Roman"/>
          <w:noProof/>
          <w:sz w:val="24"/>
          <w:szCs w:val="24"/>
        </w:rPr>
        <w:t>form w celu ukierunkowania inwestycji publicznych i prywatnych na działania w dziedzinie klimatu i ochrony środowiska, a także głębokiej transformacji różnych obszarów naszej polityki. Oprócz naprawy krótkoterminowych szkód spowodowanych kryzysem nasze ins</w:t>
      </w:r>
      <w:r>
        <w:rPr>
          <w:rFonts w:ascii="Times New Roman" w:hAnsi="Times New Roman"/>
          <w:noProof/>
          <w:sz w:val="24"/>
          <w:szCs w:val="24"/>
        </w:rPr>
        <w:t>trumenty odbudowy muszą zatem wprowadzić gospodarkę na właściwą drogę prowadzącą do długoterminowego zrównoważonego wzrostu gospodarczego i trwałego zatrudnienia, z myślą o osiągnięciu neutralności klimatycznej do 2050 r. i oddzieleniu wzrostu gospodarczeg</w:t>
      </w:r>
      <w:r>
        <w:rPr>
          <w:rFonts w:ascii="Times New Roman" w:hAnsi="Times New Roman"/>
          <w:noProof/>
          <w:sz w:val="24"/>
          <w:szCs w:val="24"/>
        </w:rPr>
        <w:t>o od wykorzystania zasobów. Stwarza to doskonałą okazję do unowocześnienia tradycyjnych modeli przemysłowych oraz do inwestowania w innowacyjne ekologiczne technologie oraz w bardziej zrównoważoną i cyfrową infrastrukturę, co przyspieszy przejście w stronę</w:t>
      </w:r>
      <w:r>
        <w:rPr>
          <w:rFonts w:ascii="Times New Roman" w:hAnsi="Times New Roman"/>
          <w:noProof/>
          <w:sz w:val="24"/>
          <w:szCs w:val="24"/>
        </w:rPr>
        <w:t xml:space="preserve"> bardziej zrównoważonej, odpornej i sprzyjającej włączeniu społecznemu Europy. Ponadto, ponieważ spożycie prywatne stanowi ponad połowę produktu krajowego brutto UE, propagowanie bardziej zrównoważonej struktury spożycia będzie kluczowym czynnikiem umożliw</w:t>
      </w:r>
      <w:r>
        <w:rPr>
          <w:rFonts w:ascii="Times New Roman" w:hAnsi="Times New Roman"/>
          <w:noProof/>
          <w:sz w:val="24"/>
          <w:szCs w:val="24"/>
        </w:rPr>
        <w:t>iającym taką transformację.</w:t>
      </w:r>
    </w:p>
    <w:p w:rsidR="00B730A3" w:rsidRDefault="00FA0E0B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>Transformacja cyfrowa ma kluczowe znaczenie dla wzmocnienia odporności społecznej i gospodarczej UE i państw członkowskich, ich potencjału zrównoważonego wzrostu gospodarczego i tworzenia miejsc pracy.</w:t>
      </w:r>
      <w:r>
        <w:rPr>
          <w:rFonts w:ascii="Times New Roman" w:hAnsi="Times New Roman"/>
          <w:noProof/>
          <w:sz w:val="24"/>
          <w:szCs w:val="24"/>
        </w:rPr>
        <w:t xml:space="preserve"> Pandemia COVID-19 przyspie</w:t>
      </w:r>
      <w:r>
        <w:rPr>
          <w:rFonts w:ascii="Times New Roman" w:hAnsi="Times New Roman"/>
          <w:noProof/>
          <w:sz w:val="24"/>
          <w:szCs w:val="24"/>
        </w:rPr>
        <w:t>szyła tendencje zmierzające w kierunku transformacji cyfrowej: państwa członkowskie wprowadziły środki w celu wzmocnienia infrastruktury cyfrowej, zapewniły nauczanie przez internet lub wspierały MŚP w ich wysiłkach na rzecz cyfryzacji. Kryzys ujawnił jedn</w:t>
      </w:r>
      <w:r>
        <w:rPr>
          <w:rFonts w:ascii="Times New Roman" w:hAnsi="Times New Roman"/>
          <w:noProof/>
          <w:sz w:val="24"/>
          <w:szCs w:val="24"/>
        </w:rPr>
        <w:t>ak również niedociągnięcia i podatność na zagrożenia. Wciąż istnieją rozbieżności w odniesieniu do cyfryzacji gospodarek i społeczeństw. Utrzymujące się bariery i nierównomierny dostęp do infrastruktury nadal spowalniają postępy, a Europa pozostaje w dużej</w:t>
      </w:r>
      <w:r>
        <w:rPr>
          <w:rFonts w:ascii="Times New Roman" w:hAnsi="Times New Roman"/>
          <w:noProof/>
          <w:sz w:val="24"/>
          <w:szCs w:val="24"/>
        </w:rPr>
        <w:t xml:space="preserve"> mierze uzależniona od innych regionów pod względem wielu kluczowych zdolności lub usług cyfrowych. Opracowanie, w oparciu o europejską wiedzę naukową i technologiczną, transformacyjnej i przyszłościowej strategii badań naukowych, innowacji i rozpowszechni</w:t>
      </w:r>
      <w:r>
        <w:rPr>
          <w:rFonts w:ascii="Times New Roman" w:hAnsi="Times New Roman"/>
          <w:noProof/>
          <w:sz w:val="24"/>
          <w:szCs w:val="24"/>
        </w:rPr>
        <w:t xml:space="preserve">ania jest jedynym sposobem zapewnienia wzrostu wydajności i konkurencyjności Europy, a tym samym ochrony jej suwerenności technologicznej, która jest kluczowym aspektem jej otwartej strategicznej autonomii. </w:t>
      </w:r>
    </w:p>
    <w:p w:rsidR="00B730A3" w:rsidRDefault="00FA0E0B">
      <w:pPr>
        <w:jc w:val="both"/>
        <w:rPr>
          <w:rFonts w:ascii="Times New Roman" w:hAnsi="Times New Roman" w:cs="Times New Roman"/>
          <w:i/>
          <w:noProof/>
          <w:sz w:val="24"/>
          <w:szCs w:val="24"/>
          <w:u w:val="single"/>
        </w:rPr>
      </w:pPr>
      <w:r>
        <w:rPr>
          <w:rFonts w:ascii="Times New Roman" w:hAnsi="Times New Roman"/>
          <w:b/>
          <w:noProof/>
          <w:sz w:val="24"/>
          <w:szCs w:val="24"/>
        </w:rPr>
        <w:t>Pandemia COVID-19 uwypukliła pilną potrzebę rozw</w:t>
      </w:r>
      <w:r>
        <w:rPr>
          <w:rFonts w:ascii="Times New Roman" w:hAnsi="Times New Roman"/>
          <w:b/>
          <w:noProof/>
          <w:sz w:val="24"/>
          <w:szCs w:val="24"/>
        </w:rPr>
        <w:t>iązania utrzymujących się od dawna problemów, które mają wpływ na sprawiedliwość społeczną.</w:t>
      </w:r>
      <w:r>
        <w:rPr>
          <w:rFonts w:ascii="Times New Roman" w:hAnsi="Times New Roman"/>
          <w:noProof/>
          <w:sz w:val="24"/>
          <w:szCs w:val="24"/>
        </w:rPr>
        <w:t xml:space="preserve"> Obejmuje to gotowość i odporność krajowych systemów ochrony zdrowia i ochrony socjalnej, a także równy dostęp do przystępnych cenowo i wysokojakościowych systemów o</w:t>
      </w:r>
      <w:r>
        <w:rPr>
          <w:rFonts w:ascii="Times New Roman" w:hAnsi="Times New Roman"/>
          <w:noProof/>
          <w:sz w:val="24"/>
          <w:szCs w:val="24"/>
        </w:rPr>
        <w:t>pieki zdrowotnej, opieki długoterminowej i opieki nad dzieckiem, zmiany demograficzne, globalizację oraz transformację cyfrową i ekologiczną. Wyzwania, którymi należy się zająć, mogą obejmować takie dziedziny jak zatrudnienie, umiejętności, zdrowie, edukac</w:t>
      </w:r>
      <w:r>
        <w:rPr>
          <w:rFonts w:ascii="Times New Roman" w:hAnsi="Times New Roman"/>
          <w:noProof/>
          <w:sz w:val="24"/>
          <w:szCs w:val="24"/>
        </w:rPr>
        <w:t>ja, w szczególności w celu rozwiązania problemu rosnących nierówności i udzielenia wsparcia osobom najbardziej dotkniętym kryzysem, takim jak młode pokolenie, kobiety i słabsze grupy społeczne. Pandemia COVID-19 uwidoczniła również potrzebę stworzenia spra</w:t>
      </w:r>
      <w:r>
        <w:rPr>
          <w:rFonts w:ascii="Times New Roman" w:hAnsi="Times New Roman"/>
          <w:noProof/>
          <w:sz w:val="24"/>
          <w:szCs w:val="24"/>
        </w:rPr>
        <w:t>wiedliwszego i bardziej zrównoważonego otoczenia biznesowego oraz ponownego przemyślenia warunków pracy w wielu sektorach. Przedłużona izolacja przyczyniła się do rozwoju usług internetowych i handlu elektronicznego, a tendencja ta prawdopodobnie się utrzy</w:t>
      </w:r>
      <w:r>
        <w:rPr>
          <w:rFonts w:ascii="Times New Roman" w:hAnsi="Times New Roman"/>
          <w:noProof/>
          <w:sz w:val="24"/>
          <w:szCs w:val="24"/>
        </w:rPr>
        <w:t>ma. Środowisko internetowe jest jednak obecnie zdominowane przez kilka dużych podmiotów o rosnącej pozycji rynkowej i mobilnych bazach podatkowych, czasami ze szkodą dla zdolności wielu mniejszych przedsiębiorstw europejskich do rozpoczynania i rozszerzani</w:t>
      </w:r>
      <w:r>
        <w:rPr>
          <w:rFonts w:ascii="Times New Roman" w:hAnsi="Times New Roman"/>
          <w:noProof/>
          <w:sz w:val="24"/>
          <w:szCs w:val="24"/>
        </w:rPr>
        <w:t>a działalności na całym jednolitym rynku. Szczególną uwagę należy zwrócić na wspieranie sektorów, które odgrywają kluczową rolę w naszych demokracjach, zwłaszcza na sektor mediów, w którym wsparcie powinno być udzielane w sposób zapewniający poszanowanie i</w:t>
      </w:r>
      <w:r>
        <w:rPr>
          <w:rFonts w:ascii="Times New Roman" w:hAnsi="Times New Roman"/>
          <w:noProof/>
          <w:sz w:val="24"/>
          <w:szCs w:val="24"/>
        </w:rPr>
        <w:t> propagowanie wolności i pluralizmu mediów. Konieczne jest również wspieranie regionów, gałęzi przemysłu i pracowników najbardziej dotkniętych skutkami transformacji ekologicznej oraz łagodzenie społeczno-gospodarczych skutków transformacji. Jest to niezbę</w:t>
      </w:r>
      <w:r>
        <w:rPr>
          <w:rFonts w:ascii="Times New Roman" w:hAnsi="Times New Roman"/>
          <w:noProof/>
          <w:sz w:val="24"/>
          <w:szCs w:val="24"/>
        </w:rPr>
        <w:t xml:space="preserve">dne, aby zapewnić równe i sprawiedliwe szanse dla obywateli i przedsiębiorstw. </w:t>
      </w:r>
    </w:p>
    <w:p w:rsidR="00B730A3" w:rsidRDefault="00FA0E0B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>Od czasu kryzysu finansowego i gospodarczego w 2008 r. unia gospodarcza i walutowa jest o wiele odporniejsza na kryzysy, ale pojawiają się nowe wyzwania dla stabilności makroek</w:t>
      </w:r>
      <w:r>
        <w:rPr>
          <w:rFonts w:ascii="Times New Roman" w:hAnsi="Times New Roman"/>
          <w:b/>
          <w:noProof/>
          <w:sz w:val="24"/>
          <w:szCs w:val="24"/>
        </w:rPr>
        <w:t>onomicznej.</w:t>
      </w:r>
      <w:r>
        <w:rPr>
          <w:rFonts w:ascii="Times New Roman" w:hAnsi="Times New Roman"/>
          <w:noProof/>
          <w:sz w:val="24"/>
          <w:szCs w:val="24"/>
        </w:rPr>
        <w:t xml:space="preserve"> Kryzys związany z COVID-19 znacznie różni się od kryzysu finansowego z 2008 r.; wywiera on bezpośredni negatywny wpływ na działalność gospodarczą i pociąga za sobą potencjalne reperkusje dla stabilności makroekonomicznej, którym należy zaradzić</w:t>
      </w:r>
      <w:r>
        <w:rPr>
          <w:rFonts w:ascii="Times New Roman" w:hAnsi="Times New Roman"/>
          <w:noProof/>
          <w:sz w:val="24"/>
          <w:szCs w:val="24"/>
        </w:rPr>
        <w:t xml:space="preserve"> poprzez szybkie i zdecydowane działania. Grozi nam pogłębienie istniejących zakłóceń równowagi, a jednocześnie pojawiają się nowe. Najpilniejszym priorytetem jest zatem wspieranie odbudowy zwiększającej odporność. Konieczne będą stałe monitorowanie i obse</w:t>
      </w:r>
      <w:r>
        <w:rPr>
          <w:rFonts w:ascii="Times New Roman" w:hAnsi="Times New Roman"/>
          <w:noProof/>
          <w:sz w:val="24"/>
          <w:szCs w:val="24"/>
        </w:rPr>
        <w:t xml:space="preserve">rwacja, a państwa członkowskie powinny zająć się pojawiającymi się zakłóceniami równowagi poprzez reformy zwiększające odporność gospodarczą i społeczną. Instrument na rzecz Odbudowy i Zwiększania Odporności zapewni środki, aby pomóc państwom członkowskim </w:t>
      </w:r>
      <w:r>
        <w:rPr>
          <w:rFonts w:ascii="Times New Roman" w:hAnsi="Times New Roman"/>
          <w:noProof/>
          <w:sz w:val="24"/>
          <w:szCs w:val="24"/>
        </w:rPr>
        <w:t>stawić czoła tym wyzwaniom gospodarczym i społecznym, które przed nimi stoją. W 2021 r. państwa członkowskie powinny nadal w należyty sposób wykorzystywać elastyczność fiskalną w celu wspierania gospodarki. Finanse publiczne będą odgrywać rolę w stwarzaniu</w:t>
      </w:r>
      <w:r>
        <w:rPr>
          <w:rFonts w:ascii="Times New Roman" w:hAnsi="Times New Roman"/>
          <w:noProof/>
          <w:sz w:val="24"/>
          <w:szCs w:val="24"/>
        </w:rPr>
        <w:t xml:space="preserve"> zachęt do zrównoważonego wzrostu gospodarczego sprzyjającego włączeniu społecznemu, zapewniając stabilność gospodarczą oraz zdolność do wspierania popytu i udzielania pomocy w razie potrzeby. Pandemia COVID-19 stanowi znaczne obciążenie dla działalności g</w:t>
      </w:r>
      <w:r>
        <w:rPr>
          <w:rFonts w:ascii="Times New Roman" w:hAnsi="Times New Roman"/>
          <w:noProof/>
          <w:sz w:val="24"/>
          <w:szCs w:val="24"/>
        </w:rPr>
        <w:t>ospodarczej, co negatywnie wpływa na dług publiczny oraz zadłużenie sektora prywatnego. Kiedy pozwolą na to warunki ekonomiczne, przyjdzie czas, by kontynuować politykę fiskalną mającą na celu osiągnięcie stabilnej średniookresowej sytuacji budżetowej przy</w:t>
      </w:r>
      <w:r>
        <w:rPr>
          <w:rFonts w:ascii="Times New Roman" w:hAnsi="Times New Roman"/>
          <w:noProof/>
          <w:sz w:val="24"/>
          <w:szCs w:val="24"/>
        </w:rPr>
        <w:t xml:space="preserve"> jednoczesnym wspieraniu inwestycji, dwojakiej transformacji i włączenia społecznego.</w:t>
      </w:r>
    </w:p>
    <w:p w:rsidR="00B730A3" w:rsidRDefault="00FA0E0B">
      <w:pPr>
        <w:pStyle w:val="Briefinglist2"/>
        <w:numPr>
          <w:ilvl w:val="0"/>
          <w:numId w:val="0"/>
        </w:numPr>
        <w:spacing w:line="276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>Konkurencyjna zrównoważoność wymaga otwartości i silnego jednolitego rynku.</w:t>
      </w:r>
      <w:r>
        <w:rPr>
          <w:rFonts w:ascii="Times New Roman" w:hAnsi="Times New Roman"/>
          <w:noProof/>
          <w:sz w:val="24"/>
          <w:szCs w:val="24"/>
        </w:rPr>
        <w:t xml:space="preserve"> Udział prywatnych zainteresowanych stron i inwestorów jest niezbędny, aby zagwarantować powodz</w:t>
      </w:r>
      <w:r>
        <w:rPr>
          <w:rFonts w:ascii="Times New Roman" w:hAnsi="Times New Roman"/>
          <w:noProof/>
          <w:sz w:val="24"/>
          <w:szCs w:val="24"/>
        </w:rPr>
        <w:t>enie wdrażania Instrumentu na rzecz Odbudowy i Zwiększania Odporności. Środki publiczne nie powinny zastępować ani wypierać inwestorów prywatnych, lecz w razie potrzeby uzupełniać i ukierunkowywać inwestycje prywatne, tj. w przypadku gdy systemowe lub rynk</w:t>
      </w:r>
      <w:r>
        <w:rPr>
          <w:rFonts w:ascii="Times New Roman" w:hAnsi="Times New Roman"/>
          <w:noProof/>
          <w:sz w:val="24"/>
          <w:szCs w:val="24"/>
        </w:rPr>
        <w:t>owe niedoskonałości lub szkody spowodowane pandemią COVID-19 i następującym po niej kryzysem gospodarczym uniemożliwiają samoistne ożywienie rynku i osiągnięcie celów polityki. Zabezpieczenie równych warunków działania na jednolitym rynku jest niezbędne do</w:t>
      </w:r>
      <w:r>
        <w:rPr>
          <w:rFonts w:ascii="Times New Roman" w:hAnsi="Times New Roman"/>
          <w:noProof/>
          <w:sz w:val="24"/>
          <w:szCs w:val="24"/>
        </w:rPr>
        <w:t xml:space="preserve"> wspierania innowacji i przyspieszenia odbudowy. </w:t>
      </w:r>
    </w:p>
    <w:p w:rsidR="00B730A3" w:rsidRDefault="00B730A3">
      <w:pPr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B730A3" w:rsidRDefault="00FA0E0B">
      <w:pPr>
        <w:pStyle w:val="Akapitzlist"/>
        <w:keepNext/>
        <w:numPr>
          <w:ilvl w:val="0"/>
          <w:numId w:val="1"/>
        </w:numPr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>Główne zasady leżące u podstaw planów odbudowy i zwiększania odporności: ustalanie priorytetów dla państw członkowskich</w:t>
      </w:r>
    </w:p>
    <w:p w:rsidR="00B730A3" w:rsidRDefault="00FA0E0B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>Europejski semestr zapewnia ugruntowane ramy koordynacji polityk gospodarczych i poli</w:t>
      </w:r>
      <w:r>
        <w:rPr>
          <w:rFonts w:ascii="Times New Roman" w:hAnsi="Times New Roman"/>
          <w:b/>
          <w:noProof/>
          <w:sz w:val="24"/>
          <w:szCs w:val="24"/>
        </w:rPr>
        <w:t>tyk zatrudnienia, które mają prowadzić Unię i państwa członkowskie wśród wyzwań związanych z odbudową i dwojaką transformacją.</w:t>
      </w:r>
      <w:r>
        <w:rPr>
          <w:rFonts w:ascii="Times New Roman" w:hAnsi="Times New Roman"/>
          <w:noProof/>
          <w:sz w:val="24"/>
          <w:szCs w:val="24"/>
        </w:rPr>
        <w:t xml:space="preserve"> Opracowane przez państwa członkowskie plany odbudowy i zwiększania odporności powinny skutecznie odpowiadać na wyzwania polityczn</w:t>
      </w:r>
      <w:r>
        <w:rPr>
          <w:rFonts w:ascii="Times New Roman" w:hAnsi="Times New Roman"/>
          <w:noProof/>
          <w:sz w:val="24"/>
          <w:szCs w:val="24"/>
        </w:rPr>
        <w:t>e określone w zaleceniach dla poszczególnych krajów przyjętych przez Radę. W naszym wspólnym interesie leżeć będzie jednoczesne zaspokajanie potrzeb w zakresie reform i inwestycji, które muszą ściśle współistnieć, aby osiągnąć wzajemnie wzmacniający się wp</w:t>
      </w:r>
      <w:r>
        <w:rPr>
          <w:rFonts w:ascii="Times New Roman" w:hAnsi="Times New Roman"/>
          <w:noProof/>
          <w:sz w:val="24"/>
          <w:szCs w:val="24"/>
        </w:rPr>
        <w:t xml:space="preserve">ływ. </w:t>
      </w:r>
    </w:p>
    <w:p w:rsidR="00B730A3" w:rsidRDefault="00FA0E0B">
      <w:pPr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 xml:space="preserve">Plany odbudowy i zwiększania odporności będą musiały odzwierciedlać odpowiednie wyzwania stojące przed poszczególnymi krajami i być dostosowane do priorytetów UE. </w:t>
      </w:r>
      <w:r>
        <w:rPr>
          <w:rFonts w:ascii="Times New Roman" w:hAnsi="Times New Roman"/>
          <w:noProof/>
          <w:sz w:val="24"/>
          <w:szCs w:val="24"/>
        </w:rPr>
        <w:t>Obejmuje to zalecenia dla poszczególnych krajów skierowane do państw członkowskich w os</w:t>
      </w:r>
      <w:r>
        <w:rPr>
          <w:rFonts w:ascii="Times New Roman" w:hAnsi="Times New Roman"/>
          <w:noProof/>
          <w:sz w:val="24"/>
          <w:szCs w:val="24"/>
        </w:rPr>
        <w:t>tatnich latach, a w szczególności w cyklach semestru w latach 2019 i 2020. Przekładając te zalecenia na konkretne reformy i inwestycje, państwa członkowskie powinny skupić się na tych wyzwaniach i priorytetach, które wygenerują najbardziej trwałe skutki i </w:t>
      </w:r>
      <w:r>
        <w:rPr>
          <w:rFonts w:ascii="Times New Roman" w:hAnsi="Times New Roman"/>
          <w:noProof/>
          <w:sz w:val="24"/>
          <w:szCs w:val="24"/>
        </w:rPr>
        <w:t>wzmocnią potencjał wzrostu gospodarczego, tworzenie miejsc pracy, systemy opieki zdrowotnej oraz odporność gospodarczą i społeczną, a także spójność regionalną danego państwa członkowskiego. Jednocześnie reformy i inwestycje będą musiały być zgodne z zasad</w:t>
      </w:r>
      <w:r>
        <w:rPr>
          <w:rFonts w:ascii="Times New Roman" w:hAnsi="Times New Roman"/>
          <w:noProof/>
          <w:sz w:val="24"/>
          <w:szCs w:val="24"/>
        </w:rPr>
        <w:t>ą „nie szkodzić”, wykorzystując w miarę możliwości jako odniesienie unijne rozporządzenie w sprawie systematyki</w:t>
      </w:r>
      <w:r>
        <w:rPr>
          <w:rStyle w:val="Odwoanieprzypisudolnego"/>
          <w:rFonts w:ascii="Times New Roman" w:eastAsia="Calibri" w:hAnsi="Times New Roman" w:cs="Times New Roman"/>
          <w:noProof/>
          <w:sz w:val="24"/>
          <w:szCs w:val="24"/>
        </w:rPr>
        <w:footnoteReference w:id="6"/>
      </w:r>
      <w:r>
        <w:rPr>
          <w:rFonts w:ascii="Times New Roman" w:hAnsi="Times New Roman"/>
          <w:noProof/>
          <w:sz w:val="24"/>
          <w:szCs w:val="24"/>
        </w:rPr>
        <w:t xml:space="preserve">. </w:t>
      </w:r>
    </w:p>
    <w:p w:rsidR="00B730A3" w:rsidRDefault="00FA0E0B">
      <w:pPr>
        <w:keepNext/>
        <w:jc w:val="both"/>
        <w:rPr>
          <w:rFonts w:ascii="Times New Roman" w:hAnsi="Times New Roman" w:cs="Times New Roman"/>
          <w:b/>
          <w:noProof/>
          <w:sz w:val="24"/>
          <w:szCs w:val="24"/>
          <w:u w:val="single"/>
        </w:rPr>
      </w:pPr>
      <w:r>
        <w:rPr>
          <w:rFonts w:ascii="Times New Roman" w:hAnsi="Times New Roman"/>
          <w:b/>
          <w:noProof/>
          <w:sz w:val="24"/>
          <w:szCs w:val="24"/>
          <w:u w:val="single"/>
        </w:rPr>
        <w:t>Transformacja ekologiczna</w:t>
      </w:r>
    </w:p>
    <w:p w:rsidR="00B730A3" w:rsidRDefault="00FA0E0B">
      <w:pPr>
        <w:pStyle w:val="NormalnyWeb"/>
        <w:spacing w:line="276" w:lineRule="auto"/>
        <w:jc w:val="both"/>
        <w:rPr>
          <w:noProof/>
        </w:rPr>
      </w:pPr>
      <w:r>
        <w:rPr>
          <w:b/>
          <w:noProof/>
        </w:rPr>
        <w:t xml:space="preserve">Wszystkie krajowe plany odbudowy i zwiększania odporności będą musiały w dużej mierze koncentrować się zarówno na </w:t>
      </w:r>
      <w:r>
        <w:rPr>
          <w:b/>
          <w:noProof/>
        </w:rPr>
        <w:t>reformach, jak i inwestycjach wspierających transformację ekologiczną.</w:t>
      </w:r>
      <w:r>
        <w:rPr>
          <w:noProof/>
        </w:rPr>
        <w:t xml:space="preserve"> Aby wypełnić zobowiązanie Rady Europejskiej do osiągnięcia celu polegającego na uwzględnianiu kwestii klimatu na poziomie 30 % zarówno w wieloletnich ramach finansowych, jak i w odniesi</w:t>
      </w:r>
      <w:r>
        <w:rPr>
          <w:noProof/>
        </w:rPr>
        <w:t>eniu do instrumentu „Next Generation EU”, każdy plan odbudowy i zwiększania odporności będzie musiał obejmować co najmniej 37 % wydatków związanych z klimatem.</w:t>
      </w:r>
    </w:p>
    <w:p w:rsidR="00B730A3" w:rsidRDefault="00FA0E0B">
      <w:pPr>
        <w:pStyle w:val="NormalnyWeb"/>
        <w:spacing w:line="276" w:lineRule="auto"/>
        <w:jc w:val="both"/>
        <w:rPr>
          <w:noProof/>
        </w:rPr>
      </w:pPr>
      <w:r>
        <w:rPr>
          <w:b/>
          <w:noProof/>
        </w:rPr>
        <w:t>Europa dąży do osiągnięcia neutralności klimatycznej do 2050 r. i zamierza znacznie podnieść poz</w:t>
      </w:r>
      <w:r>
        <w:rPr>
          <w:b/>
          <w:noProof/>
        </w:rPr>
        <w:t xml:space="preserve">iom swoich ambicji w zakresie redukcji emisji gazów cieplarnianych do 2030 r. </w:t>
      </w:r>
      <w:r>
        <w:rPr>
          <w:noProof/>
        </w:rPr>
        <w:t>Aby zrealizować ambitne cele klimatyczne polegające na zmniejszeniu emisji o 55 % do 2030 r. poniżej poziomów z 1990 r., państwa członkowskie powinny przedstawić reformy i inwest</w:t>
      </w:r>
      <w:r>
        <w:rPr>
          <w:noProof/>
        </w:rPr>
        <w:t>ycje wspierające transformację ekologiczną w dziedzinie energii, transportu, obniżenia emisyjności przemysłu, gospodarki o obiegu zamkniętym, gospodarki wodnej i różnorodności biologicznej. Jest to również spójne z kluczowymi obszarami inwestycji określony</w:t>
      </w:r>
      <w:r>
        <w:rPr>
          <w:noProof/>
        </w:rPr>
        <w:t>mi w kontekście europejskiego semestru. Czyniąc to, państwa członkowskie powinny opierać się na swoich krajowych planach w dziedzinie energii i klimatu, w których określają swój wkład krajowy w realizację wspólnych ogólnounijnych celów w zakresie klimatu i</w:t>
      </w:r>
      <w:r>
        <w:rPr>
          <w:noProof/>
        </w:rPr>
        <w:t> energii, oraz powinny przedstawić reformy i inwestycje, które zamierzają wdrożyć w latach 2021-2030, aby te cele zrealizować. W październiku bieżącego roku Komisja przedstawi indywidualną ocenę krajowego planu w dziedzinie energii i klimatu każdego państw</w:t>
      </w:r>
      <w:r>
        <w:rPr>
          <w:noProof/>
        </w:rPr>
        <w:t xml:space="preserve">a członkowskiego, która zapewni państwom członkowskim ważne wskazówki, którymi państwa te będą się kierować podczas opracowywania planów odbudowy i zwiększania odporności. </w:t>
      </w:r>
    </w:p>
    <w:p w:rsidR="00B730A3" w:rsidRDefault="00FA0E0B">
      <w:pPr>
        <w:pStyle w:val="NormalnyWeb"/>
        <w:spacing w:line="276" w:lineRule="auto"/>
        <w:jc w:val="both"/>
        <w:rPr>
          <w:noProof/>
          <w:color w:val="000000" w:themeColor="text1"/>
        </w:rPr>
      </w:pPr>
      <w:r>
        <w:rPr>
          <w:b/>
          <w:noProof/>
        </w:rPr>
        <w:t>Państwa członkowskie powinny przyspieszyć redukcję emisji dzięki szybkiemu wprowadz</w:t>
      </w:r>
      <w:r>
        <w:rPr>
          <w:b/>
          <w:noProof/>
        </w:rPr>
        <w:t>aniu energii odnawialnej i wodoru oraz intensyfikacji działań na rzecz efektywności energetycznej budynków.</w:t>
      </w:r>
      <w:r>
        <w:rPr>
          <w:noProof/>
          <w:color w:val="000000" w:themeColor="text1"/>
        </w:rPr>
        <w:t xml:space="preserve"> W</w:t>
      </w:r>
      <w:r>
        <w:rPr>
          <w:b/>
          <w:noProof/>
        </w:rPr>
        <w:t> </w:t>
      </w:r>
      <w:r>
        <w:rPr>
          <w:noProof/>
          <w:color w:val="000000" w:themeColor="text1"/>
        </w:rPr>
        <w:t>ramach planów odbudowy i zwiększania odporności państwa członkowskie powinny skoncentrować się na najbardziej dojrzałych i innowacyjnych projektac</w:t>
      </w:r>
      <w:r>
        <w:rPr>
          <w:noProof/>
          <w:color w:val="000000" w:themeColor="text1"/>
        </w:rPr>
        <w:t>h, aby przyspieszyć wdrażanie pozyskiwania energii ze źródeł odnawialnych. Programy renowacji budynków będą miały zasadnicze znaczenie dla wsparcia odbudowy gospodarki dzięki tworzeniu miejsc pracy w sektorze budowlanym, oszczędnościom na rachunkach za ene</w:t>
      </w:r>
      <w:r>
        <w:rPr>
          <w:noProof/>
          <w:color w:val="000000" w:themeColor="text1"/>
        </w:rPr>
        <w:t xml:space="preserve">rgię, zdrowszym warunkom życia i ograniczeniu ubóstwa energetycznego. </w:t>
      </w:r>
      <w:r>
        <w:rPr>
          <w:noProof/>
        </w:rPr>
        <w:t>Komisja będzie wspierać różne wysiłki na rzecz intensywniejszej renowacji budynków w celu co najmniej podwojenia rocznego wskaźnika renowacji istniejących zasobów budowlanych, w szczegól</w:t>
      </w:r>
      <w:r>
        <w:rPr>
          <w:noProof/>
        </w:rPr>
        <w:t>ności poprzez inicjatywę „fala renowacji”.</w:t>
      </w:r>
      <w:r>
        <w:rPr>
          <w:noProof/>
          <w:color w:val="000000" w:themeColor="text1"/>
        </w:rPr>
        <w:t xml:space="preserve"> Inwestycjom tym powinny towarzyszyć niezbędne reformy regulacyjne, aby umożliwić takie inwestycje i zapewnić ich zrównoważony charakter. </w:t>
      </w:r>
    </w:p>
    <w:p w:rsidR="00B730A3" w:rsidRDefault="00FA0E0B">
      <w:pPr>
        <w:pStyle w:val="NormalnyWeb"/>
        <w:spacing w:line="276" w:lineRule="auto"/>
        <w:jc w:val="both"/>
        <w:rPr>
          <w:noProof/>
        </w:rPr>
      </w:pPr>
      <w:r>
        <w:rPr>
          <w:b/>
          <w:noProof/>
        </w:rPr>
        <w:t>Inwestowanie w mobilność zgodną z zasadami zrównoważonego rozwoju może równ</w:t>
      </w:r>
      <w:r>
        <w:rPr>
          <w:b/>
          <w:noProof/>
        </w:rPr>
        <w:t>ież zdecydowanie wspierać odbudowę.</w:t>
      </w:r>
      <w:r>
        <w:rPr>
          <w:noProof/>
        </w:rPr>
        <w:t xml:space="preserve"> Środki dotyczące transportu mogą przyczynić się do znacznej redukcji emisji gazów cieplarnianych i poprawy jakości powietrza, a jednocześnie sprzyjać wzrostowi wydajności. Opracowując krajowe plany odbudowy i zwiększania</w:t>
      </w:r>
      <w:r>
        <w:rPr>
          <w:noProof/>
        </w:rPr>
        <w:t xml:space="preserve"> odporności, państwa członkowskie powinny rozważyć takie środki jak inwestowanie w transport publiczny i infrastrukturę, które wspiera przejście na bardziej zrównoważoną i inteligentną mobilność, w tym funkcjonujące bez zakłóceń i wydajne europejskie sieci</w:t>
      </w:r>
      <w:r>
        <w:rPr>
          <w:noProof/>
        </w:rPr>
        <w:t xml:space="preserve"> multimodalne, a także modernizację transeuropejskich sieci transportowych dla pasażerów i towarów.</w:t>
      </w:r>
      <w:r>
        <w:rPr>
          <w:noProof/>
          <w:color w:val="000000" w:themeColor="text1"/>
        </w:rPr>
        <w:t xml:space="preserve"> </w:t>
      </w:r>
      <w:r>
        <w:rPr>
          <w:noProof/>
        </w:rPr>
        <w:t>Kluczowe dla osiągnięcia tego celu są również reformy i inwestycje mające na celu zwiększenie popytu na pojazdy bezemisyjne i niskoemisyjne oraz przyspiesze</w:t>
      </w:r>
      <w:r>
        <w:rPr>
          <w:noProof/>
        </w:rPr>
        <w:t>nie rozwoju infrastruktury ładowania i tankowania paliwa. Uzupełnieniem powyższego powinny być inwestycje w niskoemisyjne technologie energetyczne i łańcuchy wartości, w tym w technologie wodorowe lub baterie, oraz w zrównoważoną infrastrukturę energetyczn</w:t>
      </w:r>
      <w:r>
        <w:rPr>
          <w:noProof/>
        </w:rPr>
        <w:t>ą. Reforma zachęt środowiskowych wynikających z opodatkowania pojazdów i paliw będzie miała szczególne znaczenie dla wspierania tej tendencji.</w:t>
      </w:r>
      <w:r>
        <w:rPr>
          <w:i/>
          <w:noProof/>
        </w:rPr>
        <w:t xml:space="preserve"> </w:t>
      </w:r>
      <w:r>
        <w:rPr>
          <w:noProof/>
        </w:rPr>
        <w:t>Strategia Komisji na rzecz zrównoważonej i inteligentnej mobilności, która ma zostać przyjęta przed końcem 2020 r</w:t>
      </w:r>
      <w:r>
        <w:rPr>
          <w:noProof/>
        </w:rPr>
        <w:t>., będzie dodatkowo uwzględniać możliwości istniejące w sektorze transportu.</w:t>
      </w:r>
    </w:p>
    <w:p w:rsidR="00B730A3" w:rsidRDefault="00FA0E0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>
        <w:rPr>
          <w:rFonts w:ascii="Times New Roman" w:hAnsi="Times New Roman"/>
          <w:b/>
          <w:noProof/>
          <w:color w:val="000000"/>
          <w:sz w:val="24"/>
          <w:szCs w:val="24"/>
        </w:rPr>
        <w:t xml:space="preserve">Państwa członkowskie powinny również podjąć działania mające na celu propagowanie gospodarki o obiegu zamkniętym, poprawę infrastruktury środowiskowej oraz ochronę i przywrócenie </w:t>
      </w:r>
      <w:r>
        <w:rPr>
          <w:rFonts w:ascii="Times New Roman" w:hAnsi="Times New Roman"/>
          <w:b/>
          <w:noProof/>
          <w:color w:val="000000"/>
          <w:sz w:val="24"/>
          <w:szCs w:val="24"/>
        </w:rPr>
        <w:t>różnorodności biologicznej.</w:t>
      </w:r>
      <w:r>
        <w:rPr>
          <w:rFonts w:ascii="Times New Roman" w:hAnsi="Times New Roman"/>
          <w:noProof/>
          <w:color w:val="000000"/>
          <w:sz w:val="24"/>
          <w:szCs w:val="24"/>
        </w:rPr>
        <w:t xml:space="preserve"> Gospodarka o obiegu zamkniętym tworzy lokalne, trwałe miejsca pracy poprzez zapobieganie powstawaniu odpadów i ich ponowne wykorzystanie, naprawę, regenerację i recykling. Zwiększa ona odporność i otwartą strategiczną autonomię </w:t>
      </w:r>
      <w:r>
        <w:rPr>
          <w:rFonts w:ascii="Times New Roman" w:hAnsi="Times New Roman"/>
          <w:noProof/>
          <w:color w:val="000000"/>
          <w:sz w:val="24"/>
          <w:szCs w:val="24"/>
        </w:rPr>
        <w:t>UE poprzez rozwój innowacyjnych modeli biznesowych opartych na technologiach cyfrowych w celu zwiększenia efektywnego wykorzystania zasobów i surowców wtórnych. Poprawa infrastruktury środowiskowej, w szczególności w zakresie gospodarowania odpadami i wodą</w:t>
      </w:r>
      <w:r>
        <w:rPr>
          <w:rFonts w:ascii="Times New Roman" w:hAnsi="Times New Roman"/>
          <w:noProof/>
          <w:color w:val="000000"/>
          <w:sz w:val="24"/>
          <w:szCs w:val="24"/>
        </w:rPr>
        <w:t xml:space="preserve"> oraz ograniczenia zanieczyszczeń, chroni zdrowie i dobrostan obywateli przed zagrożeniami i skutkami związanymi ze środowiskiem. Ochrona i odtworzenie różnorodności biologicznej i ekosystemów naturalnych oraz zapewnienie zrównoważonych systemów żywnościow</w:t>
      </w:r>
      <w:r>
        <w:rPr>
          <w:rFonts w:ascii="Times New Roman" w:hAnsi="Times New Roman"/>
          <w:noProof/>
          <w:color w:val="000000"/>
          <w:sz w:val="24"/>
          <w:szCs w:val="24"/>
        </w:rPr>
        <w:t>ych to kluczowe czynniki, które umożliwią intensywniejsze pochłanianie dwutlenku węgla oraz pozwolą zwiększyć odporność i zapobiegać pojawianiu się i rozprzestrzenianiu epidemii w przyszłości. Stworzy to również nowe możliwości gospodarcze na obszarach wie</w:t>
      </w:r>
      <w:r>
        <w:rPr>
          <w:rFonts w:ascii="Times New Roman" w:hAnsi="Times New Roman"/>
          <w:noProof/>
          <w:color w:val="000000"/>
          <w:sz w:val="24"/>
          <w:szCs w:val="24"/>
        </w:rPr>
        <w:t>jskich dzięki bardziej zrównoważonemu użytkowaniu gruntów.</w:t>
      </w:r>
    </w:p>
    <w:p w:rsidR="00B730A3" w:rsidRDefault="00FA0E0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>
        <w:rPr>
          <w:rFonts w:ascii="Times New Roman" w:hAnsi="Times New Roman"/>
          <w:b/>
          <w:noProof/>
          <w:color w:val="000000"/>
          <w:sz w:val="24"/>
          <w:szCs w:val="24"/>
        </w:rPr>
        <w:t>Ponadto państwa członkowskie będą musiały uwzględnić potrzebę zapewnienia uczciwej i zgodnej z zasadami sprawiedliwości społecznej transformacji we wszystkich obszarach polityki ekologicznej.</w:t>
      </w:r>
      <w:r>
        <w:rPr>
          <w:rFonts w:ascii="Times New Roman" w:hAnsi="Times New Roman"/>
          <w:noProof/>
          <w:color w:val="000000"/>
          <w:sz w:val="24"/>
          <w:szCs w:val="24"/>
        </w:rPr>
        <w:t xml:space="preserve"> Oznac</w:t>
      </w:r>
      <w:r>
        <w:rPr>
          <w:rFonts w:ascii="Times New Roman" w:hAnsi="Times New Roman"/>
          <w:noProof/>
          <w:color w:val="000000"/>
          <w:sz w:val="24"/>
          <w:szCs w:val="24"/>
        </w:rPr>
        <w:t xml:space="preserve">za to w szczególności, że krajowe plany odbudowy i zwiększania odporności powinny być opracowywane w pełnej zgodności z proponowanymi terytorialnymi planami sprawiedliwej transformacji w ramach mechanizmu sprawiedliwej transformacji. </w:t>
      </w:r>
    </w:p>
    <w:p w:rsidR="00B730A3" w:rsidRDefault="00FA0E0B">
      <w:pPr>
        <w:keepNext/>
        <w:jc w:val="both"/>
        <w:rPr>
          <w:rFonts w:ascii="Times New Roman" w:hAnsi="Times New Roman" w:cs="Times New Roman"/>
          <w:b/>
          <w:noProof/>
          <w:sz w:val="24"/>
          <w:szCs w:val="24"/>
          <w:u w:val="single"/>
        </w:rPr>
      </w:pPr>
      <w:r>
        <w:rPr>
          <w:rFonts w:ascii="Times New Roman" w:hAnsi="Times New Roman"/>
          <w:b/>
          <w:noProof/>
          <w:sz w:val="24"/>
          <w:szCs w:val="24"/>
          <w:u w:val="single"/>
        </w:rPr>
        <w:t>Transformacja cyfrowa</w:t>
      </w:r>
      <w:r>
        <w:rPr>
          <w:rFonts w:ascii="Times New Roman" w:hAnsi="Times New Roman"/>
          <w:b/>
          <w:noProof/>
          <w:sz w:val="24"/>
          <w:szCs w:val="24"/>
          <w:u w:val="single"/>
        </w:rPr>
        <w:t xml:space="preserve"> i wydajność</w:t>
      </w:r>
    </w:p>
    <w:p w:rsidR="00B730A3" w:rsidRDefault="00FA0E0B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>Państwa członkowskie powinny zapewnić wysoki poziom ambicji w zakresie transformacji cyfrowej w ramach swoich planów odbudowy i zwiększania odporności.</w:t>
      </w:r>
      <w:r>
        <w:rPr>
          <w:rFonts w:ascii="Times New Roman" w:hAnsi="Times New Roman"/>
          <w:noProof/>
          <w:sz w:val="24"/>
          <w:szCs w:val="24"/>
        </w:rPr>
        <w:t xml:space="preserve"> Instrument na rzecz Odbudowy i Zwiększania Odporności stwarza wyjątkową okazję do wspierani</w:t>
      </w:r>
      <w:r>
        <w:rPr>
          <w:rFonts w:ascii="Times New Roman" w:hAnsi="Times New Roman"/>
          <w:noProof/>
          <w:sz w:val="24"/>
          <w:szCs w:val="24"/>
        </w:rPr>
        <w:t>a transformacji cyfrowej wszystkich sektorów gospodarczych i społecznych, w tym usług publicznych. Aby zapewnić skuteczne wprowadzenie w życie, Komisja proponuje, by każdy plan odbudowy i zwiększania odporności obejmował co najmniej 20 % wydatków związanyc</w:t>
      </w:r>
      <w:r>
        <w:rPr>
          <w:rFonts w:ascii="Times New Roman" w:hAnsi="Times New Roman"/>
          <w:noProof/>
          <w:sz w:val="24"/>
          <w:szCs w:val="24"/>
        </w:rPr>
        <w:t>h z cyfryzacją.</w:t>
      </w:r>
    </w:p>
    <w:p w:rsidR="00B730A3" w:rsidRDefault="00FA0E0B">
      <w:pPr>
        <w:pStyle w:val="Briefinglist2"/>
        <w:numPr>
          <w:ilvl w:val="0"/>
          <w:numId w:val="0"/>
        </w:numPr>
        <w:spacing w:line="276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 xml:space="preserve">Państwa członkowskie powinny skoncentrować się na tych reformach i inwestycjach, które poprawiają łączność. </w:t>
      </w:r>
      <w:r>
        <w:rPr>
          <w:rFonts w:ascii="Times New Roman" w:hAnsi="Times New Roman"/>
          <w:noProof/>
          <w:sz w:val="24"/>
          <w:szCs w:val="24"/>
        </w:rPr>
        <w:t xml:space="preserve">Należy do nich na przykład wspieranie i ułatwianie powszechnego wprowadzania sieci o bardzo dużej przepustowości, w tym połączeń 5G </w:t>
      </w:r>
      <w:r>
        <w:rPr>
          <w:rFonts w:ascii="Times New Roman" w:hAnsi="Times New Roman"/>
          <w:noProof/>
          <w:sz w:val="24"/>
          <w:szCs w:val="24"/>
        </w:rPr>
        <w:t>i gigabitowych obejmujących miejskie i wiejskie gospodarstwa domowe oraz wielkoskalowe korytarze transportowe, zgodnie z unijnymi celami dotyczącymi połączeń 5G i gigabitowych do 2025 r. Inwestycje te są ważne dla niwelowania przepaści cyfrowej, przy jedno</w:t>
      </w:r>
      <w:r>
        <w:rPr>
          <w:rFonts w:ascii="Times New Roman" w:hAnsi="Times New Roman"/>
          <w:noProof/>
          <w:sz w:val="24"/>
          <w:szCs w:val="24"/>
        </w:rPr>
        <w:t>czesnym unikaniu wypierania inwestycji prywatnych w przypadkach, w których nie ma niedoskonałości rynku. Jak wskazano w związku z instrumentem „Next Generation EU”, szybkie wprowadzenie sieci o bardzo dużej przepustowości, w tym sieci 5G i światłowodów, za</w:t>
      </w:r>
      <w:r>
        <w:rPr>
          <w:rFonts w:ascii="Times New Roman" w:hAnsi="Times New Roman"/>
          <w:noProof/>
          <w:sz w:val="24"/>
          <w:szCs w:val="24"/>
        </w:rPr>
        <w:t>owocuje dodatkowymi pozytywnymi skutkami dla całego społeczeństwa. Obejmują one zapewnienie odpowiedniej szerokości pasma i zasięgu dla sektorów, które mają zasadnicze znaczenie dla odbudowy i zwiększania odporności, takich jak rolnictwo, transport, zdrowi</w:t>
      </w:r>
      <w:r>
        <w:rPr>
          <w:rFonts w:ascii="Times New Roman" w:hAnsi="Times New Roman"/>
          <w:noProof/>
          <w:sz w:val="24"/>
          <w:szCs w:val="24"/>
        </w:rPr>
        <w:t>e i edukacja. Przyczyni się to również do zwiększenia otwartej strategicznej autonomii Europy, przy jednoczesnym czerpaniu korzyści z otwartej gospodarki, dzięki zapewnieniu wsparcia we wdrażaniu infrastruktury, która będzie potrzebna do przyszłych zastoso</w:t>
      </w:r>
      <w:r>
        <w:rPr>
          <w:rFonts w:ascii="Times New Roman" w:hAnsi="Times New Roman"/>
          <w:noProof/>
          <w:sz w:val="24"/>
          <w:szCs w:val="24"/>
        </w:rPr>
        <w:t>wań i procesów.</w:t>
      </w:r>
    </w:p>
    <w:p w:rsidR="00B730A3" w:rsidRDefault="00FA0E0B">
      <w:pPr>
        <w:pStyle w:val="Briefinglist2"/>
        <w:numPr>
          <w:ilvl w:val="0"/>
          <w:numId w:val="0"/>
        </w:numPr>
        <w:spacing w:line="276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>Rozwijanie umiejętności cyfrowych na wszystkich poziomach jest warunkiem zapewnienia wszystkim Europejczykom możliwości uczestniczenia w życiu społecznym i korzystania z transformacji cyfrowej.</w:t>
      </w:r>
      <w:r>
        <w:rPr>
          <w:rFonts w:ascii="Times New Roman" w:hAnsi="Times New Roman"/>
          <w:noProof/>
          <w:sz w:val="24"/>
          <w:szCs w:val="24"/>
        </w:rPr>
        <w:t xml:space="preserve"> Będzie to wymagało reform w dziedzinie szkolni</w:t>
      </w:r>
      <w:r>
        <w:rPr>
          <w:rFonts w:ascii="Times New Roman" w:hAnsi="Times New Roman"/>
          <w:noProof/>
          <w:sz w:val="24"/>
          <w:szCs w:val="24"/>
        </w:rPr>
        <w:t>ctwa podstawowego i wyższego, umiejętności i uczenia się przez całe życie, aby wspierać rynek pracy w okresie transformacji, rozwijać i wdrażać kluczowe technologie cyfrowe oraz kształtować cyfrową przyszłość Europy. Należy wspierać równość w dostępie do i</w:t>
      </w:r>
      <w:r>
        <w:rPr>
          <w:rFonts w:ascii="Times New Roman" w:hAnsi="Times New Roman"/>
          <w:noProof/>
          <w:sz w:val="24"/>
          <w:szCs w:val="24"/>
        </w:rPr>
        <w:t xml:space="preserve">nfrastruktury cyfrowej, sprzętu i umiejętności, aby zapobiegać powstaniu przepaści cyfrowej. Transformacja administracji publicznej, w tym cyfryzacja systemów wymiaru sprawiedliwości, z wykorzystaniem nowych generacji narzędzi cyfrowych usprawni procedury </w:t>
      </w:r>
      <w:r>
        <w:rPr>
          <w:rFonts w:ascii="Times New Roman" w:hAnsi="Times New Roman"/>
          <w:noProof/>
          <w:sz w:val="24"/>
          <w:szCs w:val="24"/>
        </w:rPr>
        <w:t>administracyjne i ułatwi interakcje w internecie z obywatelami i przedsiębiorstwami. Należy przyspieszyć cyfryzację przedsiębiorstw poprzez trwałe upowszechnienie rozwiązań cyfrowych i odporną na cyberzagrożenia transformację cyfrową we wszystkich sektorac</w:t>
      </w:r>
      <w:r>
        <w:rPr>
          <w:rFonts w:ascii="Times New Roman" w:hAnsi="Times New Roman"/>
          <w:noProof/>
          <w:sz w:val="24"/>
          <w:szCs w:val="24"/>
        </w:rPr>
        <w:t>h. Opracowanie rozwiązań cyfrowych będzie kluczowym czynnikiem umożliwiającym przeprowadzenie transformacji ekologicznej.</w:t>
      </w:r>
    </w:p>
    <w:p w:rsidR="00B730A3" w:rsidRDefault="00FA0E0B">
      <w:pPr>
        <w:pStyle w:val="Briefinglist2"/>
        <w:numPr>
          <w:ilvl w:val="0"/>
          <w:numId w:val="0"/>
        </w:numPr>
        <w:spacing w:line="276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 xml:space="preserve">Plany odbudowy i zwiększania odporności powinny również koncentrować się na budowaniu i wprowadzaniu zaawansowanych zdolności cyfrowych. </w:t>
      </w:r>
      <w:r>
        <w:rPr>
          <w:rFonts w:ascii="Times New Roman" w:hAnsi="Times New Roman"/>
          <w:noProof/>
          <w:sz w:val="24"/>
          <w:szCs w:val="24"/>
        </w:rPr>
        <w:t>Reformy i inwestycje, które umożliwiają korzystanie ze sztucznej inteligencji, obliczeń wielkiej skali, cyberbezpieczeń</w:t>
      </w:r>
      <w:r>
        <w:rPr>
          <w:rFonts w:ascii="Times New Roman" w:hAnsi="Times New Roman"/>
          <w:noProof/>
          <w:sz w:val="24"/>
          <w:szCs w:val="24"/>
        </w:rPr>
        <w:t>stwa, technologii kwantowych i infrastruktury kwantowej, bezpiecznej łączności, mikroelektroniki i komponentów elektronicznych, infrastruktury i usług w chmurze, usług sektora kosmicznego lub łańcucha bloków, stanowią wyjątkową szansę zwiększenia wydajnośc</w:t>
      </w:r>
      <w:r>
        <w:rPr>
          <w:rFonts w:ascii="Times New Roman" w:hAnsi="Times New Roman"/>
          <w:noProof/>
          <w:sz w:val="24"/>
          <w:szCs w:val="24"/>
        </w:rPr>
        <w:t>i w perspektywie długoterminowej i umożliwienia Europie odgrywania czołowej roli w tych konkurencyjnych w skali światowej sektorach. Aby wzmocnić otwartą strategiczną autonomię UE, Instrument na rzecz Odbudowy i Zwiększania Odporności może pomóc państwom c</w:t>
      </w:r>
      <w:r>
        <w:rPr>
          <w:rFonts w:ascii="Times New Roman" w:hAnsi="Times New Roman"/>
          <w:noProof/>
          <w:sz w:val="24"/>
          <w:szCs w:val="24"/>
        </w:rPr>
        <w:t>złonkowskim w podejmowaniu inwestycji i reform w tych kluczowych sektorach ich gospodarek.</w:t>
      </w:r>
    </w:p>
    <w:p w:rsidR="00B730A3" w:rsidRDefault="00FA0E0B">
      <w:pPr>
        <w:keepNext/>
        <w:jc w:val="both"/>
        <w:rPr>
          <w:rFonts w:ascii="Times New Roman" w:hAnsi="Times New Roman" w:cs="Times New Roman"/>
          <w:b/>
          <w:noProof/>
          <w:sz w:val="24"/>
          <w:szCs w:val="24"/>
          <w:u w:val="single"/>
        </w:rPr>
      </w:pPr>
      <w:r>
        <w:rPr>
          <w:rFonts w:ascii="Times New Roman" w:hAnsi="Times New Roman"/>
          <w:b/>
          <w:noProof/>
          <w:sz w:val="24"/>
          <w:szCs w:val="24"/>
          <w:u w:val="single"/>
        </w:rPr>
        <w:t>Sprawiedliwość</w:t>
      </w:r>
    </w:p>
    <w:p w:rsidR="00B730A3" w:rsidRDefault="00FA0E0B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>Proces odbudowy i transformacji musi być sprawiedliwy dla wszystkich Europejczyków, aby zapobiec pogłębianiu się nierówności, zapewnić wsparcie ze str</w:t>
      </w:r>
      <w:r>
        <w:rPr>
          <w:rFonts w:ascii="Times New Roman" w:hAnsi="Times New Roman"/>
          <w:b/>
          <w:noProof/>
          <w:sz w:val="24"/>
          <w:szCs w:val="24"/>
        </w:rPr>
        <w:t>ony wszystkich grup społecznych i przyczynić się do spójności społecznej, gospodarczej i terytorialnej.</w:t>
      </w:r>
      <w:r>
        <w:rPr>
          <w:rFonts w:ascii="Times New Roman" w:hAnsi="Times New Roman"/>
          <w:noProof/>
          <w:sz w:val="24"/>
          <w:szCs w:val="24"/>
        </w:rPr>
        <w:t xml:space="preserve"> Instrument na rzecz Odbudowy i Zwiększania Odporności pomoże państwom członkowskim sprostać wyzwaniom strukturalnym zidentyfikowanym od wielu lat w rama</w:t>
      </w:r>
      <w:r>
        <w:rPr>
          <w:rFonts w:ascii="Times New Roman" w:hAnsi="Times New Roman"/>
          <w:noProof/>
          <w:sz w:val="24"/>
          <w:szCs w:val="24"/>
        </w:rPr>
        <w:t>ch europejskiego semestru i nasilonym przez kryzys związany z COVID-19. Chociaż rozwiązania w zakresie pracy w zmniejszonym wymiarze czasu przyczyniły się do ograniczenia wpływu kryzysu na zatrudnienie, warunki na rynku pracy pogarszają się, a bezrobocie p</w:t>
      </w:r>
      <w:r>
        <w:rPr>
          <w:rFonts w:ascii="Times New Roman" w:hAnsi="Times New Roman"/>
          <w:noProof/>
          <w:sz w:val="24"/>
          <w:szCs w:val="24"/>
        </w:rPr>
        <w:t>rawdopodobnie gwałtownie wzrośnie w poszczególnych sektorach i częściach Europy. Szczególnej uwagi wymaga sytuacja młodzieży. Należy dołożyć wszelkich starań, aby zapobiec utrwaleniu bezrobocia i wykluczenia społecznego oraz ułatwić takie dostosowanie rynk</w:t>
      </w:r>
      <w:r>
        <w:rPr>
          <w:rFonts w:ascii="Times New Roman" w:hAnsi="Times New Roman"/>
          <w:noProof/>
          <w:sz w:val="24"/>
          <w:szCs w:val="24"/>
        </w:rPr>
        <w:t>u pracy, którego wymaga transformacja ekologiczna i cyfrowa. Ważne będzie również wspieranie konwergencji i zwiększenie odporności regionów, w szczególności w celu zmniejszenia dysproporcji terytorialnych.</w:t>
      </w:r>
    </w:p>
    <w:p w:rsidR="00B730A3" w:rsidRDefault="00FA0E0B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>W świetle Europejskiego filaru praw socjalnych pań</w:t>
      </w:r>
      <w:r>
        <w:rPr>
          <w:rFonts w:ascii="Times New Roman" w:hAnsi="Times New Roman"/>
          <w:b/>
          <w:noProof/>
          <w:sz w:val="24"/>
          <w:szCs w:val="24"/>
        </w:rPr>
        <w:t>stwa członkowskie powinny przyjąć środki służące zapewnieniu równych szans, edukacji włączającej, sprawiedliwych warunków pracy i odpowiedniej ochrony socjalnej.</w:t>
      </w:r>
      <w:r>
        <w:rPr>
          <w:rFonts w:ascii="Times New Roman" w:hAnsi="Times New Roman"/>
          <w:noProof/>
          <w:sz w:val="24"/>
          <w:szCs w:val="24"/>
        </w:rPr>
        <w:t xml:space="preserve"> Wraz ze zmianami demograficznymi transformacja ekologiczna i cyfrowa wymaga ponownego przemyśl</w:t>
      </w:r>
      <w:r>
        <w:rPr>
          <w:rFonts w:ascii="Times New Roman" w:hAnsi="Times New Roman"/>
          <w:noProof/>
          <w:sz w:val="24"/>
          <w:szCs w:val="24"/>
        </w:rPr>
        <w:t>enia obecnych systemów ochrony socjalnej i rynków pracy. Oprócz młodzieży kryzys niewspółmiernie dotknął kobiety i grupy znajdujące się w niekorzystnej sytuacji, takie jak osoby o niskich kwalifikacjach i osoby niepełnosprawne oraz osoby pochodzące z mniej</w:t>
      </w:r>
      <w:r>
        <w:rPr>
          <w:rFonts w:ascii="Times New Roman" w:hAnsi="Times New Roman"/>
          <w:noProof/>
          <w:sz w:val="24"/>
          <w:szCs w:val="24"/>
        </w:rPr>
        <w:t>szości rasowych lub etnicznych. Będzie to wymagało znacznych wysiłków na rzecz ułatwienia im dostępu do rynku pracy, na przykład poprzez zajęcie się problemem segmentacji rynków pracy w wielu państwach członkowskich i wzmocnienie aktywnej polityki w zakres</w:t>
      </w:r>
      <w:r>
        <w:rPr>
          <w:rFonts w:ascii="Times New Roman" w:hAnsi="Times New Roman"/>
          <w:noProof/>
          <w:sz w:val="24"/>
          <w:szCs w:val="24"/>
        </w:rPr>
        <w:t>ie rynku pracy, lecz także poprzez nadanie systemom edukacji bardziej integracyjnego charakteru. W związku z tym szczególnie ważny jest równy dostęp do wysokiej jakości kształcenia i szkolenia dla grup znajdujących się w niekorzystnej sytuacji, aby zrekomp</w:t>
      </w:r>
      <w:r>
        <w:rPr>
          <w:rFonts w:ascii="Times New Roman" w:hAnsi="Times New Roman"/>
          <w:noProof/>
          <w:sz w:val="24"/>
          <w:szCs w:val="24"/>
        </w:rPr>
        <w:t>ensować fakt, że status społeczno-ekonomiczny jest obecnie najważniejszym czynnikiem decydującym o wynikach kształcenia dzieci i młodzieży.</w:t>
      </w:r>
    </w:p>
    <w:p w:rsidR="00B730A3" w:rsidRDefault="00FA0E0B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>Różne formy nierówności ograniczają wzrost i spójność społeczną.</w:t>
      </w:r>
      <w:r>
        <w:rPr>
          <w:rFonts w:ascii="Times New Roman" w:hAnsi="Times New Roman"/>
          <w:noProof/>
          <w:sz w:val="24"/>
          <w:szCs w:val="24"/>
        </w:rPr>
        <w:t xml:space="preserve"> Zapewnienie równego dostępu do edukacji, wysokiej j</w:t>
      </w:r>
      <w:r>
        <w:rPr>
          <w:rFonts w:ascii="Times New Roman" w:hAnsi="Times New Roman"/>
          <w:noProof/>
          <w:sz w:val="24"/>
          <w:szCs w:val="24"/>
        </w:rPr>
        <w:t>akości opieki zdrowotnej, a także wzmocnienie systemu opieki długoterminowej będzie miało coraz większe znaczenie również dlatego, że przez lata utrzyma się pełny wpływ COVID-19 na zdrowie publiczne. Zapewnienie wysokiej jakości świadczeń zdrowotnych, któr</w:t>
      </w:r>
      <w:r>
        <w:rPr>
          <w:rFonts w:ascii="Times New Roman" w:hAnsi="Times New Roman"/>
          <w:noProof/>
          <w:sz w:val="24"/>
          <w:szCs w:val="24"/>
        </w:rPr>
        <w:t>e są stabilne pod względem budżetowym, przystępne cenowo i dostępne, przyczynia się do powstania zdrowego i odpornego społeczeństwa oraz do zapewnienia produktywnej siły roboczej. Konieczne jest również rozwiązanie problemu stale wysokich różnic w zatrudni</w:t>
      </w:r>
      <w:r>
        <w:rPr>
          <w:rFonts w:ascii="Times New Roman" w:hAnsi="Times New Roman"/>
          <w:noProof/>
          <w:sz w:val="24"/>
          <w:szCs w:val="24"/>
        </w:rPr>
        <w:t>eniu i wynagrodzeniach mężczyzn i kobiet. Kluczowe znaczenie w tym względzie mają odpowiednie wsparcie dla skutecznych strategii politycznych na rzecz równowagi między życiem zawodowym a prywatnym, zapewnienie dostępu do wysokiej jakości opieki nad dziećmi</w:t>
      </w:r>
      <w:r>
        <w:rPr>
          <w:rFonts w:ascii="Times New Roman" w:hAnsi="Times New Roman"/>
          <w:noProof/>
          <w:sz w:val="24"/>
          <w:szCs w:val="24"/>
        </w:rPr>
        <w:t>, systemy wsparcia dochodów oraz reformy systemów podatkowych i systemów zabezpieczenia społecznego wspierające tworzenie wysokiej jakości miejsc pracy i ograniczające czynniki zniechęcające do podejmowania pracy. Reformy systemu ochrony socjalnej mogą zmn</w:t>
      </w:r>
      <w:r>
        <w:rPr>
          <w:rFonts w:ascii="Times New Roman" w:hAnsi="Times New Roman"/>
          <w:noProof/>
          <w:sz w:val="24"/>
          <w:szCs w:val="24"/>
        </w:rPr>
        <w:t xml:space="preserve">iejszyć wspomniane nierówności, podobnie jak reformy systemu podatkowego, na przykład poprzez takie przesunięcie obciążeń podatkowych, dzięki któremu praca podlegać będzie opodatkowaniu o mniej zakłócających skutkach. </w:t>
      </w:r>
    </w:p>
    <w:p w:rsidR="00B730A3" w:rsidRDefault="00FA0E0B">
      <w:pPr>
        <w:pStyle w:val="Akapitzlist"/>
        <w:keepNext/>
        <w:ind w:left="0"/>
        <w:jc w:val="both"/>
        <w:rPr>
          <w:rFonts w:ascii="Times New Roman" w:hAnsi="Times New Roman" w:cs="Times New Roman"/>
          <w:b/>
          <w:noProof/>
          <w:sz w:val="24"/>
          <w:szCs w:val="24"/>
          <w:u w:val="single"/>
        </w:rPr>
      </w:pPr>
      <w:r>
        <w:rPr>
          <w:rFonts w:ascii="Times New Roman" w:hAnsi="Times New Roman"/>
          <w:b/>
          <w:noProof/>
          <w:sz w:val="24"/>
          <w:szCs w:val="24"/>
          <w:u w:val="single"/>
        </w:rPr>
        <w:t xml:space="preserve">Stabilność makroekonomiczna </w:t>
      </w:r>
    </w:p>
    <w:p w:rsidR="00B730A3" w:rsidRDefault="00FA0E0B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>W 2021 r</w:t>
      </w:r>
      <w:r>
        <w:rPr>
          <w:rFonts w:ascii="Times New Roman" w:hAnsi="Times New Roman"/>
          <w:b/>
          <w:noProof/>
          <w:sz w:val="24"/>
          <w:szCs w:val="24"/>
        </w:rPr>
        <w:t>. państwa członkowskie powinny nadal zapewniać ukierunkowane i tymczasowe wsparcie budżetowe w kontekście uruchomienia ogólnej klauzuli wyjścia, przy jednoczesnym zabezpieczeniu stabilności budżetowej w średnim okresie.</w:t>
      </w:r>
      <w:r>
        <w:rPr>
          <w:rFonts w:ascii="Times New Roman" w:hAnsi="Times New Roman"/>
          <w:noProof/>
          <w:sz w:val="24"/>
          <w:szCs w:val="24"/>
        </w:rPr>
        <w:t xml:space="preserve"> Powinny one stopniowo przechodzić od</w:t>
      </w:r>
      <w:r>
        <w:rPr>
          <w:rFonts w:ascii="Times New Roman" w:hAnsi="Times New Roman"/>
          <w:noProof/>
          <w:sz w:val="24"/>
          <w:szCs w:val="24"/>
        </w:rPr>
        <w:t xml:space="preserve"> ochronnego reagowania kryzysowego do środków ułatwiających realokację zasobów i wspierać odbudowę. Kiedy warunki ekonomiczne na to pozwolą, celem polityki budżetowej powinno być przywrócenie stabilnej średniookresowej sytuacji budżetowej i zapewnienie zdo</w:t>
      </w:r>
      <w:r>
        <w:rPr>
          <w:rFonts w:ascii="Times New Roman" w:hAnsi="Times New Roman"/>
          <w:noProof/>
          <w:sz w:val="24"/>
          <w:szCs w:val="24"/>
        </w:rPr>
        <w:t>lności obsługi zadłużenia, przy jednoczesnym zwiększeniu inwestycji. Uzupełnienie z czasem buforów fiskalnych będzie miało duże znaczenie dla przygotowania się na przyszłe kryzysy. Uruchomienie ogólnej klauzuli wyjścia nie zawiesza procedur paktu stabilnoś</w:t>
      </w:r>
      <w:r>
        <w:rPr>
          <w:rFonts w:ascii="Times New Roman" w:hAnsi="Times New Roman"/>
          <w:noProof/>
          <w:sz w:val="24"/>
          <w:szCs w:val="24"/>
        </w:rPr>
        <w:t xml:space="preserve">ci i wzrostu. </w:t>
      </w:r>
    </w:p>
    <w:p w:rsidR="00B730A3" w:rsidRDefault="00FA0E0B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>Poprawa jakości finansów publicznych będzie miała istotne znaczenie dla pobudzenia potencjału wzrostu gospodarczego i wspierania przekształceń gospodarczych.</w:t>
      </w:r>
      <w:r>
        <w:rPr>
          <w:rFonts w:ascii="Times New Roman" w:hAnsi="Times New Roman"/>
          <w:noProof/>
          <w:sz w:val="24"/>
          <w:szCs w:val="24"/>
        </w:rPr>
        <w:t xml:space="preserve"> Z</w:t>
      </w:r>
      <w:r>
        <w:rPr>
          <w:rFonts w:ascii="Times New Roman" w:hAnsi="Times New Roman"/>
          <w:b/>
          <w:noProof/>
          <w:sz w:val="24"/>
          <w:szCs w:val="24"/>
        </w:rPr>
        <w:t> </w:t>
      </w:r>
      <w:r>
        <w:rPr>
          <w:rFonts w:ascii="Times New Roman" w:hAnsi="Times New Roman"/>
          <w:noProof/>
          <w:sz w:val="24"/>
          <w:szCs w:val="24"/>
        </w:rPr>
        <w:t>uwagi na bezprecedensowe pakiety środków budżetowych przyjęte przez państwa człon</w:t>
      </w:r>
      <w:r>
        <w:rPr>
          <w:rFonts w:ascii="Times New Roman" w:hAnsi="Times New Roman"/>
          <w:noProof/>
          <w:sz w:val="24"/>
          <w:szCs w:val="24"/>
        </w:rPr>
        <w:t xml:space="preserve">kowskie i wiążącą się z tym zwiększoną rolę sektora publicznego w gospodarce bardzo ważne jest, by administracja publiczna była skuteczna i wydajna. W przyszłości te państwa członkowskie, które zapewnią należyte zarządzanie finansami publicznymi, szybciej </w:t>
      </w:r>
      <w:r>
        <w:rPr>
          <w:rFonts w:ascii="Times New Roman" w:hAnsi="Times New Roman"/>
          <w:noProof/>
          <w:sz w:val="24"/>
          <w:szCs w:val="24"/>
        </w:rPr>
        <w:t>wyjdą z kryzysu. Wydatki publiczne będą musiały wspierać transformację ekologiczną i cyfrową, w tym poprzez zielone i cyfrowe zamówienia publiczne oraz ekologiczne planowanie budżetu. Ponadto ustalanie opłat za emisję gazów cieplarnianych i opodatkowanie ś</w:t>
      </w:r>
      <w:r>
        <w:rPr>
          <w:rFonts w:ascii="Times New Roman" w:hAnsi="Times New Roman"/>
          <w:noProof/>
          <w:sz w:val="24"/>
          <w:szCs w:val="24"/>
        </w:rPr>
        <w:t>rodowiskowe będą ważnymi instrumentami środowiskowymi i fiskalnymi służącymi wdrożeniu transformacji ekologicznej. Zwiększenie finansowania prywatnego odegra kluczową rolę, generując efekt mnożnikowy względem środków publicznych uruchomionych na rzecz odbu</w:t>
      </w:r>
      <w:r>
        <w:rPr>
          <w:rFonts w:ascii="Times New Roman" w:hAnsi="Times New Roman"/>
          <w:noProof/>
          <w:sz w:val="24"/>
          <w:szCs w:val="24"/>
        </w:rPr>
        <w:t>dowy, na przykład poprzez dalsze pogłębianie unii rynków kapitałowych, lokalnych rynków kapitałowych i zrównoważonego finansowania.</w:t>
      </w:r>
    </w:p>
    <w:p w:rsidR="00B730A3" w:rsidRDefault="00FA0E0B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>Konieczne są odpowiednie środki, aby zapewnić uporządkowany rozwój sytuacji w zakresie zadłużenia sektora prywatnego.</w:t>
      </w:r>
      <w:r>
        <w:rPr>
          <w:rFonts w:ascii="Times New Roman" w:hAnsi="Times New Roman"/>
          <w:noProof/>
          <w:sz w:val="24"/>
          <w:szCs w:val="24"/>
        </w:rPr>
        <w:t xml:space="preserve"> Kryzys</w:t>
      </w:r>
      <w:r>
        <w:rPr>
          <w:rFonts w:ascii="Times New Roman" w:hAnsi="Times New Roman"/>
          <w:noProof/>
          <w:sz w:val="24"/>
          <w:szCs w:val="24"/>
        </w:rPr>
        <w:t xml:space="preserve"> związany z COVID-19 odbija się niekorzystnie na zatrudnieniu i rentowności w sektorze przedsiębiorstw. Zadłużenie sektora prywatnego rośnie, a perspektywy na terminową spłatę pozostałego do spłaty długu pogarszają się. W tym kontekście ważne będzie stworz</w:t>
      </w:r>
      <w:r>
        <w:rPr>
          <w:rFonts w:ascii="Times New Roman" w:hAnsi="Times New Roman"/>
          <w:noProof/>
          <w:sz w:val="24"/>
          <w:szCs w:val="24"/>
        </w:rPr>
        <w:t xml:space="preserve">enie odpowiednich warunków do zapewnienia szybkich i skutecznych środków zaradczych, w tym w odniesieniu do ram prawnych dotyczących niewypłacalności, przy jednoczesnym zapewnieniu, by udzielanie pożyczek przedsiębiorstwom i gospodarstwom domowym odbywało </w:t>
      </w:r>
      <w:r>
        <w:rPr>
          <w:rFonts w:ascii="Times New Roman" w:hAnsi="Times New Roman"/>
          <w:noProof/>
          <w:sz w:val="24"/>
          <w:szCs w:val="24"/>
        </w:rPr>
        <w:t>się zgodnie z najlepszymi praktykami uzgodnionymi między sektorem finansowym, konsumentami i przedsiębiorstwami.</w:t>
      </w:r>
    </w:p>
    <w:p w:rsidR="00B730A3" w:rsidRDefault="00B730A3">
      <w:pPr>
        <w:pStyle w:val="Akapitzlist"/>
        <w:jc w:val="both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:rsidR="00B730A3" w:rsidRDefault="00FA0E0B">
      <w:pPr>
        <w:pStyle w:val="Akapitzlist"/>
        <w:keepNext/>
        <w:numPr>
          <w:ilvl w:val="0"/>
          <w:numId w:val="1"/>
        </w:numPr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>Pobudzanie reform i inwestycji w celu wsparcia trwałej odbudowy: europejskie inicjatywy przewodnie</w:t>
      </w:r>
    </w:p>
    <w:p w:rsidR="00B730A3" w:rsidRDefault="00FA0E0B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>Chociaż plany będą odzwierciedlać konkretną</w:t>
      </w:r>
      <w:r>
        <w:rPr>
          <w:rFonts w:ascii="Times New Roman" w:hAnsi="Times New Roman"/>
          <w:b/>
          <w:noProof/>
          <w:sz w:val="24"/>
          <w:szCs w:val="24"/>
        </w:rPr>
        <w:t xml:space="preserve"> sytuację każdego państwa członkowskiego, istnieją pewne wspólne wyzwania, które wymagają skoordynowanych inwestycji i reform.</w:t>
      </w:r>
      <w:r>
        <w:rPr>
          <w:rFonts w:ascii="Times New Roman" w:hAnsi="Times New Roman"/>
          <w:noProof/>
          <w:sz w:val="24"/>
          <w:szCs w:val="24"/>
        </w:rPr>
        <w:t xml:space="preserve"> Instrument na rzecz Odbudowy i Zwiększania Odporności daje okazję do stworzenia europejskich inicjatyw przewodnich przynoszących </w:t>
      </w:r>
      <w:r>
        <w:rPr>
          <w:rFonts w:ascii="Times New Roman" w:hAnsi="Times New Roman"/>
          <w:noProof/>
          <w:sz w:val="24"/>
          <w:szCs w:val="24"/>
        </w:rPr>
        <w:t>wymierne korzyści gospodarce i obywatelom w całej UE. Inicjatywy te powinny dotyczyć kwestii, które są wspólne dla wszystkich państw członkowskich, wymagają znacznych inwestycji, tworzą miejsca pracy i powodują wzrost gospodarczy oraz są konieczne do celów</w:t>
      </w:r>
      <w:r>
        <w:rPr>
          <w:rFonts w:ascii="Times New Roman" w:hAnsi="Times New Roman"/>
          <w:noProof/>
          <w:sz w:val="24"/>
          <w:szCs w:val="24"/>
        </w:rPr>
        <w:t xml:space="preserve"> dwojakiej transformacji. Komisja zdecydowanie zachęca państwa członkowskie do uwzględnienia w planach odbudowy i zwiększania odporności inwestycji i reform w obszarach wymienionych poniżej. Realizacja tych inicjatyw przewodnich zapewni powodzenie odbudowy</w:t>
      </w:r>
      <w:r>
        <w:rPr>
          <w:rFonts w:ascii="Times New Roman" w:hAnsi="Times New Roman"/>
          <w:noProof/>
          <w:sz w:val="24"/>
          <w:szCs w:val="24"/>
        </w:rPr>
        <w:t xml:space="preserve"> Europy, sprawi, że Europa stanie się kontynentem cyfrowym i bardziej ekologicznym, i zwiększy spójność między państwami członkowskimi.</w:t>
      </w:r>
    </w:p>
    <w:p w:rsidR="00B730A3" w:rsidRDefault="00FA0E0B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>Zwiększenie mocy</w:t>
      </w:r>
      <w:r>
        <w:rPr>
          <w:rFonts w:ascii="Times New Roman" w:hAnsi="Times New Roman"/>
          <w:noProof/>
          <w:sz w:val="24"/>
          <w:szCs w:val="24"/>
        </w:rPr>
        <w:t xml:space="preserve"> – wprowadzanie czystych technologii dostosowanych do przyszłych potrzeb powinno być skoncentrowane na w</w:t>
      </w:r>
      <w:r>
        <w:rPr>
          <w:rFonts w:ascii="Times New Roman" w:hAnsi="Times New Roman"/>
          <w:noProof/>
          <w:sz w:val="24"/>
          <w:szCs w:val="24"/>
        </w:rPr>
        <w:t>stępie, należy również przyspieszyć rozwój i wykorzystanie odnawialnych źródeł energii, a także ich integrację za pomocą zmodernizowanych sieci i ulepszonych połączeń międzysystemowych. Ta inicjatywa przewodnia położy podwaliny pod pionierskie rynki wodoru</w:t>
      </w:r>
      <w:r>
        <w:rPr>
          <w:rFonts w:ascii="Times New Roman" w:hAnsi="Times New Roman"/>
          <w:noProof/>
          <w:sz w:val="24"/>
          <w:szCs w:val="24"/>
        </w:rPr>
        <w:t xml:space="preserve"> w Europie i związaną z nimi infrastrukturę. Ma ona na celu wsparcie uzyskania i integracji sektorowej prawie 40 % z potrzebnych do 2030 r. 500 GW energii elektrycznej wytworzonej ze źródeł odnawialnych, udostępnienia elektrolizerów o mocy 6 GW oraz produk</w:t>
      </w:r>
      <w:r>
        <w:rPr>
          <w:rFonts w:ascii="Times New Roman" w:hAnsi="Times New Roman"/>
          <w:noProof/>
          <w:sz w:val="24"/>
          <w:szCs w:val="24"/>
        </w:rPr>
        <w:t xml:space="preserve">cji i transportu 1 mln ton wodoru ze źródeł odnawialnych w całej UE do 2025 r. </w:t>
      </w:r>
    </w:p>
    <w:p w:rsidR="00B730A3" w:rsidRDefault="00B730A3">
      <w:pPr>
        <w:pStyle w:val="Akapitzlist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B730A3" w:rsidRDefault="00FA0E0B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>Renowacja</w:t>
      </w:r>
      <w:r>
        <w:rPr>
          <w:rFonts w:ascii="Times New Roman" w:hAnsi="Times New Roman"/>
          <w:noProof/>
          <w:sz w:val="24"/>
          <w:szCs w:val="24"/>
        </w:rPr>
        <w:t xml:space="preserve"> – poprawa efektywności energetycznej i zasobooszczędności budynków publicznych i prywatnych przyczyni się znacznie do osiągnięcia celów UE w zakresie klimatu, stworz</w:t>
      </w:r>
      <w:r>
        <w:rPr>
          <w:rFonts w:ascii="Times New Roman" w:hAnsi="Times New Roman"/>
          <w:noProof/>
          <w:sz w:val="24"/>
          <w:szCs w:val="24"/>
        </w:rPr>
        <w:t>y wiele lokalnych miejsc pracy we wszystkich państwach członkowskich i będzie sprzyjać rozwojowi cyfryzacji dzięki automatyce domowej i inteligentnym systemom pomiarowym. Do 2025 r. inicjatywa ta przyczyni się do podwojenia wskaźnika renowacji i wspierania</w:t>
      </w:r>
      <w:r>
        <w:rPr>
          <w:rFonts w:ascii="Times New Roman" w:hAnsi="Times New Roman"/>
          <w:noProof/>
          <w:sz w:val="24"/>
          <w:szCs w:val="24"/>
        </w:rPr>
        <w:t xml:space="preserve"> gruntownej renowacji.</w:t>
      </w:r>
    </w:p>
    <w:p w:rsidR="00B730A3" w:rsidRDefault="00B730A3">
      <w:pPr>
        <w:pStyle w:val="Akapitzlist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B730A3" w:rsidRDefault="00FA0E0B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>Ładowanie i tankowanie</w:t>
      </w:r>
      <w:r>
        <w:rPr>
          <w:rFonts w:ascii="Times New Roman" w:hAnsi="Times New Roman"/>
          <w:noProof/>
          <w:sz w:val="24"/>
          <w:szCs w:val="24"/>
        </w:rPr>
        <w:t xml:space="preserve"> – promowanie czystych technologii dostosowanych do przyszłych potrzeb, aby przyspieszyć wykorzystanie zrównoważonego, dostępnego i inteligentnego transportu oraz stacji ładowania i tankowania paliwa i rozbudow</w:t>
      </w:r>
      <w:r>
        <w:rPr>
          <w:rFonts w:ascii="Times New Roman" w:hAnsi="Times New Roman"/>
          <w:noProof/>
          <w:sz w:val="24"/>
          <w:szCs w:val="24"/>
        </w:rPr>
        <w:t>ę transportu publicznego, sprawi, że europejskie miasta i regiony staną się czystsze, przyspieszy transformację przemysłową i przyczyni się do osiągnięcia określonych w porozumieniu paryskim celów w zakresie klimatu. Celem tej inicjatywy przewodniej jest z</w:t>
      </w:r>
      <w:r>
        <w:rPr>
          <w:rFonts w:ascii="Times New Roman" w:hAnsi="Times New Roman"/>
          <w:noProof/>
          <w:sz w:val="24"/>
          <w:szCs w:val="24"/>
        </w:rPr>
        <w:t>budowanie do 2025 r. miliona z trzech milionów punktów ładowania potrzebnych w 2030 r. i połowy z 1 000 potrzebnych stacji tankowania wodoru.</w:t>
      </w:r>
    </w:p>
    <w:p w:rsidR="00B730A3" w:rsidRDefault="00B730A3">
      <w:pPr>
        <w:pStyle w:val="Akapitzlist"/>
        <w:rPr>
          <w:rFonts w:ascii="Times New Roman" w:hAnsi="Times New Roman" w:cs="Times New Roman"/>
          <w:noProof/>
          <w:sz w:val="24"/>
          <w:szCs w:val="24"/>
        </w:rPr>
      </w:pPr>
    </w:p>
    <w:p w:rsidR="00B730A3" w:rsidRDefault="00FA0E0B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>Łączność</w:t>
      </w:r>
      <w:r>
        <w:rPr>
          <w:rFonts w:ascii="Times New Roman" w:hAnsi="Times New Roman"/>
          <w:noProof/>
          <w:sz w:val="24"/>
          <w:szCs w:val="24"/>
        </w:rPr>
        <w:t xml:space="preserve"> – obywatele i przedsiębiorstwa w Europie powinni mieć dostęp do szybkich usług szerokopasmowych. Obecnie</w:t>
      </w:r>
      <w:r>
        <w:rPr>
          <w:rFonts w:ascii="Times New Roman" w:hAnsi="Times New Roman"/>
          <w:noProof/>
          <w:sz w:val="24"/>
          <w:szCs w:val="24"/>
        </w:rPr>
        <w:t xml:space="preserve"> jedynie 44 % gospodarstw domowych ma dostęp do sieci o bardzo dużej przepustowości, zdolnych do zapewnienia łączności co najmniej gigabitowej, a zasięg na obszarach wiejskich jest znacznie ograniczony. Niezwłoczne udostępnienie szybkich usług szerokopasmo</w:t>
      </w:r>
      <w:r>
        <w:rPr>
          <w:rFonts w:ascii="Times New Roman" w:hAnsi="Times New Roman"/>
          <w:noProof/>
          <w:sz w:val="24"/>
          <w:szCs w:val="24"/>
        </w:rPr>
        <w:t>wych we wszystkich regionach i gospodarstwach domowych, w tym sieci światłowodowej i sieci 5G, a także rozwój łączności z wykorzystaniem kryptografii kwantowej będą miały zasadnicze znaczenie dla zapewnienia jak najszerszego zasięgu terytorialnego na obsza</w:t>
      </w:r>
      <w:r>
        <w:rPr>
          <w:rFonts w:ascii="Times New Roman" w:hAnsi="Times New Roman"/>
          <w:noProof/>
          <w:sz w:val="24"/>
          <w:szCs w:val="24"/>
        </w:rPr>
        <w:t>rach, które nie są obsługiwane przez rynek, przy jednoczesnym zachowaniu otwartej strategicznej autonomii UE. Chociaż można się spodziewać, że zasięg na obszarach miejskich i wzdłuż głównych naziemnych szlaków komunikacyjnych zostanie szybciej zapewniony d</w:t>
      </w:r>
      <w:r>
        <w:rPr>
          <w:rFonts w:ascii="Times New Roman" w:hAnsi="Times New Roman"/>
          <w:noProof/>
          <w:sz w:val="24"/>
          <w:szCs w:val="24"/>
        </w:rPr>
        <w:t>zięki finansowaniu prywatnemu, Instrument na rzecz Odbudowy i Zwiększania Odporności powinien do 2025 r. zapewnić jak najszerszy nieprzerwany zasięg sieci 5G na wszystkich obszarach.</w:t>
      </w:r>
    </w:p>
    <w:p w:rsidR="00B730A3" w:rsidRDefault="00B730A3">
      <w:pPr>
        <w:pStyle w:val="Akapitzlist"/>
        <w:rPr>
          <w:rFonts w:ascii="Times New Roman" w:hAnsi="Times New Roman" w:cs="Times New Roman"/>
          <w:noProof/>
          <w:sz w:val="24"/>
          <w:szCs w:val="24"/>
        </w:rPr>
      </w:pPr>
    </w:p>
    <w:p w:rsidR="00B730A3" w:rsidRDefault="00FA0E0B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>Modernizacja</w:t>
      </w:r>
      <w:r>
        <w:rPr>
          <w:rFonts w:ascii="Times New Roman" w:hAnsi="Times New Roman"/>
          <w:noProof/>
          <w:sz w:val="24"/>
          <w:szCs w:val="24"/>
        </w:rPr>
        <w:t xml:space="preserve"> – weryfikacja tożsamości na poziomie UE i kluczowe cyfrowe usługi publiczne powinny zostać zmodernizowane i dostępne dla wszystkich. Bezpieczna i ogólnounijna identyfikacja elektroniczna i uwierzytelnianie elektroniczne wobec instytucji rządowych i podmio</w:t>
      </w:r>
      <w:r>
        <w:rPr>
          <w:rFonts w:ascii="Times New Roman" w:hAnsi="Times New Roman"/>
          <w:noProof/>
          <w:sz w:val="24"/>
          <w:szCs w:val="24"/>
        </w:rPr>
        <w:t>tów prywatnych oraz dostęp do ich usług zapewnią obywatelom kontrolę nad ich tożsamością i danymi w internecie, a także umożliwią dostęp do internetowych usług cyfrowych. Cyfryzacja administracji publicznej i usług publicznych zwiększy ich skuteczność. Dot</w:t>
      </w:r>
      <w:r>
        <w:rPr>
          <w:rFonts w:ascii="Times New Roman" w:hAnsi="Times New Roman"/>
          <w:noProof/>
          <w:sz w:val="24"/>
          <w:szCs w:val="24"/>
        </w:rPr>
        <w:t>yczy to również wymiaru sprawiedliwości i systemu opieki zdrowotnej. Do 2025 r. państwa członkowskie powinny udostępnić funkcję europejskiej tożsamości cyfrowej (e-ID), a administracje publiczne powinny zapewnić interoperacyjne, spersonalizowane i przyjazn</w:t>
      </w:r>
      <w:r>
        <w:rPr>
          <w:rFonts w:ascii="Times New Roman" w:hAnsi="Times New Roman"/>
          <w:noProof/>
          <w:sz w:val="24"/>
          <w:szCs w:val="24"/>
        </w:rPr>
        <w:t>e dla użytkownika cyfrowe usługi publiczne.</w:t>
      </w:r>
    </w:p>
    <w:p w:rsidR="00B730A3" w:rsidRDefault="00B730A3">
      <w:pPr>
        <w:pStyle w:val="Akapitzlist"/>
        <w:rPr>
          <w:rFonts w:ascii="Times New Roman" w:hAnsi="Times New Roman" w:cs="Times New Roman"/>
          <w:noProof/>
          <w:sz w:val="24"/>
          <w:szCs w:val="24"/>
        </w:rPr>
      </w:pPr>
    </w:p>
    <w:p w:rsidR="00B730A3" w:rsidRDefault="00FA0E0B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>Zwiększenie skali</w:t>
      </w:r>
      <w:r>
        <w:rPr>
          <w:rFonts w:ascii="Times New Roman" w:hAnsi="Times New Roman"/>
          <w:noProof/>
          <w:sz w:val="24"/>
          <w:szCs w:val="24"/>
        </w:rPr>
        <w:t xml:space="preserve"> – transformacja cyfrowa w UE zależy od zwiększenia europejskich zdolności w zakresie przetwarzania danych przemysłowych w chmurze oraz od możliwości rozwoju najpotężniejszych, zaawansowanych i </w:t>
      </w:r>
      <w:r>
        <w:rPr>
          <w:rFonts w:ascii="Times New Roman" w:hAnsi="Times New Roman"/>
          <w:noProof/>
          <w:sz w:val="24"/>
          <w:szCs w:val="24"/>
        </w:rPr>
        <w:t>zrównoważonych procesorów. Celem tej inicjatywy przewodniej jest podwojenie do 2025 r. produkcji półprzewodników w Europie, aby wyprodukować dziesięciokrotnie bardziej energooszczędne procesory. Umożliwi to na przykład szybkie upowszechnienie samochodów po</w:t>
      </w:r>
      <w:r>
        <w:rPr>
          <w:rFonts w:ascii="Times New Roman" w:hAnsi="Times New Roman"/>
          <w:noProof/>
          <w:sz w:val="24"/>
          <w:szCs w:val="24"/>
        </w:rPr>
        <w:t>dłączonych do sieci i podwojenie odsetka przedsiębiorstw unijnych (wynoszącego obecnie 16 %) korzystających z zaawansowanych usług przetwarzania w chmurze i technologii dużych zbiorów danych.</w:t>
      </w:r>
    </w:p>
    <w:p w:rsidR="00B730A3" w:rsidRDefault="00B730A3">
      <w:pPr>
        <w:pStyle w:val="Akapitzlist"/>
        <w:rPr>
          <w:rFonts w:ascii="Times New Roman" w:hAnsi="Times New Roman" w:cs="Times New Roman"/>
          <w:noProof/>
          <w:sz w:val="24"/>
          <w:szCs w:val="24"/>
        </w:rPr>
      </w:pPr>
    </w:p>
    <w:p w:rsidR="00B730A3" w:rsidRDefault="00FA0E0B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>Zmiana kwalifikacji i podnoszenie kwalifikacji</w:t>
      </w:r>
      <w:r>
        <w:rPr>
          <w:rFonts w:ascii="Times New Roman" w:hAnsi="Times New Roman"/>
          <w:noProof/>
          <w:sz w:val="24"/>
          <w:szCs w:val="24"/>
        </w:rPr>
        <w:t xml:space="preserve"> – bezprecedensowe inwestycje w przekwalifikowanie i podnoszenie kwalifikacji mają kluczowe znaczenie dla wspierania transformacji ekologicznej i cyfrowej, zwiększania potencjału innowacji i wzrostu, sprzyjania odporności gospodarczej i społecznej oraz zap</w:t>
      </w:r>
      <w:r>
        <w:rPr>
          <w:rFonts w:ascii="Times New Roman" w:hAnsi="Times New Roman"/>
          <w:noProof/>
          <w:sz w:val="24"/>
          <w:szCs w:val="24"/>
        </w:rPr>
        <w:t>ewniania wysokiej jakości zatrudnienia i włączenia społecznego. Inwestycje i reformy powinny koncentrować się na umiejętnościach cyfrowych oraz kształceniu i szkoleniu zawodowym dla wszystkich grup wiekowych. W 2019 r. 42 % Europejczyków nadal nie posiadał</w:t>
      </w:r>
      <w:r>
        <w:rPr>
          <w:rFonts w:ascii="Times New Roman" w:hAnsi="Times New Roman"/>
          <w:noProof/>
          <w:sz w:val="24"/>
          <w:szCs w:val="24"/>
        </w:rPr>
        <w:t>o co najmniej podstawowych umiejętności cyfrowych. Do 2025 r. odsetek Europejczyków w wieku od 16 do 74 lat posiadających podstawowe umiejętności cyfrowe powinien wzrosnąć do 70 %. Systemy edukacji wymagają dalszego dostosowania do wyzwań XXI wieku. Państw</w:t>
      </w:r>
      <w:r>
        <w:rPr>
          <w:rFonts w:ascii="Times New Roman" w:hAnsi="Times New Roman"/>
          <w:noProof/>
          <w:sz w:val="24"/>
          <w:szCs w:val="24"/>
        </w:rPr>
        <w:t>a członkowskie powinny zapewnić znaczną poprawę kompetencji cyfrowych uczniów, aby zmniejszyć do poniżej 15 % odsetek uczniów w wieku 13–14 lat, którzy osiągają słabe wyniki w zakresie kompetencji komputerowych i informacyjnych. Państwa członkowskie powinn</w:t>
      </w:r>
      <w:r>
        <w:rPr>
          <w:rFonts w:ascii="Times New Roman" w:hAnsi="Times New Roman"/>
          <w:noProof/>
          <w:sz w:val="24"/>
          <w:szCs w:val="24"/>
        </w:rPr>
        <w:t>y zwracać szczególną uwagę na grupy znajdujące się w niekorzystnej sytuacji, kobiety, a w szczególności młodych ludzi wchodzących na rynek pracy, tworząc możliwości podjęcia wysokiej jakości zatrudnienia, wspierając odpowiednią ofertę przygotowania zawodow</w:t>
      </w:r>
      <w:r>
        <w:rPr>
          <w:rFonts w:ascii="Times New Roman" w:hAnsi="Times New Roman"/>
          <w:noProof/>
          <w:sz w:val="24"/>
          <w:szCs w:val="24"/>
        </w:rPr>
        <w:t>ego i wzmacniając kształcenie i szkolenie zawodowe (VET).</w:t>
      </w:r>
      <w:r>
        <w:rPr>
          <w:b/>
          <w:noProof/>
          <w:color w:val="1F497D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Do 2025 r. co najmniej czterech na pięciu absolwentów VET powinno zostać zatrudnionych, a trzech na pięciu powinno skorzystać ze szkolenia w miejscu pracy.</w:t>
      </w:r>
    </w:p>
    <w:p w:rsidR="00B730A3" w:rsidRDefault="00FA0E0B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>Stworzenie odpowiednich warunków dla natyc</w:t>
      </w:r>
      <w:r>
        <w:rPr>
          <w:rFonts w:ascii="Times New Roman" w:hAnsi="Times New Roman"/>
          <w:b/>
          <w:noProof/>
          <w:sz w:val="24"/>
          <w:szCs w:val="24"/>
        </w:rPr>
        <w:t>hmiastowej realizacji projektów inwestycyjnych ma kluczowe znaczenie dla szybkiego uruchomienia wsparcia odbudowy.</w:t>
      </w:r>
      <w:r>
        <w:rPr>
          <w:rFonts w:ascii="Times New Roman" w:hAnsi="Times New Roman"/>
          <w:noProof/>
          <w:sz w:val="24"/>
          <w:szCs w:val="24"/>
        </w:rPr>
        <w:t xml:space="preserve"> Kluczowym priorytetem dla szybkiej realizacji inwestycji jest określenie wąskich gardeł i ich przyczyn w państwach członkowskich, a także na </w:t>
      </w:r>
      <w:r>
        <w:rPr>
          <w:rFonts w:ascii="Times New Roman" w:hAnsi="Times New Roman"/>
          <w:noProof/>
          <w:sz w:val="24"/>
          <w:szCs w:val="24"/>
        </w:rPr>
        <w:t>szczeblu UE. Bariery, które mogą stanowić zagrożenie dla projektów inwestycyjnych, przybierają wiele form. Mogą być to obciążenia administracyjne związane z rozpoczęciem działalności gospodarczej, niedobór wykwalifikowanej siły roboczej, wysokie lub skompl</w:t>
      </w:r>
      <w:r>
        <w:rPr>
          <w:rFonts w:ascii="Times New Roman" w:hAnsi="Times New Roman"/>
          <w:noProof/>
          <w:sz w:val="24"/>
          <w:szCs w:val="24"/>
        </w:rPr>
        <w:t>ikowane stawki podatkowe, uchylanie się od opodatkowania, restrykcyjne przepisy sektorowe lub długotrwałe postępowania sądowe. Pomyślne wdrożenie Instrumentu na rzecz Odbudowy i Zwiększania Odporności zależy od skutecznego usunięcia przeszkód dla inwestycj</w:t>
      </w:r>
      <w:r>
        <w:rPr>
          <w:rFonts w:ascii="Times New Roman" w:hAnsi="Times New Roman"/>
          <w:noProof/>
          <w:sz w:val="24"/>
          <w:szCs w:val="24"/>
        </w:rPr>
        <w:t xml:space="preserve">i i poprawy otoczenia biznesowego. Ponownie wskazuje to na znaczenie wspierania polityki inwestycyjnej przez uzupełniające reformy strukturalne. </w:t>
      </w:r>
    </w:p>
    <w:p w:rsidR="00B730A3" w:rsidRDefault="00FA0E0B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>Państwa członkowskie powinny skoncentrować się na inwestycjach, które przynoszą korzyści jednolitemu rynkowi.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Projekty transgraniczne i wielopaństwowe mają zasadnicze znaczenie dla promowania niektórych rodzajów inwestycji, na przykład energetycznych połączeń międzysystemowych lub sieci transportowych, lub przyszłościowych projektów cyfrowych i ekologicznych, któr</w:t>
      </w:r>
      <w:r>
        <w:rPr>
          <w:rFonts w:ascii="Times New Roman" w:hAnsi="Times New Roman"/>
          <w:noProof/>
          <w:sz w:val="24"/>
          <w:szCs w:val="24"/>
        </w:rPr>
        <w:t>e przyniosą wymierne korzyści jednolitemu rynkowi. Komisja będzie odgrywać aktywną rolę w zapewnieniu, by projekty obejmujące wiele krajów były otwarte dla wszystkich zainteresowanych państw członkowskich, aby zmaksymalizować ich potencjał w zakresie integ</w:t>
      </w:r>
      <w:r>
        <w:rPr>
          <w:rFonts w:ascii="Times New Roman" w:hAnsi="Times New Roman"/>
          <w:noProof/>
          <w:sz w:val="24"/>
          <w:szCs w:val="24"/>
        </w:rPr>
        <w:t>racji łańcuchów wartości, wzmocnienia odporności ekosystemów przemysłowych i pogłębienia jednolitego rynku, a także zgodne z celami w zakresie spójności gospodarczej, społecznej i terytorialnej realizowanymi w ramach instrumentu.</w:t>
      </w:r>
      <w:r>
        <w:rPr>
          <w:noProof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Projekty wielopaństwowe i </w:t>
      </w:r>
      <w:r>
        <w:rPr>
          <w:rFonts w:ascii="Times New Roman" w:hAnsi="Times New Roman"/>
          <w:noProof/>
          <w:sz w:val="24"/>
          <w:szCs w:val="24"/>
        </w:rPr>
        <w:t>transgraniczne, w szczególności obejmujące inne programy UE, skorzystałyby na skutecznej koordynacji, którą Komisja jest gotowa zapewnić. Wiele z tych projektów zwiększy również strategiczną autonomię gospodarki europejskiej.</w:t>
      </w:r>
    </w:p>
    <w:p w:rsidR="00B730A3" w:rsidRDefault="00FA0E0B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>Państwa członkowskie muszą zwi</w:t>
      </w:r>
      <w:r>
        <w:rPr>
          <w:rFonts w:ascii="Times New Roman" w:hAnsi="Times New Roman"/>
          <w:b/>
          <w:noProof/>
          <w:sz w:val="24"/>
          <w:szCs w:val="24"/>
        </w:rPr>
        <w:t>ększyć zdolność absorpcyjną unijnych środków finansowych na szczeblu krajowym.</w:t>
      </w:r>
      <w:r>
        <w:rPr>
          <w:rFonts w:ascii="Times New Roman" w:hAnsi="Times New Roman"/>
          <w:noProof/>
          <w:sz w:val="24"/>
          <w:szCs w:val="24"/>
        </w:rPr>
        <w:t xml:space="preserve"> W</w:t>
      </w:r>
      <w:r>
        <w:rPr>
          <w:rFonts w:ascii="Times New Roman" w:hAnsi="Times New Roman"/>
          <w:b/>
          <w:noProof/>
          <w:sz w:val="24"/>
          <w:szCs w:val="24"/>
        </w:rPr>
        <w:t> </w:t>
      </w:r>
      <w:r>
        <w:rPr>
          <w:rFonts w:ascii="Times New Roman" w:hAnsi="Times New Roman"/>
          <w:noProof/>
          <w:sz w:val="24"/>
          <w:szCs w:val="24"/>
        </w:rPr>
        <w:t>tym celu powinny skoncentrować się na tych zaleceniach dla poszczególnych krajów, które są istotne dla ułatwienia realizacji reform i powiązanych inwestycji. Poszanowanie praw</w:t>
      </w:r>
      <w:r>
        <w:rPr>
          <w:rFonts w:ascii="Times New Roman" w:hAnsi="Times New Roman"/>
          <w:noProof/>
          <w:sz w:val="24"/>
          <w:szCs w:val="24"/>
        </w:rPr>
        <w:t>orządności i dobrych rządów, skuteczne instytucje, niezależne i skuteczne systemy wymiaru sprawiedliwości, wysokiej jakości administracje publiczne, solidne ramy w zakresie przeciwdziałania korupcji, praniu pieniędzy i oszustwom, skuteczne udzielanie zamów</w:t>
      </w:r>
      <w:r>
        <w:rPr>
          <w:rFonts w:ascii="Times New Roman" w:hAnsi="Times New Roman"/>
          <w:noProof/>
          <w:sz w:val="24"/>
          <w:szCs w:val="24"/>
        </w:rPr>
        <w:t>ień publicznych, skuteczne ramy prawne dotyczące niewypłacalności i sprawne systemy podatkowe to ważne czynniki determinujące otoczenie biznesowe danego państwa członkowskiego. Wszystkie te aspekty mogą mieć wpływ na decyzje inwestycyjne i szybkość rozpocz</w:t>
      </w:r>
      <w:r>
        <w:rPr>
          <w:rFonts w:ascii="Times New Roman" w:hAnsi="Times New Roman"/>
          <w:noProof/>
          <w:sz w:val="24"/>
          <w:szCs w:val="24"/>
        </w:rPr>
        <w:t>ynania projektów inwestycyjnych przez wszystkie podmioty. Należy również przyspieszyć prace na szczeblu UE nad aspektami prawnymi i proceduralnymi, aby uzupełnić wysiłki państw członkowskich, w szczególności w celu ochrony interesów finansowych Unii. Komis</w:t>
      </w:r>
      <w:r>
        <w:rPr>
          <w:rFonts w:ascii="Times New Roman" w:hAnsi="Times New Roman"/>
          <w:noProof/>
          <w:sz w:val="24"/>
          <w:szCs w:val="24"/>
        </w:rPr>
        <w:t>ja przedstawi dalsze wytyczne dotyczące kluczowych działań, które można podjąć w celu zapewnienia szybkiej realizacji inwestycji, a także pomoże państwom członkowskim w realizacji planów odbudowy i zwiększania odporności za pośrednictwem Instrumentu Wsparc</w:t>
      </w:r>
      <w:r>
        <w:rPr>
          <w:rFonts w:ascii="Times New Roman" w:hAnsi="Times New Roman"/>
          <w:noProof/>
          <w:sz w:val="24"/>
          <w:szCs w:val="24"/>
        </w:rPr>
        <w:t>ia Technicznego.</w:t>
      </w:r>
    </w:p>
    <w:p w:rsidR="00B730A3" w:rsidRDefault="00FA0E0B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>Środki, które państwa członkowskie otrzymają w ramach Instrumentu na rzecz Odbudowy i Zwiększania Odporności, będą uzupełnieniem finansowania, które państwa te zwykle otrzymują w ramach polityki spójności UE lub z innych źródeł unijnych.</w:t>
      </w:r>
      <w:r>
        <w:rPr>
          <w:rFonts w:ascii="Times New Roman" w:hAnsi="Times New Roman"/>
          <w:noProof/>
          <w:sz w:val="24"/>
          <w:szCs w:val="24"/>
        </w:rPr>
        <w:t xml:space="preserve"> W</w:t>
      </w:r>
      <w:r>
        <w:rPr>
          <w:rFonts w:ascii="Times New Roman" w:hAnsi="Times New Roman"/>
          <w:b/>
          <w:noProof/>
          <w:sz w:val="24"/>
          <w:szCs w:val="24"/>
        </w:rPr>
        <w:t> </w:t>
      </w:r>
      <w:r>
        <w:rPr>
          <w:rFonts w:ascii="Times New Roman" w:hAnsi="Times New Roman"/>
          <w:noProof/>
          <w:sz w:val="24"/>
          <w:szCs w:val="24"/>
        </w:rPr>
        <w:t>celu zapewnienia spójności i synergii państwa członkowskie będą mogły łączyć finansowanie pochodzące z różnych instrumentów, jeżeli nie dochodzi do podwójnego finansowania i jeżeli państwa członkowskie wskażą różne wkłady finansowe w swoich planach odbudo</w:t>
      </w:r>
      <w:r>
        <w:rPr>
          <w:rFonts w:ascii="Times New Roman" w:hAnsi="Times New Roman"/>
          <w:noProof/>
          <w:sz w:val="24"/>
          <w:szCs w:val="24"/>
        </w:rPr>
        <w:t>wy i zwiększania odporności. Ważne będzie, aby państwa członkowskie wprowadziły należyte mechanizmy koordynacji, zarówno na etapie planowania, jak i wdrażania, oraz zagwarantowały szeroki dialog z zainteresowanymi stronami oraz partnerami regionalnymi, gos</w:t>
      </w:r>
      <w:r>
        <w:rPr>
          <w:rFonts w:ascii="Times New Roman" w:hAnsi="Times New Roman"/>
          <w:noProof/>
          <w:sz w:val="24"/>
          <w:szCs w:val="24"/>
        </w:rPr>
        <w:t>podarczymi i społecznymi. Instrument na rzecz Odbudowy i Zwiększania Odporności może być również wykorzystywany do promowania inwestycji prywatnych, na przykład wspólnie z InvestEU lub z misjami i partnerstwami w ramach programu „Horyzont Europa”. Instrume</w:t>
      </w:r>
      <w:r>
        <w:rPr>
          <w:rFonts w:ascii="Times New Roman" w:hAnsi="Times New Roman"/>
          <w:noProof/>
          <w:sz w:val="24"/>
          <w:szCs w:val="24"/>
        </w:rPr>
        <w:t>nt na rzecz Odbudowy i Zwiększania Odporności będzie przynosił szczególne korzyści projektom realizowanym na szczeblu krajowym i na dużą skalę. Uwzględniając rok 2023 jako horyzont czasowy dotyczący zaciągania zobowiązań finansowych w ramach Instrumentu na</w:t>
      </w:r>
      <w:r>
        <w:rPr>
          <w:rFonts w:ascii="Times New Roman" w:hAnsi="Times New Roman"/>
          <w:noProof/>
          <w:sz w:val="24"/>
          <w:szCs w:val="24"/>
        </w:rPr>
        <w:t xml:space="preserve"> rzecz Odbudowy i Zwiększania Odporności, państwa członkowskie mogą skoncentrować się na tych projektach, które znajdują się na dość zaawansowanym etapie przygotowań.</w:t>
      </w:r>
    </w:p>
    <w:p w:rsidR="00B730A3" w:rsidRDefault="00B730A3">
      <w:pPr>
        <w:pStyle w:val="Akapitzlist"/>
        <w:ind w:left="426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B730A3" w:rsidRDefault="00FA0E0B">
      <w:pPr>
        <w:pStyle w:val="Akapitzlist"/>
        <w:keepNext/>
        <w:numPr>
          <w:ilvl w:val="0"/>
          <w:numId w:val="1"/>
        </w:numPr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>Połączenie wszystkich elementów europejskiego semestru w celu skoncentrowania się na ref</w:t>
      </w:r>
      <w:r>
        <w:rPr>
          <w:rFonts w:ascii="Times New Roman" w:hAnsi="Times New Roman"/>
          <w:b/>
          <w:noProof/>
          <w:sz w:val="24"/>
          <w:szCs w:val="24"/>
        </w:rPr>
        <w:t>ormach i inwestycjach</w:t>
      </w:r>
    </w:p>
    <w:p w:rsidR="00B730A3" w:rsidRDefault="00FA0E0B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>Europejski semestr i nowy Instrument na rzecz Odbudowy i Zwiększania Odporności są ze sobą nierozerwalnie powiązane.</w:t>
      </w:r>
      <w:r>
        <w:rPr>
          <w:rFonts w:ascii="Times New Roman" w:hAnsi="Times New Roman"/>
          <w:noProof/>
          <w:sz w:val="24"/>
          <w:szCs w:val="24"/>
        </w:rPr>
        <w:t xml:space="preserve"> Ocena planów odbudowy i zwiększania odporności zostanie porównana z zaleceniami dla poszczególnych krajów. Biorąc pod</w:t>
      </w:r>
      <w:r>
        <w:rPr>
          <w:rFonts w:ascii="Times New Roman" w:hAnsi="Times New Roman"/>
          <w:noProof/>
          <w:sz w:val="24"/>
          <w:szCs w:val="24"/>
        </w:rPr>
        <w:t xml:space="preserve"> uwagę, że terminy w ramach europejskiego semestru i Instrumentu na rzecz Odbudowy i Zwiększania Odporności będą się pokrywać, konieczne jest tymczasowe dostosowanie europejskiego semestru do uruchomienia Instrumentu na rzecz Odbudowy i Zwiększania Odporno</w:t>
      </w:r>
      <w:r>
        <w:rPr>
          <w:rFonts w:ascii="Times New Roman" w:hAnsi="Times New Roman"/>
          <w:noProof/>
          <w:sz w:val="24"/>
          <w:szCs w:val="24"/>
        </w:rPr>
        <w:t>ści.</w:t>
      </w:r>
    </w:p>
    <w:p w:rsidR="00B730A3" w:rsidRDefault="00FA0E0B">
      <w:pPr>
        <w:spacing w:after="12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>Plany odbudowy i zwiększania odporności staną się głównym dokumentem referencyjnym dotyczącym przyszłościowych inicjatyw politycznych państw członkowskich.</w:t>
      </w:r>
      <w:r>
        <w:rPr>
          <w:rFonts w:ascii="Times New Roman" w:hAnsi="Times New Roman"/>
          <w:noProof/>
          <w:sz w:val="24"/>
          <w:szCs w:val="24"/>
        </w:rPr>
        <w:t xml:space="preserve"> Biorąc pod uwagę komplementarność z semestrem oraz w celu racjonalnego uporządkowania treści i </w:t>
      </w:r>
      <w:r>
        <w:rPr>
          <w:rFonts w:ascii="Times New Roman" w:hAnsi="Times New Roman"/>
          <w:noProof/>
          <w:sz w:val="24"/>
          <w:szCs w:val="24"/>
        </w:rPr>
        <w:t>liczby wymaganych dokumentów, zachęca się państwa członkowskie do przedłożenia krajowego programu reform oraz planu odbudowy i zwiększania odporności w jednym zintegrowanym dokumencie. Dokument ten będzie zawierał przegląd reform i inwestycji, które dane p</w:t>
      </w:r>
      <w:r>
        <w:rPr>
          <w:rFonts w:ascii="Times New Roman" w:hAnsi="Times New Roman"/>
          <w:noProof/>
          <w:sz w:val="24"/>
          <w:szCs w:val="24"/>
        </w:rPr>
        <w:t>aństwo członkowskie przeprowadzi w kolejnych latach zgodnie z celami Instrumentu na rzecz Odbudowy i Zwiększania Odporności. W przypadku państw członkowskich przedkładających plan odbudowy i zwiększania odporności w 2021 r. Komisja dołączy do wniosków doty</w:t>
      </w:r>
      <w:r>
        <w:rPr>
          <w:rFonts w:ascii="Times New Roman" w:hAnsi="Times New Roman"/>
          <w:noProof/>
          <w:sz w:val="24"/>
          <w:szCs w:val="24"/>
        </w:rPr>
        <w:t xml:space="preserve">czących aktów wykonawczych Rady dokumenty analityczne oceniające treść planów odbudowy i zwiększania odporności. </w:t>
      </w:r>
      <w:r>
        <w:rPr>
          <w:rFonts w:ascii="Times New Roman" w:hAnsi="Times New Roman"/>
          <w:noProof/>
          <w:color w:val="000000"/>
          <w:sz w:val="24"/>
          <w:szCs w:val="24"/>
        </w:rPr>
        <w:t xml:space="preserve">W 2021 r. dokumenty te zastąpią sprawozdania krajowe w ramach europejskiego semestru. </w:t>
      </w:r>
      <w:r>
        <w:rPr>
          <w:rFonts w:ascii="Times New Roman" w:hAnsi="Times New Roman"/>
          <w:noProof/>
          <w:sz w:val="24"/>
          <w:szCs w:val="24"/>
        </w:rPr>
        <w:t>Pakiet wniosków dotyczących aktów wykonawczych i przeorie</w:t>
      </w:r>
      <w:r>
        <w:rPr>
          <w:rFonts w:ascii="Times New Roman" w:hAnsi="Times New Roman"/>
          <w:noProof/>
          <w:sz w:val="24"/>
          <w:szCs w:val="24"/>
        </w:rPr>
        <w:t xml:space="preserve">ntowanych ocen krajowych zostanie opublikowany w partiach w różnych terminach, w zależności, odpowiednio, od realizacji planów odbudowy i zwiększenia odporności oraz od zakończenia ocen Komisji. </w:t>
      </w:r>
    </w:p>
    <w:p w:rsidR="00B730A3" w:rsidRDefault="00FA0E0B">
      <w:pPr>
        <w:pStyle w:val="Akapitzlist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 xml:space="preserve">Biorąc pod uwagę kompleksowy i perspektywiczny pod względem </w:t>
      </w:r>
      <w:r>
        <w:rPr>
          <w:rFonts w:ascii="Times New Roman" w:hAnsi="Times New Roman"/>
          <w:b/>
          <w:noProof/>
          <w:sz w:val="24"/>
          <w:szCs w:val="24"/>
        </w:rPr>
        <w:t>politycznym charakter planów odbudowy i zwiększania odporności, Komisja nie będzie musiała proponować zaleceń dla poszczególnych krajów w 2021 r. dla tych państw członkowskich, które przedstawią taki plan.</w:t>
      </w:r>
      <w:r>
        <w:rPr>
          <w:rFonts w:ascii="Times New Roman" w:hAnsi="Times New Roman"/>
          <w:noProof/>
          <w:sz w:val="24"/>
          <w:szCs w:val="24"/>
        </w:rPr>
        <w:t xml:space="preserve"> Niemniej jednak Komisja zaproponuje zalecenia doty</w:t>
      </w:r>
      <w:r>
        <w:rPr>
          <w:rFonts w:ascii="Times New Roman" w:hAnsi="Times New Roman"/>
          <w:noProof/>
          <w:sz w:val="24"/>
          <w:szCs w:val="24"/>
        </w:rPr>
        <w:t>czące sytuacji budżetowej państw członkowskich w 2021 r., jak przewidziano w pakcie stabilności i wzrostu. Wdrażanie reform będzie nadal monitorowane w oparciu o zalecenia dla poszczególnych krajów z poprzednich lat.</w:t>
      </w:r>
    </w:p>
    <w:p w:rsidR="00B730A3" w:rsidRDefault="00FA0E0B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>Poważne pogorszenie koniunktury gospoda</w:t>
      </w:r>
      <w:r>
        <w:rPr>
          <w:rFonts w:ascii="Times New Roman" w:hAnsi="Times New Roman"/>
          <w:b/>
          <w:noProof/>
          <w:sz w:val="24"/>
          <w:szCs w:val="24"/>
        </w:rPr>
        <w:t>rczej spowodowane kryzysem związanym z COVID-19 stworzy ryzyko nowych zakłóceń równowagi makroekonomicznej, w szczególności ze względu na wzrost zadłużenia przedsiębiorstw i gospodarstw domowych, co z kolei może przenieść się na sektor finansowy.</w:t>
      </w:r>
      <w:r>
        <w:rPr>
          <w:rFonts w:ascii="Times New Roman" w:hAnsi="Times New Roman"/>
          <w:noProof/>
          <w:sz w:val="24"/>
          <w:szCs w:val="24"/>
        </w:rPr>
        <w:t xml:space="preserve"> Nadzór w </w:t>
      </w:r>
      <w:r>
        <w:rPr>
          <w:rFonts w:ascii="Times New Roman" w:hAnsi="Times New Roman"/>
          <w:noProof/>
          <w:sz w:val="24"/>
          <w:szCs w:val="24"/>
        </w:rPr>
        <w:t xml:space="preserve">ramach procedur dotyczących zakłóceń równowagi makroekonomicznej w nadchodzącym cyklu będzie zatem musiał koncentrować się na tych szybko pojawiających się zagrożeniach. Będzie to głównym tematem sprawozdania przedkładanego w ramach mechanizmu ostrzegania </w:t>
      </w:r>
      <w:r>
        <w:rPr>
          <w:rFonts w:ascii="Times New Roman" w:hAnsi="Times New Roman"/>
          <w:noProof/>
          <w:sz w:val="24"/>
          <w:szCs w:val="24"/>
        </w:rPr>
        <w:t>w listopadzie 2020 r. Do oceny programów stabilności i konwergencji, które państwa członkowskie mają przedłożyć do końca kwietnia 2021 r., Komisja dołączy również szczegółowe oceny sytuacji w zakresie zakłóceń równowagi w wybranych państwach członkowskich.</w:t>
      </w:r>
    </w:p>
    <w:p w:rsidR="00B730A3" w:rsidRDefault="00FA0E0B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>Obecnie prowadzony jest nadzór poprogramowy – z myślą o określeniu ewentualnych zagrożeń dla zdolności spłaty – w celu dokonania oceny sytuacji gospodarczej, fiskalnej i finansowej Cypru, Irlandii, Hiszpanii i Portugalii.</w:t>
      </w:r>
      <w:r>
        <w:rPr>
          <w:rFonts w:ascii="Times New Roman" w:hAnsi="Times New Roman"/>
          <w:noProof/>
          <w:sz w:val="24"/>
          <w:szCs w:val="24"/>
        </w:rPr>
        <w:t xml:space="preserve"> Obejmuje on składanie sprawozdań </w:t>
      </w:r>
      <w:r>
        <w:rPr>
          <w:rFonts w:ascii="Times New Roman" w:hAnsi="Times New Roman"/>
          <w:noProof/>
          <w:sz w:val="24"/>
          <w:szCs w:val="24"/>
        </w:rPr>
        <w:t>co sześć miesięcy</w:t>
      </w:r>
      <w:r>
        <w:rPr>
          <w:rStyle w:val="Odwoanieprzypisudolnego"/>
          <w:rFonts w:ascii="Times New Roman" w:hAnsi="Times New Roman" w:cs="Times New Roman"/>
          <w:noProof/>
          <w:sz w:val="24"/>
          <w:szCs w:val="24"/>
        </w:rPr>
        <w:footnoteReference w:id="7"/>
      </w:r>
      <w:r>
        <w:rPr>
          <w:rFonts w:ascii="Times New Roman" w:hAnsi="Times New Roman"/>
          <w:noProof/>
          <w:sz w:val="24"/>
          <w:szCs w:val="24"/>
        </w:rPr>
        <w:t>. W przypadku Grecji wzmocniony nadzór funkcjonuje od zakończenia programu dostosowań makroekonomicznych w sierpniu 2018 r. Biorąc pod uwagę wprowadzenie Instrumentu na rzecz Odbudowy i Zwiększania Odporności, ważne będzie zapewnienie spó</w:t>
      </w:r>
      <w:r>
        <w:rPr>
          <w:rFonts w:ascii="Times New Roman" w:hAnsi="Times New Roman"/>
          <w:noProof/>
          <w:sz w:val="24"/>
          <w:szCs w:val="24"/>
        </w:rPr>
        <w:t>jności między instrumentami, zminimalizowanie obciążeń sprawozdawczych i unikanie zbędnego powielania działań, przy jednoczesnym zapewnieniu zgodności z różnymi wymogami prawnymi i instytucjonalnymi. Komisja dostosuje w jak największym stopniu działania sp</w:t>
      </w:r>
      <w:r>
        <w:rPr>
          <w:rFonts w:ascii="Times New Roman" w:hAnsi="Times New Roman"/>
          <w:noProof/>
          <w:sz w:val="24"/>
          <w:szCs w:val="24"/>
        </w:rPr>
        <w:t>rawozdawcze w ramach zarówno poprogramowego, jak i wzmocnionego nadzoru do udoskonalonego harmonogramu europejskiego semestru. Od jesieni 2020 r. Komisja będzie publikować dwa razy w roku sprawozdania z nadzoru poprogramowego oraz dwa sprawozdania kwartaln</w:t>
      </w:r>
      <w:r>
        <w:rPr>
          <w:rFonts w:ascii="Times New Roman" w:hAnsi="Times New Roman"/>
          <w:noProof/>
          <w:sz w:val="24"/>
          <w:szCs w:val="24"/>
        </w:rPr>
        <w:t xml:space="preserve">e dotyczące Grecji w ramach szerszych pakietów dotyczących nadzoru gospodarczego i budżetowego w listopadzie i maju. </w:t>
      </w:r>
    </w:p>
    <w:p w:rsidR="00B730A3" w:rsidRDefault="00B730A3">
      <w:pPr>
        <w:pStyle w:val="Akapitzlist"/>
        <w:ind w:left="426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B730A3" w:rsidRDefault="00FA0E0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>Wnioski</w:t>
      </w:r>
    </w:p>
    <w:p w:rsidR="00B730A3" w:rsidRDefault="00FA0E0B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>Bardzo istotne będzie, aby państwa członkowskie jak najszybciej zaangażowały się w szeroko zakrojony dialog polityczny z udziałem</w:t>
      </w:r>
      <w:r>
        <w:rPr>
          <w:rFonts w:ascii="Times New Roman" w:hAnsi="Times New Roman"/>
          <w:b/>
          <w:noProof/>
          <w:sz w:val="24"/>
          <w:szCs w:val="24"/>
        </w:rPr>
        <w:t xml:space="preserve"> partnerów społecznych i pozostałych odpowiednich zainteresowanych stron w celu przygotowania swoich planów odbudowy i zwiększania odporności.</w:t>
      </w:r>
      <w:r>
        <w:rPr>
          <w:rFonts w:ascii="Times New Roman" w:hAnsi="Times New Roman"/>
          <w:noProof/>
          <w:sz w:val="24"/>
          <w:szCs w:val="24"/>
        </w:rPr>
        <w:t xml:space="preserve"> Odpowiedzialność krajowa będzie kluczowym warunkiem wstępnym pomyślnego wdrożenia instrumentu oraz zapewnienia tr</w:t>
      </w:r>
      <w:r>
        <w:rPr>
          <w:rFonts w:ascii="Times New Roman" w:hAnsi="Times New Roman"/>
          <w:noProof/>
          <w:sz w:val="24"/>
          <w:szCs w:val="24"/>
        </w:rPr>
        <w:t>wałego sukcesu na szczeblu krajowym i wiarygodności na szczeblu europejskim. Komisja jest gotowa, w ścisłej współpracy z właściwymi organami krajowymi i odpowiednimi zainteresowanymi stronami, wspierać konsultacje i działania informacyjne na wszystkich szc</w:t>
      </w:r>
      <w:r>
        <w:rPr>
          <w:rFonts w:ascii="Times New Roman" w:hAnsi="Times New Roman"/>
          <w:noProof/>
          <w:sz w:val="24"/>
          <w:szCs w:val="24"/>
        </w:rPr>
        <w:t>zeblach, a także w stosownych przypadkach udzielać wsparcia technicznego. Komisja zachęca państwa członkowskie do nawiązywania bezpośrednich kontaktów ze służbami Komisji w celu omówienia projektów planów na wczesnym etapie. Aby zapewnić spójność planów pa</w:t>
      </w:r>
      <w:r>
        <w:rPr>
          <w:rFonts w:ascii="Times New Roman" w:hAnsi="Times New Roman"/>
          <w:noProof/>
          <w:sz w:val="24"/>
          <w:szCs w:val="24"/>
        </w:rPr>
        <w:t>ństw członkowskich, państwa członkowskie otrzymają dodatkowe wytyczne od służb Komisji dotyczące tego, w jaki sposób najlepiej przedstawić swoje plany odbudowy i zwiększania odporności. Równolegle Komisja przeprowadzi wymianę poglądów z Parlamentem Europej</w:t>
      </w:r>
      <w:r>
        <w:rPr>
          <w:rFonts w:ascii="Times New Roman" w:hAnsi="Times New Roman"/>
          <w:noProof/>
          <w:sz w:val="24"/>
          <w:szCs w:val="24"/>
        </w:rPr>
        <w:t>skim na temat stanu odbudowy w ramach regularnego dialogu gospodarczego.</w:t>
      </w:r>
    </w:p>
    <w:p w:rsidR="00B730A3" w:rsidRDefault="00FA0E0B">
      <w:pPr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 xml:space="preserve">Uruchomienie Instrumentu na rzecz Odbudowy i Zwiększania Odporności jest wspólnym przedsięwzięciem, na które składa się wiele równoległych działań. Komisja wzywa Parlament Europejski </w:t>
      </w:r>
      <w:r>
        <w:rPr>
          <w:rFonts w:ascii="Times New Roman" w:hAnsi="Times New Roman"/>
          <w:b/>
          <w:noProof/>
          <w:sz w:val="24"/>
          <w:szCs w:val="24"/>
        </w:rPr>
        <w:t xml:space="preserve">i Radę do jak najszybszego uzgodnienia aktu ustawodawczego, tak aby instrument zaczął funkcjonować od dnia 1 stycznia 2021 r. </w:t>
      </w:r>
    </w:p>
    <w:sectPr w:rsidR="00B730A3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30A3" w:rsidRDefault="00FA0E0B">
      <w:pPr>
        <w:spacing w:after="0" w:line="240" w:lineRule="auto"/>
      </w:pPr>
      <w:r>
        <w:separator/>
      </w:r>
    </w:p>
  </w:endnote>
  <w:endnote w:type="continuationSeparator" w:id="0">
    <w:p w:rsidR="00B730A3" w:rsidRDefault="00FA0E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30A3" w:rsidRDefault="00B730A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30A3" w:rsidRDefault="00FA0E0B"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PL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PL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30A3" w:rsidRDefault="00B730A3">
    <w:pPr>
      <w:pStyle w:val="FooterCoverPag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30A3" w:rsidRDefault="00B730A3">
    <w:pPr>
      <w:pStyle w:val="Stopk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30A3" w:rsidRDefault="00FA0E0B">
    <w:pPr>
      <w:pStyle w:val="Stopka"/>
      <w:jc w:val="center"/>
      <w:rPr>
        <w:rFonts w:ascii="Times New Roman" w:hAnsi="Times New Roman" w:cs="Times New Roman"/>
        <w:caps/>
        <w:noProof/>
        <w:color w:val="000000" w:themeColor="text1"/>
      </w:rPr>
    </w:pPr>
    <w:r>
      <w:rPr>
        <w:rFonts w:ascii="Times New Roman" w:hAnsi="Times New Roman" w:cs="Times New Roman"/>
        <w:caps/>
        <w:color w:val="000000" w:themeColor="text1"/>
      </w:rPr>
      <w:fldChar w:fldCharType="begin"/>
    </w:r>
    <w:r>
      <w:rPr>
        <w:rFonts w:ascii="Times New Roman" w:hAnsi="Times New Roman" w:cs="Times New Roman"/>
        <w:caps/>
        <w:color w:val="000000" w:themeColor="text1"/>
      </w:rPr>
      <w:instrText xml:space="preserve"> PAGE   \* MERGEFORMAT </w:instrText>
    </w:r>
    <w:r>
      <w:rPr>
        <w:rFonts w:ascii="Times New Roman" w:hAnsi="Times New Roman" w:cs="Times New Roman"/>
        <w:caps/>
        <w:color w:val="000000" w:themeColor="text1"/>
      </w:rPr>
      <w:fldChar w:fldCharType="separate"/>
    </w:r>
    <w:r>
      <w:rPr>
        <w:rFonts w:ascii="Times New Roman" w:hAnsi="Times New Roman" w:cs="Times New Roman"/>
        <w:caps/>
        <w:noProof/>
        <w:color w:val="000000" w:themeColor="text1"/>
      </w:rPr>
      <w:t>1</w:t>
    </w:r>
    <w:r>
      <w:rPr>
        <w:rFonts w:ascii="Times New Roman" w:hAnsi="Times New Roman" w:cs="Times New Roman"/>
        <w:caps/>
        <w:color w:val="000000" w:themeColor="text1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30A3" w:rsidRDefault="00B730A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30A3" w:rsidRDefault="00FA0E0B">
      <w:pPr>
        <w:spacing w:after="0" w:line="240" w:lineRule="auto"/>
      </w:pPr>
      <w:r>
        <w:separator/>
      </w:r>
    </w:p>
  </w:footnote>
  <w:footnote w:type="continuationSeparator" w:id="0">
    <w:p w:rsidR="00B730A3" w:rsidRDefault="00FA0E0B">
      <w:pPr>
        <w:spacing w:after="0" w:line="240" w:lineRule="auto"/>
      </w:pPr>
      <w:r>
        <w:continuationSeparator/>
      </w:r>
    </w:p>
  </w:footnote>
  <w:footnote w:id="1">
    <w:p w:rsidR="00B730A3" w:rsidRDefault="00FA0E0B">
      <w:pPr>
        <w:pStyle w:val="Tekstprzypisudolnego"/>
        <w:rPr>
          <w:rFonts w:ascii="Times New Roman" w:hAnsi="Times New Roman" w:cs="Times New Roman"/>
        </w:rPr>
      </w:pPr>
      <w:r>
        <w:rPr>
          <w:rStyle w:val="Odwoanieprzypisudolnego"/>
          <w:rFonts w:ascii="Times New Roman" w:hAnsi="Times New Roman" w:cs="Times New Roman"/>
        </w:rPr>
        <w:footnoteRef/>
      </w:r>
      <w:r>
        <w:rPr>
          <w:rFonts w:ascii="Times New Roman" w:hAnsi="Times New Roman"/>
        </w:rPr>
        <w:t xml:space="preserve"> Europejska prognoza gospodarcza (lato 2020 r.), </w:t>
      </w:r>
      <w:r>
        <w:rPr>
          <w:rFonts w:ascii="Times New Roman" w:hAnsi="Times New Roman"/>
          <w:i/>
        </w:rPr>
        <w:t>European Economy – Institutional Paper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132 (lipiec).</w:t>
      </w:r>
    </w:p>
  </w:footnote>
  <w:footnote w:id="2">
    <w:p w:rsidR="00B730A3" w:rsidRDefault="00FA0E0B">
      <w:pPr>
        <w:pStyle w:val="Tekstprzypisudolnego"/>
        <w:rPr>
          <w:rFonts w:ascii="Times New Roman" w:hAnsi="Times New Roman" w:cs="Times New Roman"/>
        </w:rPr>
      </w:pPr>
      <w:r>
        <w:rPr>
          <w:rStyle w:val="Odwoanieprzypisudolnego"/>
          <w:rFonts w:ascii="Times New Roman" w:hAnsi="Times New Roman" w:cs="Times New Roman"/>
        </w:rPr>
        <w:footnoteRef/>
      </w:r>
      <w:r>
        <w:rPr>
          <w:rFonts w:ascii="Times New Roman" w:hAnsi="Times New Roman"/>
        </w:rPr>
        <w:t xml:space="preserve"> Rozporządzenie Rady (UE) 2020/672 w sprawie ustanowienia europejskiego instrumentu tymczasowego wsparcia w celu zmniejszenia zagrożeń związanych z bezrobociem w sytuacji nadzwyczajnej (SURE), jaka wystąpiła w związku z pandemią COVID-19;</w:t>
      </w:r>
      <w:r>
        <w:rPr>
          <w:rFonts w:ascii="Times New Roman" w:hAnsi="Times New Roman"/>
          <w:bCs/>
        </w:rPr>
        <w:t xml:space="preserve"> 10</w:t>
      </w:r>
      <w:r>
        <w:rPr>
          <w:rFonts w:ascii="Times New Roman" w:hAnsi="Times New Roman"/>
          <w:bCs/>
        </w:rPr>
        <w:t>0 mld EUR pomocy finansowej w formie pożyczek udzielanych zwracającym się o nią państwom członkowskim.</w:t>
      </w:r>
    </w:p>
  </w:footnote>
  <w:footnote w:id="3">
    <w:p w:rsidR="00B730A3" w:rsidRDefault="00FA0E0B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/>
          <w:bCs/>
        </w:rPr>
        <w:t>CRII i CRII+, rozporządzenia Parlamentu Europejskiego i Rady (UE) 2020/460 z dnia 30 marca 2020 r. i (UE) 2020/558 z dnia 23 kwietnia 2020 r.</w:t>
      </w:r>
    </w:p>
  </w:footnote>
  <w:footnote w:id="4">
    <w:p w:rsidR="00B730A3" w:rsidRDefault="00FA0E0B">
      <w:pPr>
        <w:pStyle w:val="Tekstprzypisudolnego"/>
        <w:rPr>
          <w:rFonts w:ascii="Times New Roman" w:hAnsi="Times New Roman" w:cs="Times New Roman"/>
        </w:rPr>
      </w:pPr>
      <w:r>
        <w:rPr>
          <w:rStyle w:val="Odwoanieprzypisudolnego"/>
          <w:rFonts w:ascii="Times New Roman" w:hAnsi="Times New Roman" w:cs="Times New Roman"/>
        </w:rPr>
        <w:footnoteRef/>
      </w:r>
      <w:r>
        <w:rPr>
          <w:rFonts w:ascii="Times New Roman" w:hAnsi="Times New Roman"/>
        </w:rPr>
        <w:t xml:space="preserve"> COM(202</w:t>
      </w:r>
      <w:r>
        <w:rPr>
          <w:rFonts w:ascii="Times New Roman" w:hAnsi="Times New Roman"/>
        </w:rPr>
        <w:t>0) 456 final.</w:t>
      </w:r>
    </w:p>
  </w:footnote>
  <w:footnote w:id="5">
    <w:p w:rsidR="00B730A3" w:rsidRDefault="00FA0E0B">
      <w:pPr>
        <w:pStyle w:val="Tekstprzypisudolnego"/>
      </w:pPr>
      <w:r>
        <w:rPr>
          <w:rStyle w:val="Odwoanieprzypisudolnego"/>
          <w:rFonts w:ascii="Times New Roman" w:hAnsi="Times New Roman" w:cs="Times New Roman"/>
        </w:rPr>
        <w:footnoteRef/>
      </w:r>
      <w:r>
        <w:t xml:space="preserve"> </w:t>
      </w:r>
      <w:r>
        <w:rPr>
          <w:rFonts w:ascii="Times New Roman" w:hAnsi="Times New Roman"/>
        </w:rPr>
        <w:t>Komunikat Komisji do Parlamentu Europejskiego i Rady – Sprawozdanie dotyczące prognozy strategicznej z 2020 r.: w kierunku bardziej odpornej Europy.</w:t>
      </w:r>
    </w:p>
  </w:footnote>
  <w:footnote w:id="6">
    <w:p w:rsidR="00B730A3" w:rsidRDefault="00FA0E0B">
      <w:pPr>
        <w:pStyle w:val="Tekstprzypisudolnego"/>
        <w:rPr>
          <w:rFonts w:ascii="Times New Roman" w:hAnsi="Times New Roman" w:cs="Times New Roman"/>
        </w:rPr>
      </w:pPr>
      <w:r>
        <w:rPr>
          <w:rStyle w:val="Odwoanieprzypisudolnego"/>
          <w:rFonts w:ascii="Times New Roman" w:hAnsi="Times New Roman" w:cs="Times New Roman"/>
        </w:rPr>
        <w:footnoteRef/>
      </w:r>
      <w:r>
        <w:rPr>
          <w:rFonts w:ascii="Times New Roman" w:hAnsi="Times New Roman"/>
        </w:rPr>
        <w:t xml:space="preserve"> Rozporządzenie (UE) 2020/852.</w:t>
      </w:r>
    </w:p>
  </w:footnote>
  <w:footnote w:id="7">
    <w:p w:rsidR="00B730A3" w:rsidRDefault="00FA0E0B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/>
          <w:sz w:val="18"/>
          <w:szCs w:val="18"/>
        </w:rPr>
        <w:t xml:space="preserve"> Rozporządzenie (UE) nr 472/2013.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30A3" w:rsidRDefault="00B730A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30A3" w:rsidRDefault="00B730A3">
    <w:pPr>
      <w:pStyle w:val="HeaderCoverPag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30A3" w:rsidRDefault="00B730A3">
    <w:pPr>
      <w:pStyle w:val="HeaderCoverPag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30A3" w:rsidRDefault="00B730A3">
    <w:pPr>
      <w:pStyle w:val="Nagwek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30A3" w:rsidRDefault="00B730A3">
    <w:pPr>
      <w:pStyle w:val="Nagwek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30A3" w:rsidRDefault="00B730A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C4D17"/>
    <w:multiLevelType w:val="hybridMultilevel"/>
    <w:tmpl w:val="48C2CF34"/>
    <w:lvl w:ilvl="0" w:tplc="080C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8255F8"/>
    <w:multiLevelType w:val="hybridMultilevel"/>
    <w:tmpl w:val="B51C7EFA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3D383D"/>
    <w:multiLevelType w:val="hybridMultilevel"/>
    <w:tmpl w:val="A978EA52"/>
    <w:lvl w:ilvl="0" w:tplc="B4CECE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A95479"/>
    <w:multiLevelType w:val="hybridMultilevel"/>
    <w:tmpl w:val="A978EA52"/>
    <w:lvl w:ilvl="0" w:tplc="B4CECE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174191"/>
    <w:multiLevelType w:val="hybridMultilevel"/>
    <w:tmpl w:val="CA6C0A0A"/>
    <w:lvl w:ilvl="0" w:tplc="67663D94">
      <w:start w:val="1"/>
      <w:numFmt w:val="bullet"/>
      <w:pStyle w:val="Briefinglis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hideSpellingErrors/>
  <w:hideGrammaticalErrors/>
  <w:revisionView w:markup="0"/>
  <w:defaultTabStop w:val="720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Status" w:val="Green"/>
    <w:docVar w:name="LW_CORRIGENDUM" w:val="&lt;UNUSED&gt;"/>
    <w:docVar w:name="LW_COVERPAGE_EXISTS" w:val="True"/>
    <w:docVar w:name="LW_COVERPAGE_GUID" w:val="F9F647D8-A9F2-4BD6-BC51-64DB44ADB6C4"/>
    <w:docVar w:name="LW_COVERPAGE_TYPE" w:val="1"/>
    <w:docVar w:name="LW_CROSSREFERENCE" w:val="&lt;UNUSED&gt;"/>
    <w:docVar w:name="LW_DocType" w:val="NORMAL"/>
    <w:docVar w:name="LW_EMISSION" w:val="17.9.2020"/>
    <w:docVar w:name="LW_EMISSION_ISODATE" w:val="2020-09-17"/>
    <w:docVar w:name="LW_EMISSION_LOCATION" w:val="BRX"/>
    <w:docVar w:name="LW_EMISSION_PREFIX" w:val="Bruksela, dnia "/>
    <w:docVar w:name="LW_EMISSION_SUFFIX" w:val=" r."/>
    <w:docVar w:name="LW_ID_DOCTYPE_NONLW" w:val="CP-009"/>
    <w:docVar w:name="LW_LANGUE" w:val="PL"/>
    <w:docVar w:name="LW_LEVEL_OF_SENSITIVITY" w:val="Standard treatment"/>
    <w:docVar w:name="LW_NOM.INST" w:val="KOMISJA EUROPEJSKA"/>
    <w:docVar w:name="LW_NOM.INST_JOINTDOC" w:val="&lt;EMPTY&gt;"/>
    <w:docVar w:name="LW_PART_NBR" w:val="1"/>
    <w:docVar w:name="LW_PART_NBR_TOTAL" w:val="1"/>
    <w:docVar w:name="LW_REF.INST.NEW" w:val="COM"/>
    <w:docVar w:name="LW_REF.INST.NEW_ADOPTED" w:val="final"/>
    <w:docVar w:name="LW_REF.INST.NEW_TEXT" w:val="(2020) 575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Config isAvailable=&quot;false&quot; isMandatory=&quot;false&quot; sensitiveMarkingMandatory=&quot;false&quot; specialMarkingMandatory=&quot;true&quot; isOptionDisplayInHeaderAvailable=&quot;true&quot; sensitiveMarkingListSee=&quot;SensitiveMarkings&quot; specialMarkingListSee=&quot;SpecialMarkings&quot; sensitiveFootnoteTextSee=&quot;sensitiveFootnote&quot; specialFootnoteTextSee=&quot;specialFootnote&quot; /&gt;_x000d__x000a_  &lt;chosenMainMarking xsi:nil=&quot;true&quot; /&gt;_x000d__x000a_  &lt;dateMarking xsi:nil=&quot;true&quot; /&gt;_x000d__x000a_  &lt;releasableToConfig isAvailable=&quot;false&quot; institutionListSee=&quot;DefaultInstitutions&quot; /&gt;_x000d__x000a_  &lt;chosenReleasableTo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isRestricted&gt;false&lt;/isRestricted&gt;_x000d__x000a_&lt;/SensitivityLevel&gt;"/>
    <w:docVar w:name="LW_SUPERTITRE" w:val="&lt;UNUSED&gt;"/>
    <w:docVar w:name="LW_TITRE.OBJ.CP" w:val="Roczna strategia zrównowa\u380?onego wzrostu gospodarczego na rok 2021"/>
    <w:docVar w:name="LW_TYPE.DOC.CP" w:val="KOMUNIKAT KOMISJI"/>
    <w:docVar w:name="LW_TYPE.DOC.CP.USERTEXT" w:val="DO PARLAMENTU EUROPEJSKIEGO, RADY EUROPEJSKIEJ, RADY, EUROPEJSKIEGO BANKU CENTRALNEGO, EUROPEJSKIEGO KOMITETU EKONOMICZNO-SPO\u321?ECZNEGO, KOMITETU REGIONÓW I EUROPEJSKIEGO BANKU INWESTYCYJNEGO"/>
  </w:docVars>
  <w:rsids>
    <w:rsidRoot w:val="00B730A3"/>
    <w:rsid w:val="00B730A3"/>
    <w:rsid w:val="00FA0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r">
    <w:name w:val="Marker"/>
    <w:basedOn w:val="Domylnaczcionkaakapitu"/>
    <w:rPr>
      <w:color w:val="0000FF"/>
      <w:shd w:val="clear" w:color="auto" w:fill="auto"/>
    </w:rPr>
  </w:style>
  <w:style w:type="paragraph" w:customStyle="1" w:styleId="Pagedecouverture">
    <w:name w:val="Page de couverture"/>
    <w:basedOn w:val="Normalny"/>
    <w:next w:val="Normalny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</w:style>
  <w:style w:type="paragraph" w:customStyle="1" w:styleId="FooterCoverPage">
    <w:name w:val="Footer Cover Page"/>
    <w:basedOn w:val="Normalny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omylnaczcionkaakapitu"/>
    <w:link w:val="FooterCoverPage"/>
    <w:rPr>
      <w:rFonts w:ascii="Times New Roman" w:hAnsi="Times New Roman" w:cs="Times New Roman"/>
      <w:sz w:val="24"/>
    </w:rPr>
  </w:style>
  <w:style w:type="paragraph" w:customStyle="1" w:styleId="FooterSensitivity">
    <w:name w:val="Footer Sensitivity"/>
    <w:basedOn w:val="Normalny"/>
    <w:link w:val="Foot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FooterSensitivityChar">
    <w:name w:val="Footer Sensitivity Char"/>
    <w:basedOn w:val="Domylnaczcionkaakapitu"/>
    <w:link w:val="FooterSensitivity"/>
    <w:rPr>
      <w:rFonts w:ascii="Times New Roman" w:hAnsi="Times New Roman" w:cs="Times New Roman"/>
      <w:b/>
      <w:sz w:val="32"/>
    </w:rPr>
  </w:style>
  <w:style w:type="paragraph" w:customStyle="1" w:styleId="HeaderCoverPage">
    <w:name w:val="Header Cover Page"/>
    <w:basedOn w:val="Normalny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omylnaczcionkaakapitu"/>
    <w:link w:val="HeaderCoverPage"/>
    <w:rPr>
      <w:rFonts w:ascii="Times New Roman" w:hAnsi="Times New Roman" w:cs="Times New Roman"/>
      <w:sz w:val="24"/>
    </w:rPr>
  </w:style>
  <w:style w:type="paragraph" w:customStyle="1" w:styleId="HeaderSensitivity">
    <w:name w:val="Header Sensitivity"/>
    <w:basedOn w:val="Normalny"/>
    <w:link w:val="Head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HeaderSensitivityChar">
    <w:name w:val="Header Sensitivity Char"/>
    <w:basedOn w:val="Domylnaczcionkaakapitu"/>
    <w:link w:val="HeaderSensitivity"/>
    <w:rPr>
      <w:rFonts w:ascii="Times New Roman" w:hAnsi="Times New Roman" w:cs="Times New Roman"/>
      <w:b/>
      <w:sz w:val="32"/>
    </w:rPr>
  </w:style>
  <w:style w:type="paragraph" w:customStyle="1" w:styleId="HeaderSensitivityRight">
    <w:name w:val="Header Sensitivity Right"/>
    <w:basedOn w:val="Normalny"/>
    <w:link w:val="HeaderSensitivityRightChar"/>
    <w:pPr>
      <w:spacing w:after="120" w:line="240" w:lineRule="auto"/>
      <w:jc w:val="right"/>
    </w:pPr>
    <w:rPr>
      <w:rFonts w:ascii="Times New Roman" w:hAnsi="Times New Roman" w:cs="Times New Roman"/>
      <w:sz w:val="28"/>
    </w:rPr>
  </w:style>
  <w:style w:type="character" w:customStyle="1" w:styleId="HeaderSensitivityRightChar">
    <w:name w:val="Header Sensitivity Right Char"/>
    <w:basedOn w:val="Domylnaczcionkaakapitu"/>
    <w:link w:val="HeaderSensitivityRight"/>
    <w:rPr>
      <w:rFonts w:ascii="Times New Roman" w:hAnsi="Times New Roman" w:cs="Times New Roman"/>
      <w:sz w:val="28"/>
    </w:rPr>
  </w:style>
  <w:style w:type="paragraph" w:styleId="Akapitzlist">
    <w:name w:val="List Paragraph"/>
    <w:aliases w:val="numbered list,2,OBC Bullet,Normal 1,Task Body,Viñetas (Inicio Parrafo),Paragrafo elenco,3 Txt tabla,Zerrenda-paragrafoa,Fiche List Paragraph,Dot pt,F5 List Paragraph,List Paragraph1,No Spacing1,List Paragraph Char Char Char,Indicator Text"/>
    <w:basedOn w:val="Normalny"/>
    <w:link w:val="AkapitzlistZnak"/>
    <w:uiPriority w:val="34"/>
    <w:qFormat/>
    <w:pPr>
      <w:spacing w:after="200" w:line="276" w:lineRule="auto"/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Pr>
      <w:vertAlign w:val="superscript"/>
    </w:rPr>
  </w:style>
  <w:style w:type="character" w:customStyle="1" w:styleId="AkapitzlistZnak">
    <w:name w:val="Akapit z listą Znak"/>
    <w:aliases w:val="numbered list Znak,2 Znak,OBC Bullet Znak,Normal 1 Znak,Task Body Znak,Viñetas (Inicio Parrafo) Znak,Paragrafo elenco Znak,3 Txt tabla Znak,Zerrenda-paragrafoa Znak,Fiche List Paragraph Znak,Dot pt Znak,F5 List Paragraph Znak"/>
    <w:basedOn w:val="Domylnaczcionkaakapitu"/>
    <w:link w:val="Akapitzlist"/>
    <w:uiPriority w:val="34"/>
    <w:qFormat/>
    <w:locked/>
  </w:style>
  <w:style w:type="character" w:customStyle="1" w:styleId="Briefinglist2Char">
    <w:name w:val="Briefing list 2 Char"/>
    <w:basedOn w:val="Domylnaczcionkaakapitu"/>
    <w:link w:val="Briefinglist2"/>
    <w:locked/>
    <w:rPr>
      <w:rFonts w:ascii="Arial" w:hAnsi="Arial" w:cs="Arial"/>
    </w:rPr>
  </w:style>
  <w:style w:type="paragraph" w:customStyle="1" w:styleId="Briefinglist2">
    <w:name w:val="Briefing list 2"/>
    <w:basedOn w:val="Normalny"/>
    <w:link w:val="Briefinglist2Char"/>
    <w:pPr>
      <w:numPr>
        <w:numId w:val="2"/>
      </w:numPr>
      <w:spacing w:after="120" w:line="240" w:lineRule="auto"/>
      <w:ind w:left="641" w:hanging="357"/>
      <w:jc w:val="both"/>
    </w:pPr>
    <w:rPr>
      <w:rFonts w:ascii="Arial" w:hAnsi="Arial" w:cs="Arial"/>
    </w:rPr>
  </w:style>
  <w:style w:type="paragraph" w:styleId="NormalnyWeb">
    <w:name w:val="Normal (Web)"/>
    <w:basedOn w:val="Normalny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b/>
      <w:bCs/>
      <w:sz w:val="20"/>
      <w:szCs w:val="20"/>
    </w:rPr>
  </w:style>
  <w:style w:type="paragraph" w:customStyle="1" w:styleId="Disclaimer">
    <w:name w:val="Disclaimer"/>
    <w:basedOn w:val="Normalny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SecurityMarking">
    <w:name w:val="SecurityMarking"/>
    <w:basedOn w:val="Normalny"/>
    <w:pPr>
      <w:spacing w:after="0" w:line="276" w:lineRule="auto"/>
      <w:ind w:left="5103"/>
    </w:pPr>
    <w:rPr>
      <w:rFonts w:ascii="Times New Roman" w:hAnsi="Times New Roman" w:cs="Times New Roman"/>
      <w:sz w:val="28"/>
    </w:rPr>
  </w:style>
  <w:style w:type="paragraph" w:customStyle="1" w:styleId="DateMarking">
    <w:name w:val="DateMarking"/>
    <w:basedOn w:val="Normalny"/>
    <w:pPr>
      <w:spacing w:after="0" w:line="276" w:lineRule="auto"/>
      <w:ind w:left="5103"/>
    </w:pPr>
    <w:rPr>
      <w:rFonts w:ascii="Times New Roman" w:hAnsi="Times New Roman" w:cs="Times New Roman"/>
      <w:i/>
      <w:sz w:val="28"/>
    </w:rPr>
  </w:style>
  <w:style w:type="paragraph" w:customStyle="1" w:styleId="ReleasableTo">
    <w:name w:val="ReleasableTo"/>
    <w:basedOn w:val="Normalny"/>
    <w:pPr>
      <w:spacing w:after="0" w:line="276" w:lineRule="auto"/>
      <w:ind w:left="5103"/>
    </w:pPr>
    <w:rPr>
      <w:rFonts w:ascii="Times New Roman" w:hAnsi="Times New Roman" w:cs="Times New Roman"/>
      <w:i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5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15E3A249-24BF-491D-8493-9A6D4A640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7352</Words>
  <Characters>44118</Characters>
  <Application>Microsoft Office Word</Application>
  <DocSecurity>4</DocSecurity>
  <Lines>367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2020-10-12T08:54:00Z</dcterms:created>
  <dcterms:modified xsi:type="dcterms:W3CDTF">2020-10-12T08:54:00Z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evel of sensitivity">
    <vt:lpwstr>Standard treatment</vt:lpwstr>
  </property>
  <property fmtid="{D5CDD505-2E9C-101B-9397-08002B2CF9AE}" pid="3" name="Last edited using">
    <vt:lpwstr>LW 7.0.1, Build 20190916</vt:lpwstr>
  </property>
  <property fmtid="{D5CDD505-2E9C-101B-9397-08002B2CF9AE}" pid="4" name="Part">
    <vt:lpwstr>1</vt:lpwstr>
  </property>
  <property fmtid="{D5CDD505-2E9C-101B-9397-08002B2CF9AE}" pid="5" name="Total parts">
    <vt:lpwstr>1</vt:lpwstr>
  </property>
  <property fmtid="{D5CDD505-2E9C-101B-9397-08002B2CF9AE}" pid="6" name="DocStatus">
    <vt:lpwstr>Green</vt:lpwstr>
  </property>
  <property fmtid="{D5CDD505-2E9C-101B-9397-08002B2CF9AE}" pid="7" name="CPTemplateID">
    <vt:lpwstr>CP-009</vt:lpwstr>
  </property>
</Properties>
</file>