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2"/>
        <w:gridCol w:w="119"/>
        <w:gridCol w:w="164"/>
        <w:gridCol w:w="497"/>
        <w:gridCol w:w="70"/>
        <w:gridCol w:w="567"/>
        <w:gridCol w:w="94"/>
        <w:gridCol w:w="473"/>
        <w:gridCol w:w="143"/>
        <w:gridCol w:w="201"/>
        <w:gridCol w:w="34"/>
        <w:gridCol w:w="331"/>
        <w:gridCol w:w="521"/>
        <w:gridCol w:w="188"/>
        <w:gridCol w:w="588"/>
        <w:gridCol w:w="76"/>
        <w:gridCol w:w="45"/>
        <w:gridCol w:w="488"/>
        <w:gridCol w:w="220"/>
        <w:gridCol w:w="98"/>
        <w:gridCol w:w="328"/>
        <w:gridCol w:w="205"/>
        <w:gridCol w:w="319"/>
        <w:gridCol w:w="287"/>
        <w:gridCol w:w="565"/>
        <w:gridCol w:w="41"/>
        <w:gridCol w:w="811"/>
      </w:tblGrid>
      <w:tr w:rsidR="006A701A" w:rsidRPr="008B4FE6" w14:paraId="2AC8DFAE" w14:textId="77777777" w:rsidTr="006E43A6">
        <w:trPr>
          <w:trHeight w:val="1611"/>
        </w:trPr>
        <w:tc>
          <w:tcPr>
            <w:tcW w:w="7393" w:type="dxa"/>
            <w:gridSpan w:val="16"/>
          </w:tcPr>
          <w:p w14:paraId="21ACB525" w14:textId="77777777" w:rsidR="006A701A" w:rsidRPr="008B4FE6" w:rsidRDefault="006A701A" w:rsidP="00950CB8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79AE0409" w14:textId="02ECBCA3" w:rsidR="00BF73DB" w:rsidRPr="00BF73DB" w:rsidRDefault="00BF73DB" w:rsidP="00950CB8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 w:rsidRPr="00BF73DB">
              <w:rPr>
                <w:rFonts w:ascii="Times New Roman" w:hAnsi="Times New Roman"/>
                <w:color w:val="000000"/>
              </w:rPr>
              <w:t>Usta</w:t>
            </w:r>
            <w:r w:rsidR="000A2F5E">
              <w:rPr>
                <w:rFonts w:ascii="Times New Roman" w:hAnsi="Times New Roman"/>
                <w:color w:val="000000"/>
              </w:rPr>
              <w:t>wa o rozliczaniu ceny lokali w cenie nieruchomości zbywanych z gminnego zasobu nieruchomości</w:t>
            </w:r>
          </w:p>
          <w:p w14:paraId="23DDC4EF" w14:textId="77777777" w:rsidR="006A701A" w:rsidRPr="008B4FE6" w:rsidRDefault="006A701A" w:rsidP="00950CB8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DD8BB73" w14:textId="77777777" w:rsidR="00BF73DB" w:rsidRPr="00BF73DB" w:rsidRDefault="00BF73DB" w:rsidP="00950CB8">
            <w:pPr>
              <w:jc w:val="both"/>
              <w:rPr>
                <w:rFonts w:ascii="Times New Roman" w:hAnsi="Times New Roman"/>
                <w:color w:val="000000"/>
              </w:rPr>
            </w:pPr>
            <w:r w:rsidRPr="00BF73DB">
              <w:rPr>
                <w:rFonts w:ascii="Times New Roman" w:hAnsi="Times New Roman"/>
                <w:color w:val="000000"/>
              </w:rPr>
              <w:t>Minister</w:t>
            </w:r>
            <w:r>
              <w:rPr>
                <w:rFonts w:ascii="Times New Roman" w:hAnsi="Times New Roman"/>
                <w:color w:val="000000"/>
              </w:rPr>
              <w:t>stwo</w:t>
            </w:r>
            <w:r w:rsidR="00E05288">
              <w:rPr>
                <w:rFonts w:ascii="Times New Roman" w:hAnsi="Times New Roman"/>
                <w:color w:val="000000"/>
              </w:rPr>
              <w:t xml:space="preserve"> </w:t>
            </w:r>
            <w:r w:rsidRPr="00BF73DB">
              <w:rPr>
                <w:rFonts w:ascii="Times New Roman" w:hAnsi="Times New Roman"/>
                <w:color w:val="000000"/>
              </w:rPr>
              <w:t xml:space="preserve"> Rozwoju </w:t>
            </w:r>
          </w:p>
          <w:p w14:paraId="4E9BEE36" w14:textId="77777777" w:rsidR="001B3460" w:rsidRPr="00642825" w:rsidRDefault="001B3460" w:rsidP="00950CB8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4F0E79BD" w14:textId="77777777" w:rsidR="00BF73DB" w:rsidRPr="00942EF0" w:rsidRDefault="00E05288" w:rsidP="00950C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Robert</w:t>
            </w:r>
            <w:r w:rsidR="000A2F5E">
              <w:rPr>
                <w:rFonts w:ascii="Times New Roman" w:hAnsi="Times New Roman"/>
                <w:color w:val="000000"/>
                <w:spacing w:val="-2"/>
              </w:rPr>
              <w:t xml:space="preserve"> Krzysztof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Nowicki </w:t>
            </w:r>
            <w:r w:rsidR="00BF73DB" w:rsidRPr="00942EF0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>Pods</w:t>
            </w:r>
            <w:r w:rsidR="00BF73DB" w:rsidRPr="00942EF0">
              <w:rPr>
                <w:rFonts w:ascii="Times New Roman" w:hAnsi="Times New Roman"/>
                <w:color w:val="000000"/>
                <w:spacing w:val="-2"/>
              </w:rPr>
              <w:t>ekretarz Stanu w Ministerstwie Rozwoju</w:t>
            </w:r>
          </w:p>
          <w:p w14:paraId="7961259E" w14:textId="77777777" w:rsidR="006A701A" w:rsidRPr="008B4FE6" w:rsidRDefault="006A701A" w:rsidP="00AA0180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EED1610" w14:textId="77777777" w:rsidR="000A2F5E" w:rsidRDefault="000A2F5E" w:rsidP="00AA0180">
            <w:pPr>
              <w:spacing w:line="240" w:lineRule="auto"/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Katarzyna Szpot-Prusak – główny specjalista w Wydziale Wspierania Mieszkalnictwa i Analiz</w:t>
            </w:r>
            <w:r w:rsidR="00E05288" w:rsidRPr="006A26E0">
              <w:rPr>
                <w:rFonts w:ascii="Times New Roman" w:hAnsi="Times New Roman"/>
                <w:color w:val="000000"/>
              </w:rPr>
              <w:t xml:space="preserve"> </w:t>
            </w:r>
            <w:r w:rsidR="00E05288">
              <w:rPr>
                <w:rFonts w:ascii="Times New Roman" w:hAnsi="Times New Roman"/>
                <w:color w:val="000000"/>
              </w:rPr>
              <w:t>w Depar</w:t>
            </w:r>
            <w:r>
              <w:rPr>
                <w:rFonts w:ascii="Times New Roman" w:hAnsi="Times New Roman"/>
                <w:color w:val="000000"/>
              </w:rPr>
              <w:t>tamencie Mieszkalnictwa</w:t>
            </w:r>
            <w:r w:rsidR="00950CB8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tel.</w:t>
            </w:r>
            <w:r w:rsidR="00950CB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22 </w:t>
            </w:r>
            <w:r w:rsidR="00E05288">
              <w:rPr>
                <w:rFonts w:ascii="Times New Roman" w:hAnsi="Times New Roman"/>
                <w:color w:val="000000"/>
              </w:rPr>
              <w:t>522-</w:t>
            </w:r>
            <w:r>
              <w:rPr>
                <w:rFonts w:ascii="Times New Roman" w:hAnsi="Times New Roman"/>
                <w:color w:val="000000"/>
              </w:rPr>
              <w:t xml:space="preserve">53-31, </w:t>
            </w:r>
            <w:r w:rsidR="00950CB8">
              <w:rPr>
                <w:rFonts w:ascii="Times New Roman" w:hAnsi="Times New Roman"/>
                <w:color w:val="000000"/>
              </w:rPr>
              <w:br/>
            </w:r>
            <w:r w:rsidR="00E05288" w:rsidRPr="000A2F5E">
              <w:rPr>
                <w:rFonts w:ascii="Times New Roman" w:hAnsi="Times New Roman"/>
                <w:color w:val="000000"/>
              </w:rPr>
              <w:t xml:space="preserve">e-mail: </w:t>
            </w:r>
            <w:hyperlink r:id="rId8" w:history="1">
              <w:r w:rsidRPr="006A4581">
                <w:rPr>
                  <w:rStyle w:val="Hipercze"/>
                  <w:rFonts w:ascii="Times New Roman" w:hAnsi="Times New Roman"/>
                </w:rPr>
                <w:t>katarzyna.szpot-prusak@mr.gov.pl</w:t>
              </w:r>
            </w:hyperlink>
          </w:p>
          <w:p w14:paraId="08741A70" w14:textId="35361134" w:rsidR="00BF73DB" w:rsidRPr="00B15252" w:rsidRDefault="000A2F5E" w:rsidP="00AA0180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Artur Polak</w:t>
            </w:r>
            <w:r w:rsidR="006A26E0">
              <w:rPr>
                <w:rFonts w:ascii="Times New Roman" w:hAnsi="Times New Roman"/>
                <w:color w:val="000000"/>
              </w:rPr>
              <w:t xml:space="preserve"> </w:t>
            </w:r>
            <w:r w:rsidR="00BF73DB" w:rsidRPr="00B15252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naczelnik Wydziału</w:t>
            </w:r>
            <w:r w:rsidRPr="000A2F5E">
              <w:rPr>
                <w:rFonts w:ascii="Times New Roman" w:hAnsi="Times New Roman"/>
                <w:color w:val="000000"/>
              </w:rPr>
              <w:t xml:space="preserve"> Wspierania Mieszkalnictwa i Analiz </w:t>
            </w:r>
            <w:r w:rsidR="00950CB8">
              <w:rPr>
                <w:rFonts w:ascii="Times New Roman" w:hAnsi="Times New Roman"/>
                <w:color w:val="000000"/>
              </w:rPr>
              <w:br/>
            </w:r>
            <w:r w:rsidRPr="000A2F5E">
              <w:rPr>
                <w:rFonts w:ascii="Times New Roman" w:hAnsi="Times New Roman"/>
                <w:color w:val="000000"/>
              </w:rPr>
              <w:t>w Depar</w:t>
            </w:r>
            <w:r>
              <w:rPr>
                <w:rFonts w:ascii="Times New Roman" w:hAnsi="Times New Roman"/>
                <w:color w:val="000000"/>
              </w:rPr>
              <w:t>tamencie Mieszkalnictwa, tel. 22 522-53-22,</w:t>
            </w:r>
          </w:p>
          <w:p w14:paraId="6926FE1F" w14:textId="77777777" w:rsidR="000A2F5E" w:rsidRDefault="00BF73DB" w:rsidP="006B31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15252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hyperlink r:id="rId9" w:history="1">
              <w:r w:rsidR="000A2F5E" w:rsidRPr="006A4581">
                <w:rPr>
                  <w:rStyle w:val="Hipercze"/>
                  <w:rFonts w:ascii="Times New Roman" w:hAnsi="Times New Roman"/>
                  <w:lang w:val="en-US"/>
                </w:rPr>
                <w:t>artur.polak@mr.gov.pl</w:t>
              </w:r>
            </w:hyperlink>
          </w:p>
          <w:p w14:paraId="527DBAE8" w14:textId="77777777" w:rsidR="006A701A" w:rsidRPr="004440E3" w:rsidRDefault="004440E3" w:rsidP="00AA0180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440E3">
              <w:rPr>
                <w:rFonts w:ascii="Times New Roman" w:hAnsi="Times New Roman"/>
                <w:color w:val="000000"/>
                <w:u w:val="single"/>
              </w:rPr>
              <w:t>W zakresie dofinansowania infrastruktury towarzyszącej</w:t>
            </w:r>
          </w:p>
          <w:p w14:paraId="76BF0EA6" w14:textId="03A0804B" w:rsidR="00AA0180" w:rsidRDefault="004440E3" w:rsidP="00AA0180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Wiktoria Machnik</w:t>
            </w:r>
            <w:r w:rsidR="00666FFB">
              <w:rPr>
                <w:rFonts w:ascii="Times New Roman" w:hAnsi="Times New Roman"/>
                <w:color w:val="000000"/>
              </w:rPr>
              <w:t xml:space="preserve"> </w:t>
            </w:r>
            <w:r w:rsidR="00666FFB" w:rsidRPr="00666FFB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naczelnik Wydziału Budownictwa Społecznego </w:t>
            </w:r>
            <w:r w:rsidR="00666FFB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w Depart</w:t>
            </w:r>
            <w:r w:rsidR="00AA0180">
              <w:rPr>
                <w:rFonts w:ascii="Times New Roman" w:hAnsi="Times New Roman"/>
                <w:color w:val="000000"/>
              </w:rPr>
              <w:t xml:space="preserve">amencie Mieszkalnictwa, e-mail: </w:t>
            </w:r>
            <w:hyperlink r:id="rId10" w:history="1">
              <w:r w:rsidR="00AA0180" w:rsidRPr="00897E97">
                <w:rPr>
                  <w:rStyle w:val="Hipercze"/>
                  <w:rFonts w:ascii="Times New Roman" w:hAnsi="Times New Roman"/>
                </w:rPr>
                <w:t>wiktoria.machnik@mr.gov.pl</w:t>
              </w:r>
            </w:hyperlink>
          </w:p>
          <w:p w14:paraId="17EFD763" w14:textId="19D40B37" w:rsidR="00AA0180" w:rsidRPr="004440E3" w:rsidRDefault="00AA0180" w:rsidP="00BA37B8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3" w:type="dxa"/>
            <w:gridSpan w:val="12"/>
            <w:shd w:val="clear" w:color="auto" w:fill="FFFFFF"/>
          </w:tcPr>
          <w:p w14:paraId="6726A88F" w14:textId="4AE5D1BF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20-05-19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B5668">
                  <w:rPr>
                    <w:rFonts w:ascii="Times New Roman" w:hAnsi="Times New Roman"/>
                    <w:b/>
                    <w:sz w:val="21"/>
                    <w:szCs w:val="21"/>
                  </w:rPr>
                  <w:t>19</w:t>
                </w:r>
                <w:r w:rsidR="00313CE1">
                  <w:rPr>
                    <w:rFonts w:ascii="Times New Roman" w:hAnsi="Times New Roman"/>
                    <w:b/>
                    <w:sz w:val="21"/>
                    <w:szCs w:val="21"/>
                  </w:rPr>
                  <w:t>.05.2020</w:t>
                </w:r>
              </w:sdtContent>
            </w:sdt>
          </w:p>
          <w:p w14:paraId="511D6D9C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102D695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14EEF4F6" w14:textId="77777777" w:rsidR="00F76884" w:rsidRPr="00EF290C" w:rsidRDefault="00BF73DB" w:rsidP="00F76884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Inne</w:t>
                </w:r>
              </w:p>
            </w:sdtContent>
          </w:sdt>
          <w:p w14:paraId="2E384B53" w14:textId="77777777" w:rsidR="00997BB2" w:rsidRDefault="00997BB2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40AE6D58" w14:textId="77777777" w:rsidR="00BA2BB7" w:rsidRPr="0065019F" w:rsidRDefault="00997BB2" w:rsidP="00997BB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Wnioski z realizacji  Narodowego Programu Mieszkaniowego</w:t>
            </w:r>
          </w:p>
          <w:p w14:paraId="7EA599AA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320500A6" w14:textId="77777777" w:rsidR="006A701A" w:rsidRPr="008B4FE6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14:paraId="04F6BDBF" w14:textId="5B90380C" w:rsidR="006A701A" w:rsidRPr="00933A65" w:rsidRDefault="0087596E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UD91</w:t>
            </w:r>
          </w:p>
          <w:p w14:paraId="08D9E8E9" w14:textId="77777777"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7FEF8B9D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7739D00D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64492D37" w14:textId="77777777" w:rsidTr="006E43A6">
        <w:trPr>
          <w:trHeight w:val="333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23CC00D8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271E48D3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66589382" w14:textId="77777777" w:rsidR="007C2E89" w:rsidRDefault="007C2E89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6F1FDE15" w14:textId="77F742C2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>Głównym celem polityki mieszkaniowej w Pols</w:t>
            </w:r>
            <w:r w:rsidR="00D702D1">
              <w:rPr>
                <w:rFonts w:ascii="Times New Roman" w:hAnsi="Times New Roman"/>
                <w:bCs/>
                <w:color w:val="000000"/>
              </w:rPr>
              <w:t>ce w perspektywie do 2030 r., o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kreślonym w </w:t>
            </w:r>
            <w:r w:rsidRPr="001D660A">
              <w:rPr>
                <w:rFonts w:ascii="Times New Roman" w:hAnsi="Times New Roman"/>
                <w:bCs/>
                <w:i/>
                <w:iCs/>
                <w:color w:val="000000"/>
              </w:rPr>
              <w:t>uchwale nr 115/2016 Rady Ministrów z dnia 27 września 2016 r. w sprawie przyjęcia Narodowego Programu Mieszkaniowego</w:t>
            </w:r>
            <w:r w:rsidRPr="001D660A">
              <w:rPr>
                <w:rFonts w:ascii="Times New Roman" w:hAnsi="Times New Roman"/>
                <w:bCs/>
                <w:color w:val="000000"/>
              </w:rPr>
              <w:t>, jest zwiększenie</w:t>
            </w:r>
            <w:r w:rsidR="00D702D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D702D1">
              <w:rPr>
                <w:rFonts w:ascii="Times New Roman" w:hAnsi="Times New Roman"/>
                <w:bCs/>
                <w:color w:val="000000"/>
              </w:rPr>
              <w:br/>
              <w:t>w Polsce do 2030 r.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liczby mieszkań przypadających na 1000 mieszkańców do poziomów osiąganych przeciętnie </w:t>
            </w:r>
            <w:r w:rsidR="00D702D1"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w krajach Unii Europejskiej. Wzrost ten powinien być </w:t>
            </w:r>
            <w:r>
              <w:rPr>
                <w:rFonts w:ascii="Times New Roman" w:hAnsi="Times New Roman"/>
                <w:bCs/>
                <w:color w:val="000000"/>
              </w:rPr>
              <w:t>spowodowany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przez znaczne zwiększenie podaży mieszkań, zarówno w segmencie rynkowym </w:t>
            </w:r>
            <w:r w:rsidR="00D702D1">
              <w:rPr>
                <w:rFonts w:ascii="Times New Roman" w:hAnsi="Times New Roman"/>
                <w:bCs/>
                <w:color w:val="000000"/>
              </w:rPr>
              <w:t xml:space="preserve">(budownictwo deweloperskie na sprzedaż i wynajem, budownictwo indywidualne) </w:t>
            </w:r>
            <w:r w:rsidRPr="001D660A">
              <w:rPr>
                <w:rFonts w:ascii="Times New Roman" w:hAnsi="Times New Roman"/>
                <w:bCs/>
                <w:color w:val="000000"/>
              </w:rPr>
              <w:t>jak i segmencie społecznym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D702D1">
              <w:rPr>
                <w:rFonts w:ascii="Times New Roman" w:hAnsi="Times New Roman"/>
                <w:bCs/>
                <w:color w:val="000000"/>
              </w:rPr>
              <w:t xml:space="preserve">(budownictwo komunalne, budownictwo towarzystw budownictwa społecznego, budownictwo spółdzielcze), </w:t>
            </w:r>
            <w:r>
              <w:rPr>
                <w:rFonts w:ascii="Times New Roman" w:hAnsi="Times New Roman"/>
                <w:bCs/>
                <w:color w:val="000000"/>
              </w:rPr>
              <w:t>otwartym na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możliwości finansow</w:t>
            </w:r>
            <w:r>
              <w:rPr>
                <w:rFonts w:ascii="Times New Roman" w:hAnsi="Times New Roman"/>
                <w:bCs/>
                <w:color w:val="000000"/>
              </w:rPr>
              <w:t>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gospodarstw domowych o niskich i przeciętnych dochodach. </w:t>
            </w:r>
            <w:r w:rsidR="00D702D1"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W przypadku gospodarstw o niskich i przeciętnych dochodach wspomniany cel łączy się z drugim celem Programu, jakim jest zlikwidowanie do 2030 r. kolejek gospodarstw domowych oczekujących </w:t>
            </w:r>
            <w:r w:rsidR="002A7A48">
              <w:rPr>
                <w:rFonts w:ascii="Times New Roman" w:hAnsi="Times New Roman"/>
                <w:bCs/>
                <w:color w:val="000000"/>
              </w:rPr>
              <w:t xml:space="preserve">w Polsce </w:t>
            </w:r>
            <w:r w:rsidR="00880528">
              <w:rPr>
                <w:rFonts w:ascii="Times New Roman" w:hAnsi="Times New Roman"/>
                <w:bCs/>
                <w:color w:val="000000"/>
              </w:rPr>
              <w:t>na najem mieszkania gminnego.</w:t>
            </w:r>
          </w:p>
          <w:p w14:paraId="3497AF22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A268D95" w14:textId="77777777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 xml:space="preserve">W latach 2015-2019 nastąpił znaczący wzrost liczby mieszkań oddawanych do użytkowania. W 2015 r. oddano do użytkowania 147,2 tys. mieszkań, zaś w 2019 r. 207,2 tys. mieszkań (wzrost o 40,7%). </w:t>
            </w:r>
            <w:r>
              <w:rPr>
                <w:rFonts w:ascii="Times New Roman" w:hAnsi="Times New Roman"/>
                <w:bCs/>
                <w:color w:val="000000"/>
              </w:rPr>
              <w:t>Z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a wzrost ten odpowiadał </w:t>
            </w:r>
            <w:r>
              <w:rPr>
                <w:rFonts w:ascii="Times New Roman" w:hAnsi="Times New Roman"/>
                <w:bCs/>
                <w:color w:val="000000"/>
              </w:rPr>
              <w:t xml:space="preserve">jednak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sektor deweloperski oraz indywidualne budownictwo domów jednorodzinnych, czyli segmenty dostępne dla osób </w:t>
            </w:r>
            <w:r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o wyższych dochodach, </w:t>
            </w:r>
            <w:r w:rsidR="00EA7B18">
              <w:rPr>
                <w:rFonts w:ascii="Times New Roman" w:hAnsi="Times New Roman"/>
                <w:bCs/>
                <w:color w:val="000000"/>
              </w:rPr>
              <w:t xml:space="preserve">dysponujących środkami finansowymi lub </w:t>
            </w:r>
            <w:r w:rsidRPr="001D660A">
              <w:rPr>
                <w:rFonts w:ascii="Times New Roman" w:hAnsi="Times New Roman"/>
                <w:bCs/>
                <w:color w:val="000000"/>
              </w:rPr>
              <w:t>posiadających zdolność kredytową. W sektorze społecznym liczba nowo budowanych mieszkań wzrosła tylko nieznacznie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z 4,5 tys. w 2015 r. do 4,6 tys. w 2019 r. (2,2%). </w:t>
            </w:r>
          </w:p>
          <w:p w14:paraId="74126BFC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1C5A11B" w14:textId="77777777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 xml:space="preserve">W  przypadku budownictwa rynkowego jednym z najważniejszych czynników ograniczających dalszy wzrost podaży rynkowej jest dostępność gruntów budowlanych. Czynnik ten został zidentyfikowany przez inwestorów przed rozpoczęciem epidemii COVID-19, której skutki sektorowe </w:t>
            </w:r>
            <w:r>
              <w:rPr>
                <w:rFonts w:ascii="Times New Roman" w:hAnsi="Times New Roman"/>
                <w:bCs/>
                <w:color w:val="000000"/>
              </w:rPr>
              <w:t xml:space="preserve">nie są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jeszcze znane. Można jednak mieć nadzieję, że ewentualny kryzys na rynku budownictwa mieszkaniowego nie będzie tak gwałtowny jak w innych sektorach gospodarki, których działalność została administracyjnie znacznie ograniczona lub zawieszona. </w:t>
            </w:r>
          </w:p>
          <w:p w14:paraId="15C23458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65EDBE7" w14:textId="77777777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>W przypadku budownictwa dostępnego problem zbyt niskiej podaży wynika</w:t>
            </w:r>
            <w:r>
              <w:rPr>
                <w:rFonts w:ascii="Times New Roman" w:hAnsi="Times New Roman"/>
                <w:bCs/>
                <w:color w:val="000000"/>
              </w:rPr>
              <w:t>ł przede wszystkim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z </w:t>
            </w:r>
            <w:r>
              <w:rPr>
                <w:rFonts w:ascii="Times New Roman" w:hAnsi="Times New Roman"/>
                <w:bCs/>
                <w:color w:val="000000"/>
              </w:rPr>
              <w:t>zaniedbania procesów inwestycyjnych w sektorach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, których wsparcie w ostatnich latach przed rozpoczęciem realizacji Narodowego Programu Mieszkaniowego zostało </w:t>
            </w:r>
            <w:r>
              <w:rPr>
                <w:rFonts w:ascii="Times New Roman" w:hAnsi="Times New Roman"/>
                <w:bCs/>
                <w:color w:val="000000"/>
              </w:rPr>
              <w:t>znacznie zmniejszone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</w:rPr>
              <w:t xml:space="preserve">Spowodowało to konieczność zainicjowania nowych modeli inwestycyjnych, których efekty – ze względu na długość cyklu inwestycyjno-budowlanego – pojawiają się zawsze 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z kilkuletnim opóźnieniem. </w:t>
            </w:r>
            <w:r w:rsidR="00976099">
              <w:rPr>
                <w:rFonts w:ascii="Times New Roman" w:hAnsi="Times New Roman"/>
                <w:bCs/>
                <w:color w:val="000000"/>
              </w:rPr>
              <w:t>Mowa tu o nowym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(zainicjowany</w:t>
            </w:r>
            <w:r w:rsidR="00976099">
              <w:rPr>
                <w:rFonts w:ascii="Times New Roman" w:hAnsi="Times New Roman"/>
                <w:bCs/>
                <w:color w:val="000000"/>
              </w:rPr>
              <w:t>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w 2016 r.) segmen</w:t>
            </w:r>
            <w:r w:rsidR="00976099">
              <w:rPr>
                <w:rFonts w:ascii="Times New Roman" w:hAnsi="Times New Roman"/>
                <w:bCs/>
                <w:color w:val="000000"/>
              </w:rPr>
              <w:t>cie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budownictwa na wynajem z opcją docelowego nabycia własności realizowany</w:t>
            </w:r>
            <w:r w:rsidR="00976099">
              <w:rPr>
                <w:rFonts w:ascii="Times New Roman" w:hAnsi="Times New Roman"/>
                <w:bCs/>
                <w:color w:val="000000"/>
              </w:rPr>
              <w:t>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przez spółkę PFR Nieruchomości S.A., jak również o budownictw</w:t>
            </w:r>
            <w:r w:rsidR="00976099">
              <w:rPr>
                <w:rFonts w:ascii="Times New Roman" w:hAnsi="Times New Roman"/>
                <w:bCs/>
                <w:color w:val="000000"/>
              </w:rPr>
              <w:t>ie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komunaln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(realizowan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bezpośrednio przez samorządy gminne) i społeczn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czynszow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(realizowan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przez towarzystwa budownictwa społecznego</w:t>
            </w:r>
            <w:r>
              <w:rPr>
                <w:rFonts w:ascii="Times New Roman" w:hAnsi="Times New Roman"/>
                <w:bCs/>
                <w:color w:val="000000"/>
              </w:rPr>
              <w:t>, spółdzielnie mieszkaniowe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i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spółki gminne). W przypadku tych ostatnich sektorów problemem jest niska skłonność gmin do angażowania się w bezpośrednie procesy inwestycyjne prowadzące do uzyskania zasobu mieszkań, które mogłyby być następnie wynajmowane członkom społeczności lokalnej spełniającym określone przez gminy warunki, w tym </w:t>
            </w:r>
            <w:r>
              <w:rPr>
                <w:rFonts w:ascii="Times New Roman" w:hAnsi="Times New Roman"/>
                <w:bCs/>
                <w:color w:val="000000"/>
              </w:rPr>
              <w:t xml:space="preserve">warunki </w:t>
            </w:r>
            <w:r w:rsidRPr="001D660A">
              <w:rPr>
                <w:rFonts w:ascii="Times New Roman" w:hAnsi="Times New Roman"/>
                <w:bCs/>
                <w:color w:val="000000"/>
              </w:rPr>
              <w:t>dochodowe.</w:t>
            </w:r>
          </w:p>
          <w:p w14:paraId="102705C9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415B3D4" w14:textId="77777777" w:rsidR="00E05288" w:rsidRDefault="00997BB2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W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obec </w:t>
            </w:r>
            <w:r>
              <w:rPr>
                <w:rFonts w:ascii="Times New Roman" w:hAnsi="Times New Roman"/>
                <w:bCs/>
                <w:color w:val="000000"/>
              </w:rPr>
              <w:t>zmniejszającej się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dostępności i </w:t>
            </w:r>
            <w:r>
              <w:rPr>
                <w:rFonts w:ascii="Times New Roman" w:hAnsi="Times New Roman"/>
                <w:bCs/>
                <w:color w:val="000000"/>
              </w:rPr>
              <w:t>zwiększających się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cen rynkowych nieruchomości gruntowych deweloperzy sięgają po coraz mniej atrakcyjne działki, które wymagają kilkuletniego przygotowania technicznego (np. zapewnienia podstawowej infrastruktury technicznej) oraz formalnego (szczególnie na obszar</w:t>
            </w:r>
            <w:r>
              <w:rPr>
                <w:rFonts w:ascii="Times New Roman" w:hAnsi="Times New Roman"/>
                <w:bCs/>
                <w:color w:val="000000"/>
              </w:rPr>
              <w:t>ach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nieobjęty</w:t>
            </w:r>
            <w:r>
              <w:rPr>
                <w:rFonts w:ascii="Times New Roman" w:hAnsi="Times New Roman"/>
                <w:bCs/>
                <w:color w:val="000000"/>
              </w:rPr>
              <w:t>ch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miejscowym</w:t>
            </w:r>
            <w:r>
              <w:rPr>
                <w:rFonts w:ascii="Times New Roman" w:hAnsi="Times New Roman"/>
                <w:bCs/>
                <w:color w:val="000000"/>
              </w:rPr>
              <w:t>i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plan</w:t>
            </w:r>
            <w:r>
              <w:rPr>
                <w:rFonts w:ascii="Times New Roman" w:hAnsi="Times New Roman"/>
                <w:bCs/>
                <w:color w:val="000000"/>
              </w:rPr>
              <w:t>ami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zagospodarowania przestrzennego). Problemem są również istniejące ograniczenia w obrocie gruntami, mające na celu m.in. ochronę gruntów rolnych.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Ponadto, tereny przeznaczone pod budownictwo mieszkaniowe cechują się niskim dostępem do podstawowych urządzeń infrastruktury społecznej, a ich zapewnienie jest bardzo kosztowne </w:t>
            </w:r>
            <w:r w:rsidR="002551E6"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>z punktu widzenia możliwości inwestycyjnych samorządów gminnych.</w:t>
            </w:r>
          </w:p>
          <w:p w14:paraId="0FA0B49E" w14:textId="77777777" w:rsidR="007C2E89" w:rsidRDefault="007C2E89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233DDAC1" w14:textId="77777777" w:rsidR="00997BB2" w:rsidRDefault="00997BB2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W świetle przedstawionych wyżej wyzwań stojących przed władzami publicznymi w związku z realizacją konstytucyjnego obowiązku prowadzenia polityki sprzyjającej zaspokajaniu potrzeb mieszkaniowych obywateli, w tym wskazanych wyżej celów Narodowego Programu Mieszkaniowego, uzasadnione jest wdrożenie kolejnych rozwiązań prawnych służących</w:t>
            </w:r>
            <w:r w:rsidRPr="00915E78">
              <w:rPr>
                <w:rFonts w:ascii="Times New Roman" w:hAnsi="Times New Roman"/>
                <w:bCs/>
                <w:color w:val="000000"/>
              </w:rPr>
              <w:t xml:space="preserve"> ogranicz</w:t>
            </w:r>
            <w:r>
              <w:rPr>
                <w:rFonts w:ascii="Times New Roman" w:hAnsi="Times New Roman"/>
                <w:bCs/>
                <w:color w:val="000000"/>
              </w:rPr>
              <w:t>eniu</w:t>
            </w:r>
            <w:r w:rsidRPr="00915E78">
              <w:rPr>
                <w:rFonts w:ascii="Times New Roman" w:hAnsi="Times New Roman"/>
                <w:bCs/>
                <w:color w:val="000000"/>
              </w:rPr>
              <w:t xml:space="preserve"> barier w pozyskiwaniu przez inwestorów nieruchomości na cele mieszkaniowe lub inne cele inwestycyjne towarzyszące realizacji polityki mieszkaniowej państwa</w:t>
            </w:r>
            <w:r>
              <w:rPr>
                <w:rFonts w:ascii="Times New Roman" w:hAnsi="Times New Roman"/>
                <w:bCs/>
                <w:color w:val="000000"/>
              </w:rPr>
              <w:t xml:space="preserve">. Ułatwienie dostępu do nieruchomości 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o </w:t>
            </w:r>
            <w:r w:rsidRPr="00915E78">
              <w:rPr>
                <w:rFonts w:ascii="Times New Roman" w:hAnsi="Times New Roman"/>
                <w:bCs/>
                <w:color w:val="000000"/>
              </w:rPr>
              <w:t>potencjale inwestycyjnym</w:t>
            </w:r>
            <w:r>
              <w:rPr>
                <w:rFonts w:ascii="Times New Roman" w:hAnsi="Times New Roman"/>
                <w:bCs/>
                <w:color w:val="000000"/>
              </w:rPr>
              <w:t xml:space="preserve"> może przyczynić się również </w:t>
            </w:r>
            <w:r w:rsidRPr="00915E78">
              <w:rPr>
                <w:rFonts w:ascii="Times New Roman" w:hAnsi="Times New Roman"/>
                <w:bCs/>
                <w:color w:val="000000"/>
              </w:rPr>
              <w:t>do szybszego ograniczenia negatywnego wpływu pandemii COVID-19 na działalność inwestycyjną w Polsce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14:paraId="16FDF149" w14:textId="77777777" w:rsidR="007C2E89" w:rsidRPr="00997BB2" w:rsidRDefault="007C2E89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A701A" w:rsidRPr="008B4FE6" w14:paraId="5B6DD151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4FDC8F2F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5CE62278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auto"/>
          </w:tcPr>
          <w:p w14:paraId="1F040910" w14:textId="77777777" w:rsidR="007C2E89" w:rsidRDefault="007C2E89" w:rsidP="004449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8DC6F38" w14:textId="77777777" w:rsidR="00F725C6" w:rsidRDefault="00283E3D" w:rsidP="004449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Projektowana ustawa ma na celu rozszerzenie instrumentów realizacji Narodowego Programu Mieszkaniowego i realizację powiązanych z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sobą celów:</w:t>
            </w:r>
          </w:p>
          <w:p w14:paraId="3BA3B154" w14:textId="77777777" w:rsidR="00283E3D" w:rsidRDefault="00E20685" w:rsidP="00283E3D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283E3D">
              <w:rPr>
                <w:rFonts w:ascii="Times New Roman" w:hAnsi="Times New Roman"/>
                <w:color w:val="000000"/>
                <w:spacing w:val="-2"/>
              </w:rPr>
              <w:t>większenia podaży mieszkań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ogółem</w:t>
            </w:r>
            <w:r w:rsidR="00283E3D"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14:paraId="11D6B245" w14:textId="77777777" w:rsidR="00283E3D" w:rsidRDefault="00E20685" w:rsidP="00283E3D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283E3D">
              <w:rPr>
                <w:rFonts w:ascii="Times New Roman" w:hAnsi="Times New Roman"/>
                <w:color w:val="000000"/>
                <w:spacing w:val="-2"/>
              </w:rPr>
              <w:t>większenia pod</w:t>
            </w:r>
            <w:r w:rsidR="0043209F">
              <w:rPr>
                <w:rFonts w:ascii="Times New Roman" w:hAnsi="Times New Roman"/>
                <w:color w:val="000000"/>
                <w:spacing w:val="-2"/>
              </w:rPr>
              <w:t>aży mieszkań dostępnych cenowo.</w:t>
            </w:r>
          </w:p>
          <w:p w14:paraId="7481B0DE" w14:textId="77777777" w:rsidR="00E20685" w:rsidRDefault="00E20685" w:rsidP="00E20685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E6B3082" w14:textId="77777777" w:rsidR="000550B0" w:rsidRDefault="00283E3D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550B0">
              <w:rPr>
                <w:rFonts w:ascii="Times New Roman" w:hAnsi="Times New Roman"/>
                <w:b/>
                <w:color w:val="000000"/>
                <w:spacing w:val="-2"/>
              </w:rPr>
              <w:t>Podstawowym rozwiązaniem jest określenie</w:t>
            </w:r>
            <w:r w:rsidR="0016398C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 zasad zbywania w przetargach nieograniczonych nieruchomości gruntowy</w:t>
            </w:r>
            <w:r w:rsidR="00003D8E">
              <w:rPr>
                <w:rFonts w:ascii="Times New Roman" w:hAnsi="Times New Roman"/>
                <w:b/>
                <w:color w:val="000000"/>
                <w:spacing w:val="-2"/>
              </w:rPr>
              <w:t>ch</w:t>
            </w:r>
            <w:r w:rsidR="0016398C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 gmin oraz Krajowego Zasobu </w:t>
            </w:r>
            <w:r w:rsidR="00003D8E">
              <w:rPr>
                <w:rFonts w:ascii="Times New Roman" w:hAnsi="Times New Roman"/>
                <w:b/>
                <w:color w:val="000000"/>
                <w:spacing w:val="-2"/>
              </w:rPr>
              <w:t>Nieruchomości</w:t>
            </w:r>
            <w:r w:rsidR="0016398C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 (za pośrednictwem gmin) z możliwością rozliczenia części ceny </w:t>
            </w:r>
            <w:r w:rsidR="00003D8E">
              <w:rPr>
                <w:rFonts w:ascii="Times New Roman" w:hAnsi="Times New Roman"/>
                <w:b/>
                <w:color w:val="000000"/>
                <w:spacing w:val="-2"/>
              </w:rPr>
              <w:t xml:space="preserve">nieruchomości </w:t>
            </w:r>
            <w:r w:rsidR="000A0E11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w formie mieszkań (lub innych powierzchni, które mogłyby być wykorzystane przez gminę np. na działalność użyteczności publicznej). </w:t>
            </w:r>
          </w:p>
          <w:p w14:paraId="6130A871" w14:textId="77777777" w:rsidR="00E20685" w:rsidRPr="00E20685" w:rsidRDefault="00E20685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14:paraId="22BAE041" w14:textId="77777777" w:rsidR="000A0E11" w:rsidRDefault="000A0E11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Warto zauważyć, </w:t>
            </w:r>
            <w:r w:rsidR="000550B0">
              <w:rPr>
                <w:rFonts w:ascii="Times New Roman" w:hAnsi="Times New Roman"/>
                <w:color w:val="000000"/>
                <w:spacing w:val="-2"/>
              </w:rPr>
              <w:t>ż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e gminy dysponują </w:t>
            </w:r>
            <w:r w:rsidR="000550B0">
              <w:rPr>
                <w:rFonts w:ascii="Times New Roman" w:hAnsi="Times New Roman"/>
                <w:color w:val="000000"/>
                <w:spacing w:val="-2"/>
              </w:rPr>
              <w:t>w tym zakresie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pokaźnym potencjałem w formie zasobu gruntów przeznaczonych pod budownictwo mieszkaniowe. </w:t>
            </w:r>
          </w:p>
          <w:p w14:paraId="7639D1FC" w14:textId="77777777" w:rsidR="000A0E11" w:rsidRDefault="000A0E11" w:rsidP="00E2068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339AF7A" w14:textId="77777777" w:rsidR="00A252AA" w:rsidRDefault="00A252AA" w:rsidP="00E2068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252AA">
              <w:rPr>
                <w:rFonts w:ascii="Times New Roman" w:hAnsi="Times New Roman"/>
                <w:color w:val="000000"/>
                <w:spacing w:val="-2"/>
              </w:rPr>
              <w:t>W</w:t>
            </w:r>
            <w:r>
              <w:rPr>
                <w:rFonts w:ascii="Times New Roman" w:hAnsi="Times New Roman"/>
                <w:color w:val="000000"/>
                <w:spacing w:val="-2"/>
              </w:rPr>
              <w:t>edług danych Głównego Urzędu Statystycznego</w:t>
            </w:r>
            <w:r w:rsidR="00E24C6D">
              <w:rPr>
                <w:rFonts w:ascii="Times New Roman" w:hAnsi="Times New Roman"/>
                <w:color w:val="000000"/>
                <w:spacing w:val="-2"/>
              </w:rPr>
              <w:t xml:space="preserve"> (cykliczne opracowanie pt. „Gospodarka mieszkaniowa”)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</w:t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 xml:space="preserve"> 2018 r</w:t>
            </w:r>
            <w:r w:rsidR="00003D8E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003D8E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>w zasobie gmin znajdowało się 28 308,6 ha grunt</w:t>
            </w:r>
            <w:r>
              <w:rPr>
                <w:rFonts w:ascii="Times New Roman" w:hAnsi="Times New Roman"/>
                <w:color w:val="000000"/>
                <w:spacing w:val="-2"/>
              </w:rPr>
              <w:t>ów pod budownictwo mieszkaniowe (</w:t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>8,5% więcej niż w 2015 r</w:t>
            </w:r>
            <w:r w:rsidR="00003D8E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8E088F">
              <w:rPr>
                <w:rFonts w:ascii="Times New Roman" w:hAnsi="Times New Roman"/>
                <w:color w:val="000000"/>
                <w:spacing w:val="-2"/>
              </w:rPr>
              <w:t xml:space="preserve">), </w:t>
            </w:r>
            <w:r w:rsidR="00E20685">
              <w:rPr>
                <w:rFonts w:ascii="Times New Roman" w:hAnsi="Times New Roman"/>
                <w:color w:val="000000"/>
                <w:spacing w:val="-2"/>
              </w:rPr>
              <w:br/>
            </w:r>
            <w:r w:rsidR="008E088F">
              <w:rPr>
                <w:rFonts w:ascii="Times New Roman" w:hAnsi="Times New Roman"/>
                <w:color w:val="000000"/>
                <w:spacing w:val="-2"/>
              </w:rPr>
              <w:t xml:space="preserve">z czego ok. </w:t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 xml:space="preserve">45,2% powierzchni była uzbrojona. </w:t>
            </w:r>
          </w:p>
          <w:p w14:paraId="770DA9C4" w14:textId="77777777" w:rsidR="008E088F" w:rsidRDefault="008E088F" w:rsidP="00E2068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236CB39" w14:textId="77777777" w:rsidR="008E088F" w:rsidRPr="008E088F" w:rsidRDefault="008E088F" w:rsidP="008E088F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8E088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Grunty znajdujące się w zasobie gruntów pod budownictwo mieszkaniowe w latach 2015 i 2018 (w ha).</w:t>
            </w:r>
          </w:p>
          <w:tbl>
            <w:tblPr>
              <w:tblStyle w:val="Tabela-Siatka"/>
              <w:tblW w:w="10704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3568"/>
              <w:gridCol w:w="3568"/>
            </w:tblGrid>
            <w:tr w:rsidR="008E088F" w14:paraId="3ADB6E55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6B1F2FD5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3568" w:type="dxa"/>
                </w:tcPr>
                <w:p w14:paraId="267AEE53" w14:textId="77777777" w:rsidR="008E088F" w:rsidRPr="008E088F" w:rsidRDefault="008E088F" w:rsidP="008E088F">
                  <w:pPr>
                    <w:pStyle w:val="Akapitzlist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3568" w:type="dxa"/>
                </w:tcPr>
                <w:p w14:paraId="5515A803" w14:textId="77777777" w:rsidR="008E088F" w:rsidRPr="008E088F" w:rsidRDefault="008E088F" w:rsidP="008E088F">
                  <w:pPr>
                    <w:pStyle w:val="Akapitzlist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2018</w:t>
                  </w:r>
                </w:p>
              </w:tc>
            </w:tr>
            <w:tr w:rsidR="008E088F" w14:paraId="184D9918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0F24744B" w14:textId="77777777" w:rsidR="008E088F" w:rsidRPr="00E24C6D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Grunty ogółem</w:t>
                  </w:r>
                </w:p>
              </w:tc>
              <w:tc>
                <w:tcPr>
                  <w:tcW w:w="3568" w:type="dxa"/>
                  <w:vAlign w:val="center"/>
                </w:tcPr>
                <w:p w14:paraId="048E2AAE" w14:textId="77777777" w:rsidR="008E088F" w:rsidRPr="00E24C6D" w:rsidRDefault="008E088F" w:rsidP="008E088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24C6D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26 095,6</w:t>
                  </w:r>
                </w:p>
              </w:tc>
              <w:tc>
                <w:tcPr>
                  <w:tcW w:w="3568" w:type="dxa"/>
                  <w:vAlign w:val="center"/>
                </w:tcPr>
                <w:p w14:paraId="5D0808FC" w14:textId="77777777" w:rsidR="008E088F" w:rsidRPr="00E24C6D" w:rsidRDefault="008E088F" w:rsidP="008E088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24C6D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28 308,6</w:t>
                  </w:r>
                </w:p>
              </w:tc>
            </w:tr>
            <w:tr w:rsidR="008E088F" w14:paraId="1D664B92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73F6F69F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uzbrojone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646027D9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12 356,2</w:t>
                  </w:r>
                </w:p>
              </w:tc>
              <w:tc>
                <w:tcPr>
                  <w:tcW w:w="3568" w:type="dxa"/>
                  <w:vAlign w:val="center"/>
                </w:tcPr>
                <w:p w14:paraId="57E593DC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12 806,9</w:t>
                  </w:r>
                </w:p>
              </w:tc>
            </w:tr>
            <w:tr w:rsidR="00E24C6D" w14:paraId="2A85E78A" w14:textId="77777777" w:rsidTr="005A0DFE">
              <w:trPr>
                <w:trHeight w:val="241"/>
              </w:trPr>
              <w:tc>
                <w:tcPr>
                  <w:tcW w:w="10704" w:type="dxa"/>
                  <w:gridSpan w:val="3"/>
                </w:tcPr>
                <w:p w14:paraId="786DE20C" w14:textId="77777777" w:rsidR="00E24C6D" w:rsidRPr="008E088F" w:rsidRDefault="00E24C6D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w</w:t>
                  </w: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 tym</w:t>
                  </w:r>
                </w:p>
              </w:tc>
            </w:tr>
            <w:tr w:rsidR="008E088F" w14:paraId="279A29CE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6E10524D" w14:textId="77777777" w:rsidR="008E088F" w:rsidRPr="008E088F" w:rsidRDefault="00E24C6D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b</w:t>
                  </w:r>
                  <w:r w:rsidR="008E088F"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udownictwo wielorodzinne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03324485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5 608,1</w:t>
                  </w:r>
                </w:p>
              </w:tc>
              <w:tc>
                <w:tcPr>
                  <w:tcW w:w="3568" w:type="dxa"/>
                  <w:vAlign w:val="center"/>
                </w:tcPr>
                <w:p w14:paraId="3A7B4F33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6 021,9</w:t>
                  </w:r>
                </w:p>
              </w:tc>
            </w:tr>
            <w:tr w:rsidR="008E088F" w14:paraId="00E2A493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604278E2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uzbrojone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71246704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3 077,6</w:t>
                  </w:r>
                </w:p>
              </w:tc>
              <w:tc>
                <w:tcPr>
                  <w:tcW w:w="3568" w:type="dxa"/>
                  <w:vAlign w:val="center"/>
                </w:tcPr>
                <w:p w14:paraId="1C90FA65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3 637,9</w:t>
                  </w:r>
                </w:p>
              </w:tc>
            </w:tr>
            <w:tr w:rsidR="008E088F" w14:paraId="7179C146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11D05181" w14:textId="77777777" w:rsidR="008E088F" w:rsidRPr="008E088F" w:rsidRDefault="00E24C6D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b</w:t>
                  </w:r>
                  <w:r w:rsidR="008E088F"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udownictwo jednorodzinne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7FD37AE2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20 487,5</w:t>
                  </w:r>
                </w:p>
              </w:tc>
              <w:tc>
                <w:tcPr>
                  <w:tcW w:w="3568" w:type="dxa"/>
                  <w:vAlign w:val="center"/>
                </w:tcPr>
                <w:p w14:paraId="6F1E1E35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22 286,7</w:t>
                  </w:r>
                </w:p>
              </w:tc>
            </w:tr>
            <w:tr w:rsidR="008E088F" w14:paraId="3336FD17" w14:textId="77777777" w:rsidTr="005A0DFE">
              <w:trPr>
                <w:trHeight w:val="264"/>
              </w:trPr>
              <w:tc>
                <w:tcPr>
                  <w:tcW w:w="3568" w:type="dxa"/>
                </w:tcPr>
                <w:p w14:paraId="66F89B87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uzbrojone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6A73890B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9 278,6</w:t>
                  </w:r>
                </w:p>
              </w:tc>
              <w:tc>
                <w:tcPr>
                  <w:tcW w:w="3568" w:type="dxa"/>
                  <w:vAlign w:val="center"/>
                </w:tcPr>
                <w:p w14:paraId="6D5D66A0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9 169,0</w:t>
                  </w:r>
                </w:p>
              </w:tc>
            </w:tr>
          </w:tbl>
          <w:p w14:paraId="5F9823A9" w14:textId="77777777" w:rsidR="008E088F" w:rsidRPr="00A252AA" w:rsidRDefault="008E088F" w:rsidP="00A252AA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color w:val="000000"/>
                <w:spacing w:val="-2"/>
              </w:rPr>
            </w:pPr>
          </w:p>
          <w:p w14:paraId="6A9CEF19" w14:textId="77777777" w:rsidR="008E088F" w:rsidRDefault="008E088F" w:rsidP="00674301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E088F">
              <w:rPr>
                <w:rFonts w:ascii="Times New Roman" w:hAnsi="Times New Roman"/>
                <w:color w:val="000000"/>
                <w:spacing w:val="-2"/>
              </w:rPr>
              <w:t>W 2018 r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 xml:space="preserve"> gminy przekazały inwestorom 874,6 ha gruntów ze swojego zaso</w:t>
            </w:r>
            <w:r>
              <w:rPr>
                <w:rFonts w:ascii="Times New Roman" w:hAnsi="Times New Roman"/>
                <w:color w:val="000000"/>
                <w:spacing w:val="-2"/>
              </w:rPr>
              <w:t>bu pod budownictwo mieszkaniowe (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 xml:space="preserve">9,7%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więcej 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>niż w 2015 r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>)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>. Największą łączną powierzchni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 xml:space="preserve"> gruntów przekazano pod budownictwo jednorodzinne (81,7%). Wśród inwestorów najwięcej gruntów zostało przekazanych osobom fizycznym (69,2%) oraz spółkom i innym (25,3%). Struktura inwestorów nie uległa istotnym zmianom na przestrzeni ostatnich lat. Należy jednak zauważyć, że zmniejszył się udział spółdzielni mieszkaniowych na korzyść TBS-ów.</w:t>
            </w:r>
          </w:p>
          <w:p w14:paraId="218D70B8" w14:textId="77777777" w:rsidR="004C60F9" w:rsidRDefault="004C60F9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A2A0621" w14:textId="77777777" w:rsidR="00E24C6D" w:rsidRPr="00E24C6D" w:rsidRDefault="00E24C6D" w:rsidP="00E24C6D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E24C6D">
              <w:rPr>
                <w:rFonts w:ascii="Times New Roman" w:hAnsi="Times New Roman"/>
                <w:i/>
                <w:color w:val="000000"/>
                <w:spacing w:val="-2"/>
              </w:rPr>
              <w:t>Grunty przekazane inwestorom pod budownictwo mieszkaniowe w latach 2015 i 2018 (w ha).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7"/>
              <w:gridCol w:w="2445"/>
              <w:gridCol w:w="2499"/>
            </w:tblGrid>
            <w:tr w:rsidR="00E24C6D" w:rsidRPr="00E24C6D" w14:paraId="2882E881" w14:textId="77777777" w:rsidTr="005A0DFE">
              <w:trPr>
                <w:trHeight w:val="456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4939FE2C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50D8C430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26EB35FD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2018</w:t>
                  </w:r>
                </w:p>
              </w:tc>
            </w:tr>
            <w:tr w:rsidR="00E24C6D" w:rsidRPr="00E24C6D" w14:paraId="1F574557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411E5C2E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Grunty ogółem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4C316D8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797,2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0B5036E9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874,6</w:t>
                  </w:r>
                </w:p>
              </w:tc>
            </w:tr>
            <w:tr w:rsidR="00E24C6D" w:rsidRPr="00E24C6D" w14:paraId="7A645764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720BD30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budownictwo wielorodzinne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AAB84C4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143,9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3111292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160,1</w:t>
                  </w:r>
                </w:p>
              </w:tc>
            </w:tr>
            <w:tr w:rsidR="00E24C6D" w:rsidRPr="00E24C6D" w14:paraId="09546ED1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76798731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budownictwo jednorodzinne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F446A59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653,3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6EB0A26F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714,5</w:t>
                  </w:r>
                </w:p>
              </w:tc>
            </w:tr>
            <w:tr w:rsidR="00E24C6D" w:rsidRPr="00E24C6D" w14:paraId="407D4BE1" w14:textId="77777777" w:rsidTr="005A0DFE">
              <w:trPr>
                <w:trHeight w:hRule="exact" w:val="265"/>
              </w:trPr>
              <w:tc>
                <w:tcPr>
                  <w:tcW w:w="10601" w:type="dxa"/>
                  <w:gridSpan w:val="3"/>
                  <w:shd w:val="clear" w:color="auto" w:fill="auto"/>
                  <w:vAlign w:val="center"/>
                </w:tcPr>
                <w:p w14:paraId="072C1063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z czego budownictwo</w:t>
                  </w:r>
                </w:p>
              </w:tc>
            </w:tr>
            <w:tr w:rsidR="00E24C6D" w:rsidRPr="00E24C6D" w14:paraId="048E853E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21D4CD22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spółdzielcze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7BCE5562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35AE8E1B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1,9</w:t>
                  </w:r>
                </w:p>
              </w:tc>
            </w:tr>
            <w:tr w:rsidR="00E24C6D" w:rsidRPr="00E24C6D" w14:paraId="5492BA74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6A9A506C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komunalne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3D0C2237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15896FCD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26,4</w:t>
                  </w:r>
                </w:p>
              </w:tc>
            </w:tr>
            <w:tr w:rsidR="00E24C6D" w:rsidRPr="00E24C6D" w14:paraId="49237DF2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1C07C9B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- TBS-owskie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71D20F39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229F022F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19,4</w:t>
                  </w:r>
                </w:p>
              </w:tc>
            </w:tr>
            <w:tr w:rsidR="00E24C6D" w:rsidRPr="00E24C6D" w14:paraId="0929E741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71A38195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osób fizycznych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8AF14B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617,2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5FBA4D07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605,5</w:t>
                  </w:r>
                </w:p>
              </w:tc>
            </w:tr>
            <w:tr w:rsidR="00E24C6D" w:rsidRPr="00E24C6D" w14:paraId="799C7172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279956B2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spółek i innych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09FB957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141,2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4A960DCE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221,4</w:t>
                  </w:r>
                </w:p>
              </w:tc>
            </w:tr>
          </w:tbl>
          <w:p w14:paraId="01B92BE9" w14:textId="77777777" w:rsidR="00674301" w:rsidRDefault="00674301" w:rsidP="00674301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color w:val="000000"/>
                <w:spacing w:val="-2"/>
              </w:rPr>
            </w:pPr>
          </w:p>
          <w:p w14:paraId="37D6491C" w14:textId="77777777" w:rsidR="00674301" w:rsidRDefault="00674301" w:rsidP="00674301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ełną inwentaryzację gruntów Skarbu Państw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 potencjałem mieszkaniowym przeprowadził Krajowy Zasób Nieruchomości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. Wstępnej analizie poddano blisko pół miliona działek, z czego wyselekcjonowano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ok.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500, wykazujących największy mies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zkaniowy potencjał inwestycyjny.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Według stanu na 31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 xml:space="preserve"> grudnia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2019 r. KZN wytypował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pod inwestycj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potencjalnie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 126 nieruchomości gruntowych zlokalizowany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ch na terenie 79 miejscowości,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a łączna powierzchnia tych działek 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>wyniosła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 ponad 1,1 tys. ha. </w:t>
            </w:r>
            <w:r>
              <w:rPr>
                <w:rFonts w:ascii="Times New Roman" w:hAnsi="Times New Roman"/>
                <w:color w:val="000000"/>
                <w:spacing w:val="-2"/>
              </w:rPr>
              <w:t>Jest to wprawdzie poziom wielokrotnie niższy od potencjału gruntowego samorządów gminn</w:t>
            </w:r>
            <w:r w:rsidR="00E20685">
              <w:rPr>
                <w:rFonts w:ascii="Times New Roman" w:hAnsi="Times New Roman"/>
                <w:color w:val="000000"/>
                <w:spacing w:val="-2"/>
              </w:rPr>
              <w:t xml:space="preserve">ych, należy </w:t>
            </w:r>
            <w:r w:rsidR="00822A24" w:rsidRPr="00822A24">
              <w:rPr>
                <w:rFonts w:ascii="Times New Roman" w:hAnsi="Times New Roman"/>
                <w:color w:val="000000"/>
                <w:spacing w:val="-2"/>
              </w:rPr>
              <w:t xml:space="preserve">jednak </w:t>
            </w:r>
            <w:r w:rsidR="00E20685">
              <w:rPr>
                <w:rFonts w:ascii="Times New Roman" w:hAnsi="Times New Roman"/>
                <w:color w:val="000000"/>
                <w:spacing w:val="-2"/>
              </w:rPr>
              <w:t>podkreślić, ż</w:t>
            </w:r>
            <w:r>
              <w:rPr>
                <w:rFonts w:ascii="Times New Roman" w:hAnsi="Times New Roman"/>
                <w:color w:val="000000"/>
                <w:spacing w:val="-2"/>
              </w:rPr>
              <w:t>e w większości są to grunty, które mogą być zabudowane budynkami wielorodzinnymi, co zwiększa ich potencjał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jeżeli chodzi o możliwą liczbę wybudowanych mieszkań.</w:t>
            </w:r>
          </w:p>
          <w:p w14:paraId="32BF8B3F" w14:textId="77777777" w:rsidR="00674301" w:rsidRPr="00674301" w:rsidRDefault="00674301" w:rsidP="00674301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color w:val="000000"/>
                <w:spacing w:val="-2"/>
              </w:rPr>
            </w:pPr>
          </w:p>
          <w:p w14:paraId="794DB2B8" w14:textId="77777777" w:rsidR="00A865E0" w:rsidRDefault="00106556" w:rsidP="00D02A1A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W podstawowym modelu </w:t>
            </w:r>
            <w:r>
              <w:rPr>
                <w:rFonts w:ascii="Times New Roman" w:hAnsi="Times New Roman"/>
                <w:color w:val="000000"/>
                <w:spacing w:val="-2"/>
              </w:rPr>
              <w:t>przewidzianym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w projekcie ustawy inwestor (nabywca nieruchomości od gminy) budowałby budynek (ew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entualnie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remontował/przebudowywał budynek istniejący) i przekazywał część mieszkań samorządowi gminnemu. Gmina mogłaby te mieszkania zachować w swoim zasobie (jako mieszkania komunalne) lub wnieść je do spółek gminnych (np. towarzystw budownictwa społecznego) lub państwowych. W ten sposób bez samodzielnego prowadzenia skomplikowanego i czasochłonnego procesu inwestycyjnego gmina uzyskiwałaby zasób mieszkaniowy, który mógłby być przeznaczony na zaspokojenie potrzeb mieszkaniowych wspólnoty lokalnej. Warto podkreślić, że mieszkania na wynajem uzyskane w ramach inwestycji </w:t>
            </w:r>
            <w:r>
              <w:rPr>
                <w:rFonts w:ascii="Times New Roman" w:hAnsi="Times New Roman"/>
                <w:color w:val="000000"/>
                <w:spacing w:val="-2"/>
              </w:rPr>
              <w:t>realizowanej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 wykorzystaniem nieruchomości nabytej zgodnie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projek</w:t>
            </w:r>
            <w:r>
              <w:rPr>
                <w:rFonts w:ascii="Times New Roman" w:hAnsi="Times New Roman"/>
                <w:color w:val="000000"/>
                <w:spacing w:val="-2"/>
              </w:rPr>
              <w:t>towaną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ustaw</w:t>
            </w:r>
            <w:r>
              <w:rPr>
                <w:rFonts w:ascii="Times New Roman" w:hAnsi="Times New Roman"/>
                <w:color w:val="000000"/>
                <w:spacing w:val="-2"/>
              </w:rPr>
              <w:t>ą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będą mogły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być objęte dopłatami do czynszu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zasadach określonych w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ustawie z dnia </w:t>
            </w:r>
            <w:r w:rsidR="0032671A">
              <w:rPr>
                <w:rFonts w:ascii="Times New Roman" w:hAnsi="Times New Roman"/>
                <w:i/>
                <w:iCs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>20 lipca 2018 r. o pomocy państwa w ponoszeniu wydatków mieszkaniowych w pierwszych latach najmu mieszkania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(Dz. U. z 2020 r. poz. 551).</w:t>
            </w:r>
          </w:p>
          <w:p w14:paraId="34CE3DF2" w14:textId="77777777" w:rsidR="00106556" w:rsidRDefault="00106556" w:rsidP="00D02A1A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72B458D" w14:textId="77777777" w:rsidR="007D21E7" w:rsidRPr="00245775" w:rsidRDefault="007D21E7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Projektowana ustawa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dopuszcza również inne formy </w:t>
            </w:r>
            <w:r>
              <w:rPr>
                <w:rFonts w:ascii="Times New Roman" w:hAnsi="Times New Roman"/>
                <w:color w:val="000000"/>
                <w:spacing w:val="-2"/>
              </w:rPr>
              <w:t>inwestowania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 xml:space="preserve">z wykorzystaniem nieruchomości gminnych,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np. uzyskiwanie przez gminy mieszkań położonych w innych lokalizacjach lub uzyskiwanie powierzchni niemieszkalnych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(np. pod działalność wychowawczą, zdrowotną, kulturalną itp.).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Wskutek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występowani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w danym budynku mieszkań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o różnym charakterze (na sprzedaż, najem komercyjny, najem społeczny, najem komunalny) uzyskiwano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by na danym obszarze korzystny </w:t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>social mix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i zapobiegano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by tworzeniu się zjawiska gettoizacji, współistniejącego często na obszarach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z budynkami </w:t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stricte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komunalnymi. </w:t>
            </w:r>
          </w:p>
          <w:p w14:paraId="02182DDC" w14:textId="77777777" w:rsidR="00AD1E4B" w:rsidRPr="007D21E7" w:rsidRDefault="00AD1E4B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4A3F928" w14:textId="77777777" w:rsidR="007D21E7" w:rsidRDefault="007D21E7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godnie z projektowaną ustawą nieruchomości oferowane przez gminę muszą być położone na obszarze objętym miejscowym planem zagospodarowania przestrzennego lub musi być wydana dla takiej nieruchomości decyzja </w:t>
            </w:r>
            <w:r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o warunkach zabudowy i zagospodarowania terenu. Istotnie przyspiesza to proces inwestycyjny i zmniejsza niepewność potencjalnych inwestorów co do możliwości zagospodarowania d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anej nieruchomości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D3718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Zapisy projektowanej ustawy wprowadzają dodatkowo zachęty do inwestowania na terenach poddawanych rewitalizacji oraz zachęcają do prowadzenia prac remontowych w budynkach zabytkowych.</w:t>
            </w:r>
          </w:p>
          <w:p w14:paraId="519A6221" w14:textId="77777777" w:rsidR="00F777D6" w:rsidRPr="007D21E7" w:rsidRDefault="00F777D6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AB35A71" w14:textId="77777777" w:rsidR="00A830C5" w:rsidRPr="002B6F33" w:rsidRDefault="003F63CB" w:rsidP="002B6F33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Reasumując, p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>rop</w:t>
            </w:r>
            <w:r w:rsidR="00AD1E4B">
              <w:rPr>
                <w:rFonts w:ascii="Times New Roman" w:hAnsi="Times New Roman"/>
                <w:color w:val="000000"/>
                <w:spacing w:val="-2"/>
              </w:rPr>
              <w:t xml:space="preserve">onowane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 xml:space="preserve">projektowanej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ustawie </w:t>
            </w:r>
            <w:r w:rsidR="00AD1E4B">
              <w:rPr>
                <w:rFonts w:ascii="Times New Roman" w:hAnsi="Times New Roman"/>
                <w:color w:val="000000"/>
                <w:spacing w:val="-2"/>
              </w:rPr>
              <w:t>rozwią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>zanie</w:t>
            </w:r>
            <w:r w:rsidR="00D02A1A">
              <w:rPr>
                <w:rFonts w:ascii="Times New Roman" w:hAnsi="Times New Roman"/>
                <w:color w:val="000000"/>
                <w:spacing w:val="-2"/>
              </w:rPr>
              <w:t xml:space="preserve"> powiększa zakres instrumentów polityki mieszkaniowej gminy i umożliwia 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elastyczne stosowanie różnych from wsparcia mieszkalnictwa. W przypadku inwestorów </w:t>
            </w:r>
            <w:r w:rsidR="001361DF">
              <w:rPr>
                <w:rFonts w:ascii="Times New Roman" w:hAnsi="Times New Roman"/>
                <w:color w:val="000000"/>
                <w:spacing w:val="-2"/>
              </w:rPr>
              <w:t xml:space="preserve">(nabywców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 xml:space="preserve">nieruchomości </w:t>
            </w:r>
            <w:r w:rsidR="001361DF">
              <w:rPr>
                <w:rFonts w:ascii="Times New Roman" w:hAnsi="Times New Roman"/>
                <w:color w:val="000000"/>
                <w:spacing w:val="-2"/>
              </w:rPr>
              <w:t>od</w:t>
            </w:r>
            <w:r w:rsidR="00311605">
              <w:rPr>
                <w:rFonts w:ascii="Times New Roman" w:hAnsi="Times New Roman"/>
                <w:color w:val="000000"/>
                <w:spacing w:val="-2"/>
              </w:rPr>
              <w:t xml:space="preserve"> gminy) 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zwiększa </w:t>
            </w:r>
            <w:r w:rsidR="001361DF">
              <w:rPr>
                <w:rFonts w:ascii="Times New Roman" w:hAnsi="Times New Roman"/>
                <w:color w:val="000000"/>
                <w:spacing w:val="-2"/>
              </w:rPr>
              <w:t xml:space="preserve">natomiast 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dostępność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>nieruchomości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 pod budownictwo i docelowo zwiększa podaż nowo budowanych mieszkań. 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Wstępne szacunki potencjalnych inwestorów oraz doświadczenia z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 xml:space="preserve">agraniczne i analizy dotyczące 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ziału ceny gruntów w kosztach inwestycji mi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>eszkaniowej wskazują, że w zależnoś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ci od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 xml:space="preserve"> l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 xml:space="preserve">okalizacji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i potencjału inwestycyjnego danego g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>runtu, gminy mogłyby uzyskiwać ok. 5-2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 xml:space="preserve">0% wybudowanych w danym budynku mieszkań. </w:t>
            </w:r>
          </w:p>
          <w:p w14:paraId="3DA15B58" w14:textId="77777777" w:rsidR="00A830C5" w:rsidRDefault="00A830C5" w:rsidP="00A830C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23A24F2" w14:textId="77777777" w:rsidR="007C2E89" w:rsidRDefault="00D94D09" w:rsidP="00A344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Warto podkreślić, 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że gminy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mogą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 xml:space="preserve">przeznaczać swoje nieruchomości na cele inwestycyjne 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już obecnie, na podstawie ogólnych zasad gospodarowania gruntami gminnymi. W praktyce jednak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możliwości te pozostają nie w pełni wykorzystane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Projektowana u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stawa ma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zachęcić samorządy lokalne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 do szerszego wykorzystywania instrumentów wsparcia budownictwa mieszkaniowego z wykorzystaniem zasobu nieruchomości gminnych oraz nadania całemu procesowi transparentnego charakteru.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95ADA" w:rsidRPr="000238BD">
              <w:rPr>
                <w:rFonts w:ascii="Times New Roman" w:hAnsi="Times New Roman"/>
                <w:color w:val="000000"/>
                <w:spacing w:val="-2"/>
              </w:rPr>
              <w:t xml:space="preserve">Na konieczność opracowania takiej regulacji zwracają uwagę zarówno samorządy jak i potencjalni inwestorzy. </w:t>
            </w:r>
          </w:p>
          <w:p w14:paraId="3BA839EC" w14:textId="77777777" w:rsidR="00A344FE" w:rsidRDefault="00A344FE" w:rsidP="00A344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74FFF2B" w14:textId="02FD0E02" w:rsidR="00D37187" w:rsidRDefault="00D069DD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Dodatkowo ustawa wprowadza instrumenty mające na celu zachęcenie gmin do inwestowania w budownictwo mieszkaniowe oraz w infrastrukturę techniczną i społeczną towarzyszącą budownictwu mieszkaniowemu. Z jednej strony gminom zaangażowanym w programy mieszkaniowe zostanie zaproponowan</w:t>
            </w:r>
            <w:r w:rsidR="00A344FE">
              <w:rPr>
                <w:rFonts w:ascii="Times New Roman" w:hAnsi="Times New Roman"/>
                <w:color w:val="000000"/>
                <w:spacing w:val="-2"/>
              </w:rPr>
              <w:t>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10</w:t>
            </w:r>
            <w:r w:rsidR="00A344FE">
              <w:rPr>
                <w:rFonts w:ascii="Times New Roman" w:hAnsi="Times New Roman"/>
                <w:color w:val="000000"/>
                <w:spacing w:val="-2"/>
              </w:rPr>
              <w:t>-procentowy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grant na pokrycie części kosztów inwestycji infrastrukturalnej. Z drugiej strony gminy realizujące programy mieszkaniowe będą preferowane przy naborze wniosków na inne programy rządowe wspierające samorządy w budowie dróg gminnych, zapewnianiu przewozów autobusowych oraz pomocy osobom niepełnosprawnym. </w:t>
            </w:r>
          </w:p>
          <w:p w14:paraId="410F2018" w14:textId="7C4F097E" w:rsidR="006B3141" w:rsidRDefault="006B3141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F2C1045" w14:textId="77777777" w:rsidR="006B3141" w:rsidRDefault="006B3141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199307E" w14:textId="4B250C27" w:rsidR="006B3141" w:rsidRPr="000238BD" w:rsidRDefault="006B3141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42543D7C" w14:textId="77777777" w:rsidTr="006E43A6">
        <w:trPr>
          <w:trHeight w:val="307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03C5477D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2110F2A7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auto"/>
          </w:tcPr>
          <w:p w14:paraId="3974645E" w14:textId="77777777" w:rsidR="006B3141" w:rsidRDefault="006B3141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  <w:p w14:paraId="654371DB" w14:textId="58791DAD" w:rsidR="00D13E7B" w:rsidRP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/>
                <w:bCs/>
                <w:color w:val="000000"/>
                <w:spacing w:val="-2"/>
              </w:rPr>
              <w:t>Francja</w:t>
            </w:r>
          </w:p>
          <w:p w14:paraId="6773BEC4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Ustawa o solidarności i odnowie miast z 2000 r.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la loi no 2000-1208 du 13 décembre 2000 relative à la solidarité et au renouvellement urbains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) nałożyła na gminy, których liczba ludności wynosi co najmniej 1 500 na obszarze zurbanizowanym Paryża i 3 500 na pozostałym terytorium kraju, a także na aglomeracje lub związki międzygminne (EPCI) zamieszkiwane przeze więcej niż 50 tys. osób (w tym co najmniej jedna gmina przez więcej niż 15 tys.), obowiązek osiągnięcia min</w:t>
            </w:r>
            <w:r w:rsidR="00013E92">
              <w:rPr>
                <w:rFonts w:ascii="Times New Roman" w:hAnsi="Times New Roman"/>
                <w:color w:val="000000"/>
                <w:spacing w:val="-2"/>
              </w:rPr>
              <w:t>imum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20% udziału mieszkań społecznych w całym zasobie mie</w:t>
            </w:r>
            <w:r w:rsidR="00DB36B5">
              <w:rPr>
                <w:rFonts w:ascii="Times New Roman" w:hAnsi="Times New Roman"/>
                <w:color w:val="000000"/>
                <w:spacing w:val="-2"/>
              </w:rPr>
              <w:t xml:space="preserve">szkaniowym. </w:t>
            </w:r>
            <w:r w:rsidR="00DB36B5"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Ustawą z 18 stycznia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2013 r. </w:t>
            </w:r>
            <w:r w:rsid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br/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o mobilizacji gruntów publicznych na cele mieszkaniowe i wzmocnieniu zobowiązań w zakresie budowy mieszkań społecznych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la loi n° 2013-61 du 18 janvier 2013 relative à la mobilisation du foncier public en faveur du logement et au renforcement des obligations de production de logement social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) próg ten (z wyjątkami) został podniesiony do 25%. Brak realizacji tego obowiązku skutkuje karami finansowymi.</w:t>
            </w:r>
          </w:p>
          <w:p w14:paraId="5E6A47BB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E4ECBAB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Oprócz tego przepisy francuskiego 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Kodeksu budowlano-mieszkaniowego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Code de la construction et de l'habitation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) zobowiązują gminy do planowania strategicznego i przestrzennego sprzyjającego osiągnięciu miksu społecznego. Podejście to jest efektem m.in. negatywnych konsekwencji budowy dużych osiedli mieszkań społecznych na obrzeżach miast, które sprzyjały wykluczeniu ich mieszkańców i powodowały nawarstwianie się problemów społecznych w tych miejscach.</w:t>
            </w:r>
          </w:p>
          <w:p w14:paraId="1FE826D4" w14:textId="77777777" w:rsidR="002B6F33" w:rsidRPr="00D13E7B" w:rsidRDefault="002B6F33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8266656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Aby wypełnić nałożone na nie obowiązki, gminy sporządzają lokalne programy mieszkaniowe (</w:t>
            </w:r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le programme local de l'habitat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– PLH), w których przeprowadzają diagnozę sytuacji mieszkaniowej na swoim obszarze, szacują zapotrzebowanie na różne rodzaje mieszkań, a także planują w sześcioletniej perspektywie działania, które mają zapewnić osiągnięcie założonych celów.</w:t>
            </w:r>
          </w:p>
          <w:p w14:paraId="6430CA7B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ED4B756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Ustalenia PLH należy uwzględnić w lokalnym planie urbanistycznym (</w:t>
            </w:r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plan local d'urbanisme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– PLU), w którym mogą zostać wyznaczone lokalizacje przeznaczone na realizację budownictwa społecznego. Na gruntach w granicach tych stref określony odsetek powierzchni użytkowej wybudowanych mieszkań musi zostać przeznaczony na dostępne mieszkania na wynajem. Dotyczy to również gruntów prywatnych.</w:t>
            </w:r>
          </w:p>
          <w:p w14:paraId="018A323E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DB61964" w14:textId="77777777" w:rsidR="00D13E7B" w:rsidRP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Inwestor (deweloper), chcący zrealizować inwestycję mieszkaniow</w:t>
            </w:r>
            <w:r w:rsidR="00013E92">
              <w:rPr>
                <w:rFonts w:ascii="Times New Roman" w:hAnsi="Times New Roman"/>
                <w:color w:val="000000"/>
                <w:spacing w:val="-2"/>
              </w:rPr>
              <w:t>ą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na tego typu terenie, może:</w:t>
            </w:r>
          </w:p>
          <w:p w14:paraId="3DF8D2E4" w14:textId="77777777" w:rsidR="00D13E7B" w:rsidRP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określoną wymogami PLU część mieszkań wynajmować samodzielnie jako mieszkania społeczne;</w:t>
            </w:r>
          </w:p>
          <w:p w14:paraId="0DBF57B3" w14:textId="77777777" w:rsidR="00D13E7B" w:rsidRP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odsprzedać proporcjonalną część gruntu instytucji zapewniającej mieszkania społeczne (HLM);</w:t>
            </w:r>
          </w:p>
          <w:p w14:paraId="0094282D" w14:textId="77777777" w:rsidR="00D13E7B" w:rsidRP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skorzystać ze sprzedaży w przyszłym stanie realizacji (VEFA) – wymaganą część mieszkań odsprzedać gminie (lub HLM), podczas gdy pozostałe lokale mogą zostać sprzedane na normalnych zasadach sprzedaży deweloperskiej;</w:t>
            </w:r>
          </w:p>
          <w:p w14:paraId="4ED5F806" w14:textId="77777777" w:rsid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określoną wymogami PLU część mieszkań przekazać w użytkowanie lub wynaj</w:t>
            </w:r>
            <w:r w:rsidR="00DB36B5">
              <w:rPr>
                <w:rFonts w:ascii="Times New Roman" w:hAnsi="Times New Roman"/>
                <w:color w:val="000000"/>
                <w:spacing w:val="-2"/>
              </w:rPr>
              <w:t>ąć HLM.</w:t>
            </w:r>
          </w:p>
          <w:p w14:paraId="0198E86F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21998A1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Właściciel gruntu może również skorzystać z „prawa do porzucenia”. W tym wypadku gmina ma rok na podjęcie decyzji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o zakupie zgłoszonej nieruchomości i dwa lata na zapłatę ustalonej ceny. Jeżeli gmina oraz właściciel nieruchomości nie dojdą do porozumienia, decyzję o wykupie gruntu może podjąć sędzia wywłaszczeniowy.</w:t>
            </w:r>
          </w:p>
          <w:p w14:paraId="0B013C13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96A4CD7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Wspomniana wcześniej ustawa z 2013 r. o mobilizacji gruntów publicznych, wraz aktami (dekretami) wykonawczymi, wprowadziła także możliwość sprzedaży gruntów państwowych na cele mieszkaniowe po obniżonej cenie z nawet 100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>-procentową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bonifikatą, w zależności od tego, jaka część inwestycji przeznaczona będzie na mieszkania społeczne, a także w zależności od lokalnych uwarunkowań takich jak: finansowa sytuacja kupującego, wielkość zasobu mieszkań społecznych na danym terenie – w szczególności w odniesieniu do wymogu min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>imum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25% mieszkań społecznych, oraz rodzaj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tych mieszkań, ale także 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 xml:space="preserve">np. 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od stanu nieruchomości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 xml:space="preserve"> czy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tego, czy wymaga poniesienia nakładów finansowych.</w:t>
            </w:r>
          </w:p>
          <w:p w14:paraId="0E12A6D4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C96DADE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Zakupu gruntu z bonifikatą nie mogą dokonać przedsiębiorcy prywatni. Są one przeznaczone dla podmiotów takich jak gminy, związki międzygminne (EPCI) czy organizacje HLM.</w:t>
            </w:r>
          </w:p>
          <w:p w14:paraId="42577E45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193EE37" w14:textId="77777777" w:rsidR="00D13E7B" w:rsidRPr="00DB36B5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bookmarkStart w:id="3" w:name="_Toc37925659"/>
            <w:bookmarkStart w:id="4" w:name="_Toc37921385"/>
            <w:r w:rsidRPr="00DB36B5">
              <w:rPr>
                <w:rFonts w:ascii="Times New Roman" w:hAnsi="Times New Roman"/>
                <w:b/>
                <w:bCs/>
                <w:color w:val="000000"/>
                <w:spacing w:val="-2"/>
              </w:rPr>
              <w:t>Irlandia</w:t>
            </w:r>
            <w:bookmarkEnd w:id="3"/>
            <w:bookmarkEnd w:id="4"/>
          </w:p>
          <w:p w14:paraId="132682F5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Na podstawie przepisów części V 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ustawy o planowaniu i rozwoju z 2000 r.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(</w:t>
            </w:r>
            <w:r w:rsidRPr="00520ADB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Part V of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the Planning and Development Act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) samorząd lokalny (hrabstwo, miasto, obszar łączny hrabstwo i miasto) jako władza planistyczna sporządza co 6 lat plan rozwoju. Plan rozwoju określa ogólną strategię właściwego planowania i zrównoważonego rozwoju. W takim planie m.in. wyznaczane są strefy przeznaczone pod określony typ zabudowy. Obowiązkiem władzy planistycznej jest także zawarcie w planie rozwoju strategii mieszkaniowej, w ramach której szacuje się zapotrzebowanie na mieszkania społeczne </w:t>
            </w:r>
            <w:r w:rsidR="002B6F33">
              <w:rPr>
                <w:rFonts w:ascii="Times New Roman" w:hAnsi="Times New Roman"/>
                <w:bCs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i dostępne na obszarze objętym planem. Na podstawie tych szacunków władze powinny zapewnić przeznaczenie odpowiedniej powierzchni stref przeznaczonych pod budownictwo mieszkaniowe. Mogą one wskazać konkretny odsetek – maksymalnie 10% , potrzebny do zapewnienia pożądanej liczby mieszkań społecznych i dostępnych. W ten sposób władze lokalne mają prawo zakupić 10% lokali w nowych inwestycjach realizowanych przez deweloperów (dziewięć lub więcej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>lokali) z przeznaczeniem na mieszkania społeczne lub do 10% gruntów (większych niż 0,1 ha) przeznaczonych na budownictwo mieszkaniowe według „istniejącej wartości użytkowej”. Zawarcie umowy z gminą na przekazanie lokali lub części gruntu gminie może być warunkiem uzyskania pozwolenia planistycznego. Gmina może także wskazać uprawniony podmiot, taki jak stowarzyszenie mieszkaniowe – Approved Housing Body (AHB), będące niezależną organizacją non-profit</w:t>
            </w:r>
            <w:r w:rsidR="00520ADB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="00520ADB" w:rsidRPr="00520ADB">
              <w:rPr>
                <w:rFonts w:ascii="Times New Roman" w:hAnsi="Times New Roman"/>
                <w:bCs/>
                <w:color w:val="000000"/>
                <w:spacing w:val="-2"/>
              </w:rPr>
              <w:t>–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na rzecz którego nastąpi transfer mieszkań/gruntu.</w:t>
            </w:r>
          </w:p>
          <w:p w14:paraId="477AB5B7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4999F69C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Władze lokalne mogą również wynająć od dewelopera przysługującą im część mieszkań lub skorzystać z alternatywnych rozwiązań, np. kupna lokali w innej lokalizacji.</w:t>
            </w:r>
          </w:p>
          <w:p w14:paraId="3296A34D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580398A3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Ministerstwo Mieszkalnictwa, Planowania i Samorządu Lokalnego Irlandii, odpowiedzialne za regulacje w tym zakresie, jako korzyści wskazuje, oprócz możliwości poszerzenia zasobu mieszkań społecznych i dostępnych, że mechanizm ten pozwala na zróżnicowanie dostępnego zasobu tego typu, zapobiega koncentrowaniu mieszkań społecznych i problemów ich mieszkańców w jednym miejscu oraz pozwala na budowanie zrównoważonej społeczności, podkreślając również pozytywne skutki mieszanych stref zamieszkania.</w:t>
            </w:r>
          </w:p>
          <w:p w14:paraId="1D0392FD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2D2AAB5C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Z 44 654 mieszkań społecznych wybudowanych w latach 2002-2011 5 721 mieszkań (ok. 13%) stanowiły lokale pozyskane od deweloperów na mocy </w:t>
            </w:r>
            <w:r w:rsidRPr="0001246A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Part V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. W 2015 r. w ten sposób pozyskano ponad 1 000 mieszkań.</w:t>
            </w:r>
          </w:p>
          <w:p w14:paraId="58FCABC8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7056FCCF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Jednocześnie jednak pewne wątpliwości budzą efekty związane z włączeniem społecznym. W obawie przed koniecznością obniżania cen ze względu na niechęć kupujących mieszkania po cenie rynkowej do zamieszkiwania w sąsiedztwie najemców mieszkań społecznych, </w:t>
            </w:r>
            <w:r w:rsidR="00DB36B5">
              <w:rPr>
                <w:rFonts w:ascii="Times New Roman" w:hAnsi="Times New Roman"/>
                <w:bCs/>
                <w:color w:val="000000"/>
                <w:spacing w:val="-2"/>
              </w:rPr>
              <w:t xml:space="preserve">część deweloperów (dopóki było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to możliwe) wo</w:t>
            </w:r>
            <w:r w:rsidR="0001246A">
              <w:rPr>
                <w:rFonts w:ascii="Times New Roman" w:hAnsi="Times New Roman"/>
                <w:bCs/>
                <w:color w:val="000000"/>
                <w:spacing w:val="-2"/>
              </w:rPr>
              <w:t>l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ała zamiast lokali mieszkalnych przekazać gminie wkład finansowy. Jednocześnie rosnące ceny mieszkań, szczególnie w dużych miastach, takich jak Dublin, sprawiają, że władze lokalne preferują w niektórych przypadkach alternatywne rozwiązanie i zakupienie mieszkań po niższej cenie, ale w gorszej lokalizacji.</w:t>
            </w:r>
          </w:p>
          <w:p w14:paraId="542D7348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6EAC6227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Do wad tego systemu, głównie z punktu widzenia dewelopera, należy wydłużony proces inwestycyjny – deweloper musi porozumieć się z gminą, co do sposobu wypełnienia swoich zobowiązań i kosztów oraz zawrzeć odpowiednią umowę. Proces negocjacyjny zajmuje nawet do kilku miesięcy.</w:t>
            </w:r>
          </w:p>
          <w:p w14:paraId="663E5991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00FF02FF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Dla władz lokalnych problemem bywają koszty utrzymania (czynsze w mieszkaniach społecznych często są niewystarczające do pokrycia zobowiązań z tego tytułu). Trudnością jest również zaplanowanie zmian wielkości zasobu, ponieważ to, ile mieszkań przybędzie</w:t>
            </w:r>
            <w:r w:rsidR="0001246A">
              <w:rPr>
                <w:rFonts w:ascii="Times New Roman" w:hAnsi="Times New Roman"/>
                <w:bCs/>
                <w:color w:val="000000"/>
                <w:spacing w:val="-2"/>
              </w:rPr>
              <w:t>,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zależy od aktywności deweloperów na rynku.</w:t>
            </w:r>
          </w:p>
          <w:p w14:paraId="522292A7" w14:textId="77777777" w:rsidR="00DB36B5" w:rsidRPr="00D13E7B" w:rsidRDefault="00DB36B5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360FC58" w14:textId="77777777" w:rsidR="00D13E7B" w:rsidRPr="00DB36B5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DB36B5">
              <w:rPr>
                <w:rFonts w:ascii="Times New Roman" w:hAnsi="Times New Roman"/>
                <w:b/>
                <w:bCs/>
                <w:color w:val="000000"/>
                <w:spacing w:val="-2"/>
              </w:rPr>
              <w:t>USA</w:t>
            </w:r>
          </w:p>
          <w:p w14:paraId="0ABD7B96" w14:textId="77777777" w:rsidR="00D13E7B" w:rsidRP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Inwestorzy prywatni mogą, zgodnie z przepisami 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ustawy o reformie podatkowej z 1986 r.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(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Tax Reform Act of 1986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), otrzymać federalną ulgę podatkową (</w:t>
            </w:r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Low-Income Housing Tax Credit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– LIHTC) jako zachętę do dokonywania inwestycji w niedrogie mieszkania na wynajem. Inwestycja musi jednak spełniać określone warunki:</w:t>
            </w:r>
          </w:p>
          <w:p w14:paraId="223AE523" w14:textId="77777777" w:rsidR="00D13E7B" w:rsidRPr="00D13E7B" w:rsidRDefault="00D13E7B" w:rsidP="00F777D6">
            <w:pPr>
              <w:numPr>
                <w:ilvl w:val="0"/>
                <w:numId w:val="41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min. 40% mieszkań musi być oferowanych jako dostępne, tj. o czynszach (wraz z innymi opłatami) nieprzekraczających 30% dochodów zamieszkujących w nich gospodarstw domowych;</w:t>
            </w:r>
          </w:p>
          <w:p w14:paraId="487539AB" w14:textId="77777777" w:rsidR="00D13E7B" w:rsidRPr="00D13E7B" w:rsidRDefault="00D13E7B" w:rsidP="00F777D6">
            <w:pPr>
              <w:numPr>
                <w:ilvl w:val="0"/>
                <w:numId w:val="41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niedrogie dostępne mieszkania mogą być oferowane osobom nieprzekraczającym określonego progu dochodowego, ustalanego w odniesieniu do mediany dochodu na danym obszarze;</w:t>
            </w:r>
          </w:p>
          <w:p w14:paraId="543239AD" w14:textId="77777777" w:rsidR="00D13E7B" w:rsidRDefault="00D13E7B" w:rsidP="00F777D6">
            <w:pPr>
              <w:numPr>
                <w:ilvl w:val="0"/>
                <w:numId w:val="41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mieszkania muszą spełniać kryteria dostępności – być wynajmowane na preferencyjnych warunkach przez 30 lat.</w:t>
            </w:r>
          </w:p>
          <w:p w14:paraId="25DB728C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6EC63062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W zamian przez okres 10 lat inwestor może korzystać z ulgi podatkowej, przy czym dotyczy ona tylko tej części zasobu, która wynajmowana jest jako niedrogie </w:t>
            </w:r>
            <w:r w:rsidR="00D176F0" w:rsidRPr="00D176F0">
              <w:rPr>
                <w:rFonts w:ascii="Times New Roman" w:hAnsi="Times New Roman"/>
                <w:bCs/>
                <w:color w:val="000000"/>
                <w:spacing w:val="-2"/>
              </w:rPr>
              <w:t xml:space="preserve">dostępne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mieszkania.</w:t>
            </w:r>
          </w:p>
          <w:p w14:paraId="443B2367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2BC9ED60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9% ulgi jest przyznawane kwalifikującym się projektom w drodze konkurencyjnego procesu za pośrednictwem państwowych agencji finansowania budownictwa mieszkaniowego. Kryteria przyznawania aktualizowane są co roku </w:t>
            </w:r>
            <w:r w:rsidR="00DB0139">
              <w:rPr>
                <w:rFonts w:ascii="Times New Roman" w:hAnsi="Times New Roman"/>
                <w:bCs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w ramach Planu Kwalifikowanego Przydziału, który określa priorytety i kryteria punktacji, przygotowywanego przez każdy ze stanów. W ramach tych planów poszczególne stany mogą ustalić np. przedłużenie okresu dostępności do 50 lat, przeznaczenie części ulg podatkowych wyłącznie na projekty o określonych cechach, priorytety lokalizacji czy przyznawanie dodatkowych punktów za spełnienie norm zrównoważonego budownictwa ekologicznego.</w:t>
            </w:r>
          </w:p>
          <w:p w14:paraId="7CA4563C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478D3E3F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Projekty, które otrzymują co najmniej 50% finansowania poprzez obligacje zwolnione z podatku, kwalifikują się do 4% ulgi. Od 1986 r., od kiedy ulga funkcjonuje, oddano do użytku prawie 3 miliony niedrogich dostępnych mieszkań. Budowa w tym systemie cieszy się dużą popularnością (czasem nawet 100% mieszkań podlega wynajmowi na preferencyjnych zasadach) – zgłaszanych jest więcej projektów niż możliwości przyznania ulgi. Daje to możliwość kształtowania rodzaju </w:t>
            </w:r>
            <w:r w:rsidR="00DB0139">
              <w:rPr>
                <w:rFonts w:ascii="Times New Roman" w:hAnsi="Times New Roman"/>
                <w:bCs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i lokalizacji mieszkań przez władze.</w:t>
            </w:r>
          </w:p>
          <w:p w14:paraId="1099D9DF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7947F176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Jako zaletę ulg podatkowych przedstawia się także minimalizowanie nakładów państwa przy jednoczesnym pobudzaniu inwestycji prywatnych. </w:t>
            </w:r>
          </w:p>
          <w:p w14:paraId="58073793" w14:textId="77777777" w:rsidR="00131E7A" w:rsidRPr="00D13E7B" w:rsidRDefault="00131E7A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27EBD80C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Jednocześnie jednak mieszkania te dostępne są tylko okresowo – po wymaganym okresie mogą trafić na rynek. Mimo regulowanych czynszów są one też często zbyt drogie dla osób o najniższych dochodach. Proces przyznawania ulg z kolei stwarza ryzyko promowania segregacji rasowej i tworzenia obszarów koncentracji ubóstwa. Przykładowo, znane są przypadki w Nowym Jorku, gdzie deweloperzy tworzyli osobne wejścia do części budynku, w której znajdowały się niedrogie </w:t>
            </w:r>
            <w:r w:rsidR="00DB0139" w:rsidRPr="00DB0139">
              <w:rPr>
                <w:rFonts w:ascii="Times New Roman" w:hAnsi="Times New Roman"/>
                <w:bCs/>
                <w:color w:val="000000"/>
                <w:spacing w:val="-2"/>
              </w:rPr>
              <w:t xml:space="preserve">dostępne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mieszkania– tzw. </w:t>
            </w:r>
            <w:r w:rsidRPr="00D13E7B">
              <w:rPr>
                <w:rFonts w:ascii="Times New Roman" w:hAnsi="Times New Roman"/>
                <w:bCs/>
                <w:i/>
                <w:color w:val="000000"/>
                <w:spacing w:val="-2"/>
              </w:rPr>
              <w:t>poor door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.</w:t>
            </w:r>
          </w:p>
          <w:p w14:paraId="1DCC0F71" w14:textId="77777777" w:rsidR="00131E7A" w:rsidRPr="00D13E7B" w:rsidRDefault="00131E7A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387915AD" w14:textId="77777777" w:rsidR="00E05288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Warto również zauważyć, że wykorzystanie tego typu instrumentów jest możliwe na rynku, na którym funkcjonuje duża grupa deweloperów specjalizujących się w budowie budynków i ich długoletniej eksploatacji na zasadach najmu.</w:t>
            </w:r>
          </w:p>
          <w:p w14:paraId="18416D75" w14:textId="77777777" w:rsidR="008A5000" w:rsidRPr="00DB36B5" w:rsidRDefault="008A5000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</w:tc>
      </w:tr>
      <w:tr w:rsidR="006A701A" w:rsidRPr="008B4FE6" w14:paraId="1C79E1A7" w14:textId="77777777" w:rsidTr="006E43A6">
        <w:trPr>
          <w:trHeight w:val="359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2239BFA5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60F33" w:rsidRPr="008B4FE6" w14:paraId="0ECA988C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0AD28CCD" w14:textId="77777777" w:rsidR="00260F33" w:rsidRPr="00FC605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Grupa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4A7052BD" w14:textId="77777777" w:rsidR="00260F33" w:rsidRPr="00FC6059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Wielkość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5222F453" w14:textId="77777777" w:rsidR="00260F33" w:rsidRPr="00FC605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Źródło danych</w:t>
            </w:r>
            <w:r w:rsidRPr="00FC6059" w:rsidDel="00260F33"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220401ED" w14:textId="77777777" w:rsidR="00260F33" w:rsidRPr="00FC605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Oddziaływanie</w:t>
            </w:r>
          </w:p>
        </w:tc>
      </w:tr>
      <w:tr w:rsidR="00D02A1A" w:rsidRPr="008B4FE6" w14:paraId="2824D029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0D4AF639" w14:textId="77777777" w:rsidR="00D02A1A" w:rsidRPr="008B4FE6" w:rsidRDefault="00D02A1A" w:rsidP="00CF2AA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Gminy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0FD4A780" w14:textId="77777777" w:rsidR="00D02A1A" w:rsidRPr="00B37C80" w:rsidRDefault="00D02A1A" w:rsidP="00CF2AA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2477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6C2A9537" w14:textId="77777777" w:rsidR="00D02A1A" w:rsidRPr="00B37C80" w:rsidRDefault="00D02A1A" w:rsidP="00CF2AA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MSWiA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38AB5644" w14:textId="77777777" w:rsidR="00D02A1A" w:rsidRDefault="00CF2AA5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Określenie zasad oferowania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przetargach nieograniczonych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 xml:space="preserve">nieruchomości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gminnych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zamian za uzyskanie mieszkań lub powierzchni użytkowych.</w:t>
            </w:r>
          </w:p>
          <w:p w14:paraId="20194F23" w14:textId="77777777" w:rsidR="001C6008" w:rsidRDefault="00CF2AA5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Zwiększenie możliwości zaspokajania potrzeb mieszkaniowych osób o niskich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0B2CB0">
              <w:rPr>
                <w:rFonts w:ascii="Times New Roman" w:hAnsi="Times New Roman"/>
                <w:color w:val="000000"/>
                <w:spacing w:val="-2"/>
              </w:rPr>
              <w:t>i przeciętnych dochodach.</w:t>
            </w:r>
          </w:p>
          <w:p w14:paraId="05FDC2CB" w14:textId="77777777" w:rsidR="000B2CB0" w:rsidRDefault="000B2CB0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uzyskania dofinansowania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wysokości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10% kosztów inwestycji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infrastrukturę społeczną lub techniczną towarzyszącą mieszkalnictwu.</w:t>
            </w:r>
          </w:p>
          <w:p w14:paraId="73268763" w14:textId="77777777" w:rsidR="000B2CB0" w:rsidRPr="00131E7A" w:rsidRDefault="000B2CB0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Preferencyjne traktowanie gmin inwestujących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budownictwo mieszkaniowe przy rozdziale środków na realizację innych zadań gminnych współfinansowa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</w:rPr>
              <w:t>nych przez państwo.</w:t>
            </w:r>
          </w:p>
        </w:tc>
      </w:tr>
      <w:tr w:rsidR="00D02A1A" w:rsidRPr="008B4FE6" w14:paraId="0426CDE5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27527DA7" w14:textId="77777777" w:rsidR="00D02A1A" w:rsidRDefault="00CF2AA5" w:rsidP="002E30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Inwestorzy (deweloperzy, towarzystwa budownictwa społecznego, spółdzielnie mieszkaniowe, inni)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22AB3175" w14:textId="77777777" w:rsidR="00D02A1A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Deweloperzy – ok. 2000 </w:t>
            </w:r>
          </w:p>
          <w:p w14:paraId="1C951B6A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Towarzystwa budownictwa społecznego – </w:t>
            </w:r>
            <w:r w:rsidR="005D6794">
              <w:rPr>
                <w:rFonts w:ascii="Times New Roman" w:hAnsi="Times New Roman"/>
                <w:color w:val="000000"/>
                <w:spacing w:val="-2"/>
              </w:rPr>
              <w:t>243</w:t>
            </w:r>
          </w:p>
          <w:p w14:paraId="1F49770B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Spółdzielnie mieszkaniowe –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9B5027">
              <w:rPr>
                <w:rFonts w:ascii="Times New Roman" w:hAnsi="Times New Roman"/>
                <w:color w:val="000000"/>
                <w:spacing w:val="-2"/>
              </w:rPr>
              <w:lastRenderedPageBreak/>
              <w:t>4 706</w:t>
            </w:r>
          </w:p>
          <w:p w14:paraId="6068AA0D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A509262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700C9563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DCBE45D" w14:textId="77777777" w:rsidR="004D45CE" w:rsidRPr="00B37C80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118" w:type="dxa"/>
            <w:gridSpan w:val="12"/>
            <w:shd w:val="clear" w:color="auto" w:fill="auto"/>
          </w:tcPr>
          <w:p w14:paraId="02047EC2" w14:textId="77777777" w:rsidR="00D02A1A" w:rsidRDefault="004D45CE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analizy własne UOKiK</w:t>
            </w:r>
          </w:p>
          <w:p w14:paraId="017F8A15" w14:textId="77777777" w:rsidR="009B5027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14E1048D" w14:textId="77777777" w:rsidR="009B5027" w:rsidRDefault="00D2098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Ministerstwo Rozwoju</w:t>
            </w:r>
          </w:p>
          <w:p w14:paraId="1778532F" w14:textId="77777777" w:rsidR="009B5027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E1C011A" w14:textId="77777777" w:rsidR="009B5027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13633C57" w14:textId="77777777" w:rsidR="009B5027" w:rsidRPr="00B37C80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GUS, Rocznik Statystyczny 2019 (uwzględniono podmioty </w:t>
            </w:r>
            <w:r w:rsidR="000A3B66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działające w formie spółdzielni </w:t>
            </w:r>
            <w:r>
              <w:rPr>
                <w:rFonts w:ascii="Times New Roman" w:hAnsi="Times New Roman"/>
                <w:color w:val="000000"/>
                <w:spacing w:val="-2"/>
              </w:rPr>
              <w:t>zarejestrowane w rejestrze REGON w ramach  grup „Budownictwo” oraz „Obsługa rynku nieruchomości”)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610E7EE4" w14:textId="77777777" w:rsidR="00D02A1A" w:rsidRPr="001C6008" w:rsidRDefault="001C6008" w:rsidP="001C6008">
            <w:pPr>
              <w:pStyle w:val="Akapitzlist"/>
              <w:spacing w:line="240" w:lineRule="auto"/>
              <w:ind w:left="17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Możliwość realizacji inwestycji budowlanych (przede wszystkim mieszkaniowych) na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>nieruchomościach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należących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t xml:space="preserve">dotąd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samorządów gminnych w zamian za przekazanie gminie części powierzchni mieszkalnej lub użytkowej</w:t>
            </w:r>
            <w:r w:rsidR="008A5000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D02A1A" w:rsidRPr="008B4FE6" w14:paraId="0682664B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5FB56E3B" w14:textId="77777777" w:rsidR="00D02A1A" w:rsidRDefault="004C5498" w:rsidP="006A26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Krajowy Zasób Nieruchomości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4E52B56F" w14:textId="77777777" w:rsidR="00D02A1A" w:rsidRPr="00B37C80" w:rsidRDefault="004C5498" w:rsidP="005E2E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560741A8" w14:textId="77777777" w:rsidR="00D02A1A" w:rsidRPr="00B37C80" w:rsidRDefault="004C5498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6F6EBE2B" w14:textId="77777777" w:rsidR="00D02A1A" w:rsidRPr="00B37C80" w:rsidRDefault="004C5498" w:rsidP="002E30B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wykorzystania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>nieruchomości S</w:t>
            </w:r>
            <w:r>
              <w:rPr>
                <w:rFonts w:ascii="Times New Roman" w:hAnsi="Times New Roman"/>
                <w:color w:val="000000"/>
                <w:spacing w:val="-2"/>
              </w:rPr>
              <w:t>karbu Państwa do realizacji inwestycji mieszkaniowych</w:t>
            </w:r>
            <w:r w:rsidR="0042773E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2773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wyniku których powstaną mieszkania na wynajem dostępne dla osób o niskich lub średnich dochodach</w:t>
            </w:r>
            <w:r w:rsidR="008A500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FC6059" w:rsidRPr="008B4FE6" w14:paraId="71CE73D4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487FD07C" w14:textId="67855123" w:rsidR="00FC6059" w:rsidRDefault="00FC6059" w:rsidP="006A26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Bank Gospodarstwa Krajowego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6A6E0E2C" w14:textId="0086881B" w:rsidR="00FC6059" w:rsidRDefault="00FC6059" w:rsidP="005E2E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1B2298C2" w14:textId="11ABACBF" w:rsidR="00FC6059" w:rsidRDefault="00FC28B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194B1E19" w14:textId="4CE1724D" w:rsidR="00FC6059" w:rsidRDefault="00FC6059" w:rsidP="002E30B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Obsługa (jako operator Funduszu Dopłat) programu dofinansowania infrastruktury 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>społeczn</w:t>
            </w:r>
            <w:r w:rsidR="000D5C83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 xml:space="preserve"> lub techniczn</w:t>
            </w:r>
            <w:r w:rsidR="000D5C83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 xml:space="preserve"> towarzysząc</w:t>
            </w:r>
            <w:r w:rsidR="000D5C83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 xml:space="preserve"> mieszkalnictwu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D02A1A" w:rsidRPr="008B4FE6" w14:paraId="7DCE7DFE" w14:textId="77777777" w:rsidTr="006E43A6">
        <w:trPr>
          <w:trHeight w:val="302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539B09A9" w14:textId="77777777" w:rsidR="00D02A1A" w:rsidRPr="008B4FE6" w:rsidRDefault="00D02A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D02A1A" w:rsidRPr="008B4FE6" w14:paraId="609FEFED" w14:textId="77777777" w:rsidTr="006E43A6">
        <w:trPr>
          <w:trHeight w:val="342"/>
        </w:trPr>
        <w:tc>
          <w:tcPr>
            <w:tcW w:w="10876" w:type="dxa"/>
            <w:gridSpan w:val="28"/>
            <w:shd w:val="clear" w:color="auto" w:fill="FFFFFF"/>
          </w:tcPr>
          <w:p w14:paraId="54E263C9" w14:textId="3F13C477" w:rsidR="00525098" w:rsidRDefault="00525098" w:rsidP="005250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 ramach procesu prekonsultacyjnego (spotkania, wymiana korespondencji) w okresie styczeń-kwiecień 2020 r.,  założenia projektu zostały ocenione m.in. przez Polski Związek Firm Deweloperskich, Unię Metropolii Polskich, Krajowy Zasób Nieruchomości oraz Stowarzyszenie Zachodniopomorskie Tebeesy. Część zgłaszanych uwag i wniosków została uwzględniona w projekcie. </w:t>
            </w:r>
          </w:p>
          <w:p w14:paraId="4A48EA34" w14:textId="77777777" w:rsidR="00525098" w:rsidRDefault="00525098" w:rsidP="00120C7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F357AE5" w14:textId="7FABBFFF" w:rsidR="00D02A1A" w:rsidRDefault="00A865E0" w:rsidP="00120C7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ustawy zostanie przekazany do konsultacji publicznych do wybranych podmiotów zrzeszających potencjalnych inwestorów na rynku budownictwa mieszkaniowego. Kluczowym partnerem w realizacji ustawy będą samorządy gminne.</w:t>
            </w:r>
            <w:r w:rsidR="00525098">
              <w:rPr>
                <w:rFonts w:ascii="Times New Roman" w:hAnsi="Times New Roman"/>
                <w:color w:val="000000"/>
                <w:spacing w:val="-2"/>
              </w:rPr>
              <w:t xml:space="preserve"> Projekt bezpośrednio trafi do następujących podmiotów:</w:t>
            </w:r>
          </w:p>
          <w:p w14:paraId="07018E6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Bank Gospodarstwa Krajowego</w:t>
            </w:r>
          </w:p>
          <w:p w14:paraId="61C0F2E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Centrum Analiz Klubu Jagiellońskiego</w:t>
            </w:r>
          </w:p>
          <w:p w14:paraId="4232D6C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Federacja Porozumienie Polskiego Rynku Nieruchomości</w:t>
            </w:r>
          </w:p>
          <w:p w14:paraId="3365F10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Blisko</w:t>
            </w:r>
          </w:p>
          <w:p w14:paraId="68DD3D0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bookmarkStart w:id="5" w:name="_Hlk40186137"/>
            <w:r w:rsidRPr="00525098">
              <w:rPr>
                <w:rFonts w:ascii="Times New Roman" w:hAnsi="Times New Roman"/>
                <w:color w:val="000000"/>
                <w:spacing w:val="-2"/>
              </w:rPr>
              <w:t>Fundacja Centrum Partnerstwa Publiczno-Prywatnego</w:t>
            </w:r>
          </w:p>
          <w:bookmarkEnd w:id="5"/>
          <w:p w14:paraId="0A7A8C4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Habitat for Humanity Polska</w:t>
            </w:r>
          </w:p>
          <w:p w14:paraId="1A63969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im. Stefana Batorego</w:t>
            </w:r>
          </w:p>
          <w:p w14:paraId="79951E2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Republikańska</w:t>
            </w:r>
          </w:p>
          <w:p w14:paraId="68B2D5A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Gospodarki Nieruchomościami</w:t>
            </w:r>
          </w:p>
          <w:p w14:paraId="2FBC0C1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Jagielloński</w:t>
            </w:r>
          </w:p>
          <w:p w14:paraId="5C298C3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Rozwoju Miast i Regionów</w:t>
            </w:r>
          </w:p>
          <w:p w14:paraId="40F46E4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Sobieskiego</w:t>
            </w:r>
          </w:p>
          <w:p w14:paraId="7C38376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Spraw Publicznych</w:t>
            </w:r>
          </w:p>
          <w:p w14:paraId="13B2ED9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Izba Architektów Rzeczypospolitej Polskiej</w:t>
            </w:r>
          </w:p>
          <w:p w14:paraId="5251C572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Izba Projektowania Budowlanego</w:t>
            </w:r>
          </w:p>
          <w:p w14:paraId="26108F7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Komitet Architektury i Urbanistyki Polskiej Akademii Nauk</w:t>
            </w:r>
          </w:p>
          <w:p w14:paraId="645C950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Konfederacja Budownictwa i Nieruchomości</w:t>
            </w:r>
          </w:p>
          <w:p w14:paraId="4ECE34B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Kongres Ruchów Miejskich</w:t>
            </w:r>
          </w:p>
          <w:p w14:paraId="57C91E0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Izba Gospodarcza, Komitet ds. Nieruchomości</w:t>
            </w:r>
          </w:p>
          <w:p w14:paraId="5991F2A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Izba Gospodarki Nieruchomościami</w:t>
            </w:r>
          </w:p>
          <w:p w14:paraId="4F177B3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Organizacja Rzeczoznawców Majątkowych</w:t>
            </w:r>
          </w:p>
          <w:p w14:paraId="52DDBDF2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Spółdzielcza Kasa Oszczędnościowo-Kredytowa</w:t>
            </w:r>
          </w:p>
          <w:p w14:paraId="1FCCE121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Krajowe Stowarzyszenie Profesjonalistów Rynku Nieruchomości</w:t>
            </w:r>
          </w:p>
          <w:p w14:paraId="11E57E4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Krajowy Zasób Nieruchomości</w:t>
            </w:r>
          </w:p>
          <w:p w14:paraId="2C29B0E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Ogólnopolska Izba Gospodarki Nieruchomościami</w:t>
            </w:r>
          </w:p>
          <w:p w14:paraId="56752CBE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Ogólnopolskie Stowarzyszenie Firm Budowlano-Wykończeniowych</w:t>
            </w:r>
          </w:p>
          <w:p w14:paraId="68425B26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lastRenderedPageBreak/>
              <w:t>Ogólnopolskie Stowarzyszenie Licencjonowanych Zarządców Nieruchomości „Ekspert”</w:t>
            </w:r>
          </w:p>
          <w:p w14:paraId="54AFB0BF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PFR Nieruchomości S.A.</w:t>
            </w:r>
          </w:p>
          <w:p w14:paraId="731C7776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Federacja Organizacji Zarządców, Administratorów i Właścicieli Nieruchomości</w:t>
            </w:r>
          </w:p>
          <w:p w14:paraId="261FCF2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Federacja Rynku Nieruchomości</w:t>
            </w:r>
          </w:p>
          <w:p w14:paraId="2D5B94A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Federacja Stowarzyszeń Rzeczoznawców Majątkowych</w:t>
            </w:r>
          </w:p>
          <w:p w14:paraId="2D62204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Budownictwa</w:t>
            </w:r>
          </w:p>
          <w:p w14:paraId="287C652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Gospodarcza Towarzystw Budownictwa Społecznego</w:t>
            </w:r>
          </w:p>
          <w:p w14:paraId="47419FE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Inżynierów Budownictwa</w:t>
            </w:r>
          </w:p>
          <w:p w14:paraId="3BA10C42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Nieruchomości Komercyjnych</w:t>
            </w:r>
          </w:p>
          <w:p w14:paraId="2C600C8E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Rzeczoznawstwa Majątkowego</w:t>
            </w:r>
          </w:p>
          <w:p w14:paraId="7BCE6F7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Unia Właścicieli Nieruchomości</w:t>
            </w:r>
          </w:p>
          <w:p w14:paraId="3997E85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Fundusz Rozwoju S.A.</w:t>
            </w:r>
          </w:p>
          <w:p w14:paraId="13B890C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Związek Firm Deweloperskich</w:t>
            </w:r>
          </w:p>
          <w:p w14:paraId="2A97910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Związek Inżynierów i Techników Budownictwa</w:t>
            </w:r>
          </w:p>
          <w:p w14:paraId="13A3150E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Związek Pracodawców Budownictwa</w:t>
            </w:r>
          </w:p>
          <w:p w14:paraId="726B825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Polskie Stowarzyszenie Budownictwa Ekologicznego</w:t>
            </w:r>
          </w:p>
          <w:p w14:paraId="21733B2A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Powszechne Towarzystwo Ekspertów i Doradców Rynku Nieruchomości</w:t>
            </w:r>
          </w:p>
          <w:p w14:paraId="5CB176B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Polskie Towarzystwo Mieszkaniowe</w:t>
            </w:r>
          </w:p>
          <w:p w14:paraId="1F24877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Polskie Towarzystwo Rzeczoznawców Majątkowych</w:t>
            </w:r>
          </w:p>
          <w:p w14:paraId="576D245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Pracownia Badań i Innowacji Społecznych „Stocznia”</w:t>
            </w:r>
          </w:p>
          <w:p w14:paraId="1118D89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Budowniczych Domów i Mieszkań</w:t>
            </w:r>
          </w:p>
          <w:p w14:paraId="013A7D7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Ekspertów Rynku Nieruchomości</w:t>
            </w:r>
          </w:p>
          <w:p w14:paraId="3BEBF8D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Forum Rewitalizacji</w:t>
            </w:r>
          </w:p>
          <w:p w14:paraId="66B5922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Nowoczesne Budynki</w:t>
            </w:r>
          </w:p>
          <w:p w14:paraId="5EB44C1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Stowarzyszenia Profesjonalistów Rynku Nieruchomości Polski Centralnej</w:t>
            </w:r>
          </w:p>
          <w:p w14:paraId="45D6EB9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Rzeczoznawców Majątkowych „POLONIA”</w:t>
            </w:r>
          </w:p>
          <w:p w14:paraId="6119ABC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Tebeesów Polski Południowej i Zachodniej</w:t>
            </w:r>
          </w:p>
          <w:p w14:paraId="30E068B5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Właścicieli Nieruchomości na Wynajem „Mieszkanicznik”</w:t>
            </w:r>
          </w:p>
          <w:p w14:paraId="2C1DB90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Zachodniopomorskie Tebeesy</w:t>
            </w:r>
          </w:p>
          <w:p w14:paraId="0B5104A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Unia Metropolii Polskich</w:t>
            </w:r>
          </w:p>
          <w:p w14:paraId="3E2B9DAF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Unia Miasteczek Polskich</w:t>
            </w:r>
          </w:p>
          <w:p w14:paraId="2A4D0C75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Unia Spółdzielców Mieszkaniowych w Polsce</w:t>
            </w:r>
          </w:p>
          <w:p w14:paraId="68E39BB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Banków Polskich</w:t>
            </w:r>
          </w:p>
          <w:p w14:paraId="7EDA036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Gmin Wiejskich Rzeczypospolitej Polskiej</w:t>
            </w:r>
          </w:p>
          <w:p w14:paraId="0CC0DE7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Miast Polskich</w:t>
            </w:r>
          </w:p>
          <w:p w14:paraId="5E23F5B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Powiatów Polskich</w:t>
            </w:r>
          </w:p>
          <w:p w14:paraId="24964FF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Rewizyjny Spółdzielni Mieszkaniowych Rzeczypospolitej Polskiej</w:t>
            </w:r>
          </w:p>
          <w:p w14:paraId="11B8668E" w14:textId="7EC53500" w:rsidR="00A865E0" w:rsidRDefault="00525098" w:rsidP="00120C79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Zawodowy Budowlani</w:t>
            </w:r>
          </w:p>
          <w:p w14:paraId="01CF8ED8" w14:textId="77777777" w:rsidR="00952C6D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00F93DD" w14:textId="14C96CB4" w:rsidR="00952C6D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Zgodnie z wymogami wynikającymi z Regulaminu pracy Rady Ministrów 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>projekt zostanie opublikowany w Biuletynie Informacji Publicznej Rządowego Centrum Legislacji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="00E063F5" w:rsidRPr="00E063F5">
              <w:rPr>
                <w:rFonts w:ascii="Times New Roman" w:hAnsi="Times New Roman"/>
                <w:color w:val="000000"/>
                <w:spacing w:val="-2"/>
              </w:rPr>
              <w:t xml:space="preserve">w zakładce </w:t>
            </w:r>
            <w:r w:rsidR="00E063F5" w:rsidRPr="00E063F5">
              <w:rPr>
                <w:rFonts w:ascii="Times New Roman" w:hAnsi="Times New Roman"/>
                <w:i/>
                <w:iCs/>
                <w:color w:val="000000"/>
                <w:spacing w:val="-2"/>
              </w:rPr>
              <w:t>Rządowy Proces Legislacyjny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 xml:space="preserve">. Termin </w:t>
            </w:r>
            <w:r w:rsidR="00A95265">
              <w:rPr>
                <w:rFonts w:ascii="Times New Roman" w:hAnsi="Times New Roman"/>
                <w:color w:val="000000"/>
                <w:spacing w:val="-2"/>
              </w:rPr>
              <w:t xml:space="preserve">wyznaczony na konsultacje publiczne 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>będzie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 xml:space="preserve"> wynosi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 xml:space="preserve"> co najmniej 21 dni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 xml:space="preserve"> od dnia otrzymania projektu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40A8341E" w14:textId="77777777" w:rsidR="00952C6D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2A79344" w14:textId="0FE42A88" w:rsidR="00952C6D" w:rsidRPr="00525098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zostanie również przekazany do zaopiniowania przez Komisję Wspólną Rządu i Samorządu Terytorialnego.</w:t>
            </w:r>
          </w:p>
          <w:p w14:paraId="2A7188F5" w14:textId="77777777" w:rsidR="00D02A1A" w:rsidRPr="00B37C80" w:rsidRDefault="00D02A1A" w:rsidP="005250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D02A1A" w:rsidRPr="008B4FE6" w14:paraId="6C932D7A" w14:textId="77777777" w:rsidTr="006E43A6">
        <w:trPr>
          <w:trHeight w:val="363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72C43787" w14:textId="77777777" w:rsidR="00D02A1A" w:rsidRPr="008B4FE6" w:rsidRDefault="00D02A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D02A1A" w:rsidRPr="008B4FE6" w14:paraId="7C0A8EC1" w14:textId="77777777" w:rsidTr="006E43A6">
        <w:trPr>
          <w:trHeight w:val="142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65448FD6" w14:textId="3CA779B6" w:rsidR="00D02A1A" w:rsidRPr="00952C6D" w:rsidRDefault="00952C6D" w:rsidP="00821717">
            <w:pPr>
              <w:spacing w:before="40" w:after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2C6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Ceny stałe z 2020 r. </w:t>
            </w:r>
          </w:p>
        </w:tc>
        <w:tc>
          <w:tcPr>
            <w:tcW w:w="7473" w:type="dxa"/>
            <w:gridSpan w:val="26"/>
            <w:shd w:val="clear" w:color="auto" w:fill="FFFFFF"/>
          </w:tcPr>
          <w:p w14:paraId="124F01F3" w14:textId="77777777" w:rsidR="00D02A1A" w:rsidRPr="00C53F26" w:rsidRDefault="00D02A1A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8812C4" w:rsidRPr="008B4FE6" w14:paraId="710A8D4A" w14:textId="77777777" w:rsidTr="00A31614">
        <w:trPr>
          <w:trHeight w:val="142"/>
        </w:trPr>
        <w:tc>
          <w:tcPr>
            <w:tcW w:w="3403" w:type="dxa"/>
            <w:gridSpan w:val="2"/>
            <w:vMerge/>
            <w:shd w:val="clear" w:color="auto" w:fill="FFFFFF"/>
          </w:tcPr>
          <w:p w14:paraId="3C138D41" w14:textId="77777777" w:rsidR="00D02A1A" w:rsidRPr="00C53F26" w:rsidRDefault="00D02A1A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551EDC4A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BF5EF62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ED36AD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B576DE7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442015B4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ED6B9E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8463BFB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977CCC5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03F79170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B933081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8B8B541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110E6A23" w14:textId="77777777" w:rsidR="00D02A1A" w:rsidRPr="0057341B" w:rsidRDefault="00D02A1A" w:rsidP="00242068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57341B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Łącznie (0-10)</w:t>
            </w:r>
          </w:p>
        </w:tc>
      </w:tr>
      <w:tr w:rsidR="008812C4" w:rsidRPr="008B4FE6" w14:paraId="3950E7FE" w14:textId="77777777" w:rsidTr="00A31614">
        <w:trPr>
          <w:trHeight w:val="32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3CDB4226" w14:textId="77777777" w:rsidR="005A0DFE" w:rsidRPr="00C53F26" w:rsidRDefault="005A0DF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28585CB" w14:textId="77777777" w:rsidR="005A0DFE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76A9C5B" w14:textId="77777777" w:rsidR="005A0DFE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FD2034" w14:textId="77777777" w:rsidR="005A0DFE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CC9603A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347D7C4B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162050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4E27972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F5A0931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C1F8388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005AD03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4CAECD5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27EC8FAF" w14:textId="77777777" w:rsidR="005A0DFE" w:rsidRPr="005A0DFE" w:rsidRDefault="006E43A6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8812C4" w:rsidRPr="008B4FE6" w14:paraId="2417ADC1" w14:textId="77777777" w:rsidTr="00A31614">
        <w:trPr>
          <w:trHeight w:val="32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6FE0D6AF" w14:textId="77777777" w:rsidR="00D02A1A" w:rsidRPr="00C53F26" w:rsidRDefault="00D02A1A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F98E87E" w14:textId="77777777" w:rsidR="00D02A1A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81BF96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3C814B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0390B03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37685A2B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57E290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B9B77F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6562DC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0326E64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65C704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234D439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6627E8B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8812C4" w:rsidRPr="008B4FE6" w14:paraId="698257EB" w14:textId="77777777" w:rsidTr="00A31614">
        <w:trPr>
          <w:trHeight w:val="344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3B718B3F" w14:textId="77777777" w:rsidR="00D02A1A" w:rsidRPr="00C53F26" w:rsidRDefault="00D02A1A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DF7CA54" w14:textId="77777777" w:rsidR="00D02A1A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619B53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49910A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84DFDEE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7313705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CACF5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E812CE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CA53E49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A536D9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D9FB8B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37EC25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0F2465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8812C4" w:rsidRPr="008B4FE6" w14:paraId="4C3B38AB" w14:textId="77777777" w:rsidTr="00A31614">
        <w:trPr>
          <w:trHeight w:val="344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4873AF0F" w14:textId="77777777" w:rsidR="00D02A1A" w:rsidRPr="00C53F26" w:rsidRDefault="00D02A1A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90FABD7" w14:textId="77777777" w:rsidR="00D02A1A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9402556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E4F9A1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74987D3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5AECB10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50FBE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4EDC2E32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FE5223B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445F2B1E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205F72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9E6E05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93A4A2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DB07C6" w:rsidRPr="008B4FE6" w14:paraId="58806827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16F9E00D" w14:textId="77777777" w:rsidR="00DB07C6" w:rsidRPr="00C53F26" w:rsidRDefault="00DB07C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B1503BB" w14:textId="77777777" w:rsidR="00DB07C6" w:rsidRPr="007D20DC" w:rsidRDefault="00DB07C6" w:rsidP="00DD38E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03CC878" w14:textId="3D039D24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E36B86" w14:textId="4EB03B07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DA0DBE9" w14:textId="59D56A49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6F21203B" w14:textId="6B5B5E30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DE662D" w14:textId="2B395851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4302B82B" w14:textId="51FDDF16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A603212" w14:textId="136429A9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376DBE52" w14:textId="049EE3A2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82B2B35" w14:textId="5E8F69E8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B253471" w14:textId="3EDEE1FE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5D59C8FD" w14:textId="079098A8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314,5</w:t>
            </w:r>
          </w:p>
        </w:tc>
      </w:tr>
      <w:tr w:rsidR="002A4A9E" w:rsidRPr="008B4FE6" w14:paraId="0BED99FB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51287CA1" w14:textId="77777777" w:rsidR="002A4A9E" w:rsidRPr="00C53F26" w:rsidRDefault="002A4A9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9420BE0" w14:textId="77777777" w:rsidR="002A4A9E" w:rsidRPr="007D20DC" w:rsidRDefault="002A4A9E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5CE4C9F" w14:textId="40916D72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5E24BD" w14:textId="26209272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4B42A40" w14:textId="2E7AD20C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EC58696" w14:textId="38D8EA5B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C8D7D9" w14:textId="74A37049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60D71E2" w14:textId="3D178872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CD69A9C" w14:textId="4ADA54DB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FF60C4A" w14:textId="34F62E6D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D4266DF" w14:textId="635FCF68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77159BF" w14:textId="6DA4B161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228CBAF9" w14:textId="7C58C246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314,5</w:t>
            </w:r>
          </w:p>
        </w:tc>
      </w:tr>
      <w:tr w:rsidR="002A4A9E" w:rsidRPr="008B4FE6" w14:paraId="1FCB2E19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3538FC83" w14:textId="77777777" w:rsidR="002A4A9E" w:rsidRPr="00DD38E8" w:rsidRDefault="002A4A9E" w:rsidP="00C53F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DD38E8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dopłaty do czynsz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u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63C0E9F" w14:textId="77777777" w:rsidR="002A4A9E" w:rsidRPr="007D20DC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909CC38" w14:textId="5DA5A15E" w:rsidR="002A4A9E" w:rsidRPr="00361D2E" w:rsidRDefault="008B01EF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EC4DBE" w14:textId="46000BDC" w:rsidR="002A4A9E" w:rsidRPr="00361D2E" w:rsidRDefault="008B01EF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F6F6437" w14:textId="4C803B99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2F6464ED" w14:textId="4AF4E4C9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80B4DC" w14:textId="7777777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9A730D1" w14:textId="4B7A6B4D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E08940C" w14:textId="7777777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A246D31" w14:textId="6DBEB721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27DF307" w14:textId="7777777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4E1218C" w14:textId="47C2A24D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BD0AEB5" w14:textId="7421F65B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38,5</w:t>
            </w:r>
          </w:p>
        </w:tc>
      </w:tr>
      <w:tr w:rsidR="002A4A9E" w:rsidRPr="008B4FE6" w14:paraId="3AD8E256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50B42E7A" w14:textId="77777777" w:rsidR="002A4A9E" w:rsidRPr="00DD38E8" w:rsidRDefault="002A4A9E" w:rsidP="00C53F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DD38E8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dofinansowanie infrastruktury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B67DD68" w14:textId="77777777" w:rsidR="002A4A9E" w:rsidRPr="007D20DC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AA5A583" w14:textId="783A626D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CB7E69" w14:textId="72DEF0D9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CBD6A98" w14:textId="6DCA9B68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19AF2B01" w14:textId="10B8D840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117A69" w14:textId="1E4CBF48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991FF0F" w14:textId="0152F132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0F2D877" w14:textId="65FBBBF1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F6703EE" w14:textId="0565EFE9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E0E8BDD" w14:textId="32B1770A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F18854A" w14:textId="5D3099B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ABE1FDC" w14:textId="31894CBF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276</w:t>
            </w:r>
          </w:p>
        </w:tc>
      </w:tr>
      <w:tr w:rsidR="001E7455" w:rsidRPr="008B4FE6" w14:paraId="0F121E97" w14:textId="77777777" w:rsidTr="00A31614">
        <w:trPr>
          <w:trHeight w:val="35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D6FC58D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JST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33FA7090" w14:textId="77777777" w:rsidR="001E7455" w:rsidRPr="007D20DC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9BD22F3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F2879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E477D8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67A65756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71752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2A83D1F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B3DB416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3932AA6D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7C0E9F1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EDBB44A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DA070BE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1E7455" w:rsidRPr="008B4FE6" w14:paraId="7B159C9A" w14:textId="77777777" w:rsidTr="00A31614">
        <w:trPr>
          <w:trHeight w:val="35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452C3A2E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CC0E0CF" w14:textId="77777777" w:rsidR="001E7455" w:rsidRPr="007D20DC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E7D46D5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1326DB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4C6725B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C1DDBE3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894A3C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DF1D78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1E6607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E0E6EF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2AC4087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3D85BE6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EE67B5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DB07C6" w:rsidRPr="008B4FE6" w14:paraId="71DF9AA4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0725B968" w14:textId="77777777" w:rsidR="00DB07C6" w:rsidRPr="00C53F26" w:rsidRDefault="00DB07C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D468F31" w14:textId="77777777" w:rsidR="00DB07C6" w:rsidRPr="00DD38E8" w:rsidRDefault="00DB07C6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6F01E6C" w14:textId="3DCF42B4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CBE3FB" w14:textId="533EC1C4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CF610B6" w14:textId="299C55E5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6EC11FA" w14:textId="31EBE17C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7A610A" w14:textId="41362BE3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6E97F78" w14:textId="3E9E6F09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6CBF955" w14:textId="5F167805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A290A71" w14:textId="376CD41A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38285B7" w14:textId="6511C60E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1509035" w14:textId="3E75FF8B" w:rsidR="00DB07C6" w:rsidRPr="00A31614" w:rsidRDefault="00AE3742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 w:rsidR="00DB07C6"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AB8E2C0" w14:textId="0828D967" w:rsidR="00DB07C6" w:rsidRPr="00A31614" w:rsidRDefault="00AE3742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 w:rsidR="00DB07C6"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314,5</w:t>
            </w:r>
          </w:p>
        </w:tc>
      </w:tr>
      <w:tr w:rsidR="00DB07C6" w:rsidRPr="008B4FE6" w14:paraId="67C484E0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A3C8871" w14:textId="77777777" w:rsidR="00DB07C6" w:rsidRPr="00C53F26" w:rsidRDefault="00DB07C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F4B26D9" w14:textId="77777777" w:rsidR="00DB07C6" w:rsidRPr="00DD38E8" w:rsidRDefault="00DB07C6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11E3DD5" w14:textId="08439F46" w:rsidR="00DB07C6" w:rsidRPr="00327396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2739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27396" w:rsidRPr="0032739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36D68A" w14:textId="79F9EF47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2D154E3" w14:textId="045D5FB2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33B2398B" w14:textId="0D2CEE88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56625D" w14:textId="0FC79A18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2808649A" w14:textId="776F5784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508211D" w14:textId="057D6A21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03EB4615" w14:textId="375D1B2D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3EC405C" w14:textId="09E8671E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96DF41F" w14:textId="5BAC9DA6" w:rsidR="00DB07C6" w:rsidRPr="00DD38E8" w:rsidRDefault="00AE3742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B07C6"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1A3B15EA" w14:textId="2228EDB5" w:rsidR="00DB07C6" w:rsidRPr="00DD38E8" w:rsidRDefault="00AE3742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B07C6"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314,5</w:t>
            </w:r>
          </w:p>
        </w:tc>
      </w:tr>
      <w:tr w:rsidR="00DB07C6" w:rsidRPr="008B4FE6" w14:paraId="50EED0BE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792A8187" w14:textId="77777777" w:rsidR="00DB07C6" w:rsidRPr="00C53F26" w:rsidRDefault="00DB07C6" w:rsidP="00402A8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dopłaty do czynszu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EB8176B" w14:textId="5A438B09" w:rsidR="00DB07C6" w:rsidRPr="00DD38E8" w:rsidRDefault="00E063F5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7675BFC" w14:textId="77777777" w:rsidR="00DB07C6" w:rsidRPr="00DD38E8" w:rsidRDefault="00DB07C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408C9E" w14:textId="77777777" w:rsidR="00DB07C6" w:rsidRPr="00DD38E8" w:rsidRDefault="00DB07C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E5F5A79" w14:textId="07325DD9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4B1E9BF6" w14:textId="324700B6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521B8F" w14:textId="68F30667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8F82C12" w14:textId="4E4997C6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3BF7068" w14:textId="78507885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247EC4B" w14:textId="422C6E3E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C40E105" w14:textId="3D8E17F7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0056C9C" w14:textId="3F63331C" w:rsidR="00DB07C6" w:rsidRPr="00DD38E8" w:rsidRDefault="00AE3742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DB07C6"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B2476CF" w14:textId="1733EF74" w:rsidR="00DB07C6" w:rsidRPr="00F1191F" w:rsidRDefault="00AE3742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DB07C6"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38,5</w:t>
            </w:r>
          </w:p>
        </w:tc>
      </w:tr>
      <w:tr w:rsidR="00327396" w:rsidRPr="008B4FE6" w14:paraId="57E0490B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74CAF84A" w14:textId="77777777" w:rsidR="00327396" w:rsidRPr="00C53F26" w:rsidRDefault="00327396" w:rsidP="00402A8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dofinansowanie infrastruktury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9A424F9" w14:textId="7EE551A6" w:rsidR="00327396" w:rsidRPr="00DD38E8" w:rsidRDefault="00E063F5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92B2220" w14:textId="7825BAF8" w:rsidR="00327396" w:rsidRPr="00DD38E8" w:rsidRDefault="0032739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C8EBE9" w14:textId="5A82AD75" w:rsidR="00327396" w:rsidRPr="00DD38E8" w:rsidRDefault="0032739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50F0BA9" w14:textId="62455AF6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2D3F06D9" w14:textId="19BF7A11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F66C00" w14:textId="61BAAAD3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99A2C8B" w14:textId="513859E3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AABA397" w14:textId="79DD2F41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55AFC28D" w14:textId="356ACFFE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52C78E3D" w14:textId="5DBA1505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CA88D08" w14:textId="46C5412D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93741B2" w14:textId="18622574" w:rsidR="00327396" w:rsidRPr="00DD38E8" w:rsidRDefault="0032739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276</w:t>
            </w:r>
          </w:p>
        </w:tc>
      </w:tr>
      <w:tr w:rsidR="001E7455" w:rsidRPr="008B4FE6" w14:paraId="1938A437" w14:textId="77777777" w:rsidTr="00A31614">
        <w:trPr>
          <w:trHeight w:val="357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525EFCBE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112E562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CF6AAB4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FFADE1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4BE7F8E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7B305D3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75507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49CA956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9194CB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AA0E7B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29E62C2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E389162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5B2E45CD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1E7455" w:rsidRPr="008B4FE6" w14:paraId="30E54EA9" w14:textId="77777777" w:rsidTr="00A31614">
        <w:trPr>
          <w:trHeight w:val="357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D00842F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7DBCD61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662AE9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D0EB7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3E508F3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494FCEA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B75E0B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2F9FBF5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E7B2872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75CB62B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6972DB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0C1D5DE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6736804F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1E7455" w:rsidRPr="008B4FE6" w14:paraId="3E98920B" w14:textId="77777777" w:rsidTr="006E43A6">
        <w:trPr>
          <w:trHeight w:val="348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68077BD0" w14:textId="77777777" w:rsidR="001E7455" w:rsidRPr="00C53F26" w:rsidRDefault="001E7455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7473" w:type="dxa"/>
            <w:gridSpan w:val="26"/>
            <w:shd w:val="clear" w:color="auto" w:fill="FFFFFF"/>
            <w:vAlign w:val="center"/>
          </w:tcPr>
          <w:p w14:paraId="7283E26C" w14:textId="77777777" w:rsidR="00E063F5" w:rsidRDefault="00E063F5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14:paraId="0026EFD0" w14:textId="61295A16" w:rsidR="001E7455" w:rsidRPr="00402A89" w:rsidRDefault="00402A8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Dopłaty do czynsz</w:t>
            </w:r>
            <w:r w:rsidR="00E063F5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u</w:t>
            </w:r>
          </w:p>
          <w:p w14:paraId="70CAA7B3" w14:textId="77777777" w:rsidR="001E7455" w:rsidRDefault="001E7455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Fundusz Dopłat ulokowany w Banku Gospodarstwa Krajowego, w ramach środków przeznaczonych na realizację programu dopłat do czynszu („Mieszkanie na Start”), określonych w rozdziale 6 </w:t>
            </w:r>
            <w:r w:rsidRPr="006E43A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ustawy z dnia 20 lipca 2018 r. o pomocy państwa 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br/>
            </w:r>
            <w:r w:rsidRPr="006E43A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w ponoszeniu wydatków mieszkaniowych w pierwszych latach najmu mieszkania</w:t>
            </w:r>
            <w:r w:rsidRPr="00D2098D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14:paraId="29906427" w14:textId="77777777" w:rsidR="00D32DEC" w:rsidRDefault="00D32DEC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35EE5A4" w14:textId="77777777" w:rsidR="00402A89" w:rsidRPr="00402A89" w:rsidRDefault="00402A8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Dofinansowanie infrastruktury</w:t>
            </w:r>
          </w:p>
          <w:p w14:paraId="0A9C8445" w14:textId="77777777" w:rsidR="001E7455" w:rsidRDefault="003F3AF2" w:rsidP="00B37C80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Fundusz Dopłat </w:t>
            </w:r>
            <w:r w:rsidRPr="003F3AF2">
              <w:rPr>
                <w:rFonts w:ascii="Times New Roman" w:hAnsi="Times New Roman"/>
                <w:color w:val="000000"/>
                <w:sz w:val="21"/>
                <w:szCs w:val="21"/>
              </w:rPr>
              <w:t>ulokowany w Banku Gospodarstwa Krajowego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w ramach środków przeznaczonych na wsparcie samorządów gminnych określonych w </w:t>
            </w:r>
            <w:r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ustawie </w:t>
            </w:r>
            <w:r w:rsidR="00402A89"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z dnia </w:t>
            </w:r>
            <w:r w:rsidR="0019408B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br/>
            </w:r>
            <w:r w:rsidR="00402A89"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8 grudnia 2006 r. o finansowym wsparciu tworzenia lokali mieszkalnych na wynajem, mieszkań chronionych, noclegowni, schronisk dla bezdomnych, ogrzewalni </w:t>
            </w:r>
            <w:r w:rsid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br/>
            </w:r>
            <w:r w:rsidR="00402A89"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i tymczasowych pomieszczeń</w:t>
            </w:r>
            <w:r w:rsidR="0019408B">
              <w:rPr>
                <w:rFonts w:ascii="Times New Roman" w:hAnsi="Times New Roman"/>
                <w:iCs/>
                <w:color w:val="000000"/>
                <w:sz w:val="21"/>
                <w:szCs w:val="21"/>
              </w:rPr>
              <w:t xml:space="preserve"> (Dz. U. z 2020 r. poz. </w:t>
            </w:r>
            <w:r w:rsidR="00092D8C">
              <w:rPr>
                <w:rFonts w:ascii="Times New Roman" w:hAnsi="Times New Roman"/>
                <w:iCs/>
                <w:color w:val="000000"/>
                <w:sz w:val="21"/>
                <w:szCs w:val="21"/>
              </w:rPr>
              <w:t>508)</w:t>
            </w:r>
            <w:r w:rsid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.</w:t>
            </w:r>
          </w:p>
          <w:p w14:paraId="318B0DAE" w14:textId="77777777" w:rsidR="00D32DEC" w:rsidRPr="00B37C80" w:rsidRDefault="00D32DEC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E7455" w:rsidRPr="008B4FE6" w14:paraId="6CE03C64" w14:textId="77777777" w:rsidTr="005B5311">
        <w:trPr>
          <w:trHeight w:val="1266"/>
        </w:trPr>
        <w:tc>
          <w:tcPr>
            <w:tcW w:w="3403" w:type="dxa"/>
            <w:gridSpan w:val="2"/>
            <w:shd w:val="clear" w:color="auto" w:fill="FFFFFF"/>
          </w:tcPr>
          <w:p w14:paraId="7E2794EC" w14:textId="77777777" w:rsidR="001E7455" w:rsidRPr="00C53F26" w:rsidRDefault="001E7455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7473" w:type="dxa"/>
            <w:gridSpan w:val="26"/>
            <w:shd w:val="clear" w:color="auto" w:fill="FFFFFF"/>
          </w:tcPr>
          <w:p w14:paraId="4F891546" w14:textId="77777777" w:rsidR="00092D8C" w:rsidRDefault="00092D8C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14:paraId="5901FBDD" w14:textId="2B1B2A06" w:rsidR="001E7455" w:rsidRPr="00402A89" w:rsidRDefault="00402A89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Dopłaty do czynsz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u</w:t>
            </w:r>
          </w:p>
          <w:p w14:paraId="3C283A88" w14:textId="67022AA1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Przedstawione obliczenia powstały przy założeniu, że pierwsze mieszkania budowane w systemie zaproponowanym w projektowanej ustawie powstaną w 2023 r. (ze względu na ok. 2-</w:t>
            </w:r>
            <w:r w:rsidR="00952C6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letni cykl budowy budynków wielorodzinnych oraz dodatkowo poprzedzający okres uzgodnień formalnych). Zakłada się, że gminy uzyskają ok. 10% budowanych mieszkań, zaś ich liczba będzie wynosić:</w:t>
            </w:r>
          </w:p>
          <w:p w14:paraId="6E5A46CD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 r. – 1000 (z czego 100 dla gmin),</w:t>
            </w:r>
          </w:p>
          <w:p w14:paraId="185B06AF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 r. – 2000 ( z czego 200 dla gmin),</w:t>
            </w:r>
          </w:p>
          <w:p w14:paraId="771C23BD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od 2025 r. – 3000 rocznie (z czego 300 rocznie dla gmin).</w:t>
            </w:r>
          </w:p>
          <w:p w14:paraId="0D940465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2795E8D" w14:textId="77777777" w:rsidR="001E7455" w:rsidRDefault="001E7455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Dodatkowo zakłada się, że wszystkie mieszkania uzyskane przez gminę będą objęte dopłatami do czynszu w ramach programu „Mieszkanie na Start”. Dotychczasowe doświadczenia z realizacją programu nie pozwalają na wyciągnięcie statystycznie istotnych wniosków. Natomiast widoczne jest, że mieszkania mają przeciętnie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ok. 40-50 m</w:t>
            </w:r>
            <w:r w:rsidRPr="00B5705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zamieszkują w nich małżeństwa wychowujące najczęściej 1 lub 2 dzieci. Zakładając przeciętne dofinansowanie dla rodziny 2+2 lub 2+2 zamieszkującej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w mieszkaniu o powierzchni ok. 50 m</w:t>
            </w:r>
            <w:r w:rsidRPr="00B5705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koszcie budowy mieszkania wynoszącym ok. 5 tys. zł/m</w:t>
            </w:r>
            <w:r w:rsidRPr="00B5705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przeciętne miesięczne dofinansowanie do czynszu wyniesie ok. 375 zł. </w:t>
            </w:r>
          </w:p>
          <w:p w14:paraId="052D021F" w14:textId="77777777" w:rsidR="00402A89" w:rsidRDefault="00402A89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AB709E6" w14:textId="77777777" w:rsidR="00402A89" w:rsidRPr="00402A89" w:rsidRDefault="00402A89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Dofinansowanie infrastruktury</w:t>
            </w:r>
          </w:p>
          <w:p w14:paraId="4B039496" w14:textId="5E63DDFC" w:rsidR="00402A89" w:rsidRDefault="00402A89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Założono, że dofinansowanie obejmie rocznie</w:t>
            </w:r>
            <w:r w:rsidR="00EE2F2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(od 2021 r.)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14:paraId="6368197E" w14:textId="77777777" w:rsidR="00402A89" w:rsidRPr="005E6F31" w:rsidRDefault="00402A89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inwestycji realizowanych w ramach programu budownictwa społecznego (szacunek Banku Gospodarstwa Krajowego), </w:t>
            </w:r>
          </w:p>
          <w:p w14:paraId="2BA6D496" w14:textId="77777777" w:rsidR="00402A89" w:rsidRPr="005E6F31" w:rsidRDefault="00402A89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>25 inwestycji realizowanych w ramach programu wsparcia budownictwa dla najuboższych (szacunek Banku Gospodarstwa Krajowego),</w:t>
            </w:r>
          </w:p>
          <w:p w14:paraId="3A3641DA" w14:textId="7C395149" w:rsidR="00402A89" w:rsidRDefault="00402A89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>10 inwestycji w 2023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>, 20 inwestycji w 2024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30 inwestycji rocznie od 2025 r. w przypadku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wprowadzanego projektowaną ustawą 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programu „Grunt za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>M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ieszkanie”, przy założeniu, że przeciętna inwestycja obejmie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 mieszkań, zaś gmina skorzysta z dofinansowania kosztów </w:t>
            </w:r>
            <w:r w:rsidR="00023552"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infrastruktury w </w:t>
            </w:r>
            <w:r w:rsid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przypadku 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50% inwestycji,</w:t>
            </w:r>
          </w:p>
          <w:p w14:paraId="3DF04765" w14:textId="32CA2EB9" w:rsidR="00313CE1" w:rsidRPr="00A31614" w:rsidRDefault="002A4A9E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inwestycji w 2021 r., 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15 inwestycji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rocznie w latach 2022-2023,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rocznie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inwestycji od 2024 r. w przypadku programu dopłat do czynsz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</w:rPr>
              <w:t>u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„Mieszkanie na 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tart”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t xml:space="preserve"> </w:t>
            </w:r>
            <w:r w:rsidRPr="002A4A9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przy założeniu, że przeciętna inwestycja obejmie </w:t>
            </w:r>
            <w:r w:rsidR="00A31614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A31614">
              <w:rPr>
                <w:rFonts w:ascii="Times New Roman" w:hAnsi="Times New Roman"/>
                <w:color w:val="000000"/>
                <w:sz w:val="21"/>
                <w:szCs w:val="21"/>
              </w:rPr>
              <w:t>50 mieszkań, zaś gmina skorzysta z dofinansowania kosztów infrastruk</w:t>
            </w:r>
            <w:r w:rsidR="00A31614">
              <w:rPr>
                <w:rFonts w:ascii="Times New Roman" w:hAnsi="Times New Roman"/>
                <w:color w:val="000000"/>
                <w:sz w:val="21"/>
                <w:szCs w:val="21"/>
              </w:rPr>
              <w:t>tury w przypadku 50% inwestycji.</w:t>
            </w:r>
          </w:p>
          <w:p w14:paraId="4E892D59" w14:textId="77777777" w:rsidR="00023552" w:rsidRDefault="00023552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AE0606E" w14:textId="7B0434B6" w:rsidR="00092D8C" w:rsidRPr="00C53F26" w:rsidRDefault="00023552" w:rsidP="000235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Zgodnie z analizami BGK, opartymi na doświadczeniach z realizacją poprzedniego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programu wsparcia infrastruktury technicznej towarzyszącej budownictwu mieszkaniowemu (preferencyjne kredyt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udzielane do 2009 r.), </w:t>
            </w:r>
            <w:r w:rsid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przyjęto, że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przeciętny koszt inwestycji </w:t>
            </w:r>
            <w:r w:rsidR="005E6F31">
              <w:rPr>
                <w:rFonts w:ascii="Times New Roman" w:hAnsi="Times New Roman"/>
                <w:color w:val="000000"/>
                <w:sz w:val="21"/>
                <w:szCs w:val="21"/>
              </w:rPr>
              <w:t>wyniesie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3 mln zł, więc przeciętne dofin</w:t>
            </w:r>
            <w:r w:rsidR="00F86EA5">
              <w:rPr>
                <w:rFonts w:ascii="Times New Roman" w:hAnsi="Times New Roman"/>
                <w:color w:val="000000"/>
                <w:sz w:val="21"/>
                <w:szCs w:val="21"/>
              </w:rPr>
              <w:t>ansowanie wyniesie 300 tys. zł.</w:t>
            </w:r>
          </w:p>
        </w:tc>
      </w:tr>
      <w:tr w:rsidR="001E7455" w:rsidRPr="008B4FE6" w14:paraId="66BE8A5B" w14:textId="77777777" w:rsidTr="006E43A6">
        <w:trPr>
          <w:trHeight w:val="345"/>
        </w:trPr>
        <w:tc>
          <w:tcPr>
            <w:tcW w:w="10876" w:type="dxa"/>
            <w:gridSpan w:val="28"/>
            <w:shd w:val="clear" w:color="auto" w:fill="99CCFF"/>
          </w:tcPr>
          <w:p w14:paraId="7179BFC3" w14:textId="45EFBA7E" w:rsidR="001E7455" w:rsidRPr="008B4FE6" w:rsidRDefault="001E7455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1E7455" w:rsidRPr="008B4FE6" w14:paraId="34FF7230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36CEC244" w14:textId="77777777" w:rsidR="001E7455" w:rsidRPr="00301959" w:rsidRDefault="001E7455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1E7455" w:rsidRPr="008B4FE6" w14:paraId="0172E413" w14:textId="77777777" w:rsidTr="004926AA">
        <w:trPr>
          <w:trHeight w:val="142"/>
        </w:trPr>
        <w:tc>
          <w:tcPr>
            <w:tcW w:w="4914" w:type="dxa"/>
            <w:gridSpan w:val="8"/>
            <w:shd w:val="clear" w:color="auto" w:fill="FFFFFF"/>
          </w:tcPr>
          <w:p w14:paraId="46CC59DA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289FE5CD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193FA8A4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3A3553C6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2ADBB59D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49D303FA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3F4C73A6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72FD7B5F" w14:textId="77777777" w:rsidR="001E7455" w:rsidRPr="004926AA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4926AA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Łącznie</w:t>
            </w:r>
            <w:r w:rsidRPr="004926AA" w:rsidDel="0073273A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  <w:r w:rsidRPr="004926AA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(0-10)</w:t>
            </w:r>
          </w:p>
        </w:tc>
      </w:tr>
      <w:tr w:rsidR="001E7455" w:rsidRPr="008B4FE6" w14:paraId="4F89ECA6" w14:textId="77777777" w:rsidTr="00C326BC">
        <w:trPr>
          <w:trHeight w:val="142"/>
        </w:trPr>
        <w:tc>
          <w:tcPr>
            <w:tcW w:w="3261" w:type="dxa"/>
            <w:vMerge w:val="restart"/>
            <w:shd w:val="clear" w:color="auto" w:fill="FFFFFF"/>
          </w:tcPr>
          <w:p w14:paraId="2FA46A6B" w14:textId="77777777" w:rsidR="001E7455" w:rsidRDefault="001E7455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51936995" w14:textId="77777777" w:rsidR="001E7455" w:rsidRDefault="001E7455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(w mln zł)</w:t>
            </w:r>
          </w:p>
          <w:p w14:paraId="1F464EE3" w14:textId="77777777" w:rsidR="001E7455" w:rsidRPr="00301959" w:rsidRDefault="001E7455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674D1CD9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1458AE7D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292ABC5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678821A8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6C8011E1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083ADB81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5503939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0541FCBF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1E7455" w:rsidRPr="008B4FE6" w14:paraId="1BFFE0B1" w14:textId="77777777" w:rsidTr="00C326BC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79487E28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6D1CCD46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04FBE34E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E4BD7F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4EA8F426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42AB325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3CB719F5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576BAA7D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5878591F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1E7455" w:rsidRPr="008B4FE6" w14:paraId="2B508D9B" w14:textId="77777777" w:rsidTr="00C326BC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425BA564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50E4C4EB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7363522B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45443EA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6FBE516E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7346D89A" w14:textId="1DFD85BE" w:rsidR="001E7455" w:rsidRPr="00377933" w:rsidRDefault="00F86EA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7FF07EA8" w14:textId="20783A59" w:rsidR="001E7455" w:rsidRPr="00377933" w:rsidRDefault="00AE3742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837F6D4" w14:textId="31380196" w:rsidR="001E7455" w:rsidRPr="00377933" w:rsidRDefault="00327396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26051057" w14:textId="4CA1A425" w:rsidR="001E7455" w:rsidRPr="00377933" w:rsidRDefault="00327396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38,5</w:t>
            </w:r>
          </w:p>
        </w:tc>
      </w:tr>
      <w:tr w:rsidR="00B766AD" w:rsidRPr="008B4FE6" w14:paraId="2C1F10AF" w14:textId="77777777" w:rsidTr="00377933">
        <w:trPr>
          <w:trHeight w:val="142"/>
        </w:trPr>
        <w:tc>
          <w:tcPr>
            <w:tcW w:w="3261" w:type="dxa"/>
            <w:vMerge w:val="restart"/>
            <w:shd w:val="clear" w:color="auto" w:fill="FFFFFF"/>
          </w:tcPr>
          <w:p w14:paraId="7A96BCA0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1653" w:type="dxa"/>
            <w:gridSpan w:val="7"/>
            <w:shd w:val="clear" w:color="auto" w:fill="FFFFFF"/>
          </w:tcPr>
          <w:p w14:paraId="03CF4FD9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5962" w:type="dxa"/>
            <w:gridSpan w:val="20"/>
            <w:shd w:val="clear" w:color="auto" w:fill="FFFFFF"/>
            <w:vAlign w:val="center"/>
          </w:tcPr>
          <w:p w14:paraId="4336E5EA" w14:textId="77777777" w:rsidR="00B766AD" w:rsidRPr="00B37C80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B766AD" w:rsidRPr="008B4FE6" w14:paraId="0226396D" w14:textId="77777777" w:rsidTr="00C326BC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3ECFD8C6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46BBFD8B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5962" w:type="dxa"/>
            <w:gridSpan w:val="20"/>
            <w:shd w:val="clear" w:color="auto" w:fill="FFFFFF"/>
          </w:tcPr>
          <w:p w14:paraId="34FAA0A1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719527D6" w14:textId="384AA728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Ze względu na wykonywanie prac budowlano-montażowych realizowanych w ramach inwestycji mieszkaniowej </w:t>
            </w:r>
            <w:r w:rsidR="00AA0180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oraz towarzyszącej infrastruktury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głównie przez sektor małych i średnich przedsiębiorstw, mogą być one beneficjentem zwiększonego wolumenu zamówień ze względu na powstanie nowych mieszkań na nieruchomościach udostępnianych na zasadach prz</w:t>
            </w:r>
            <w:r w:rsidR="00E625F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ewidzianych </w:t>
            </w:r>
            <w:r w:rsidR="00790C22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E625F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 projekcie ustawy.</w:t>
            </w:r>
          </w:p>
        </w:tc>
      </w:tr>
      <w:tr w:rsidR="00B766AD" w:rsidRPr="008B4FE6" w14:paraId="508282DE" w14:textId="77777777" w:rsidTr="00C326BC">
        <w:trPr>
          <w:trHeight w:val="596"/>
        </w:trPr>
        <w:tc>
          <w:tcPr>
            <w:tcW w:w="3261" w:type="dxa"/>
            <w:vMerge/>
            <w:shd w:val="clear" w:color="auto" w:fill="FFFFFF"/>
          </w:tcPr>
          <w:p w14:paraId="0F75C7AB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3479A006" w14:textId="77777777" w:rsidR="00B766AD" w:rsidRDefault="00B766AD" w:rsidP="00B766A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osoby starsze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i osoby niepełnosprawne</w:t>
            </w:r>
          </w:p>
        </w:tc>
        <w:tc>
          <w:tcPr>
            <w:tcW w:w="5962" w:type="dxa"/>
            <w:gridSpan w:val="20"/>
            <w:shd w:val="clear" w:color="auto" w:fill="FFFFFF"/>
          </w:tcPr>
          <w:p w14:paraId="38FCD9CD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573C5C39" w14:textId="63182259" w:rsidR="00B766AD" w:rsidRDefault="00B529F2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Projektowana u</w:t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stawa przewiduje, że nabór do mieszkań wybudowanych w ramach ustawy i przekazanych do dyspozycji gminy będzie się odbywał na podstawie katalogu określonego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 </w:t>
            </w:r>
            <w:r w:rsidR="00B766AD">
              <w:rPr>
                <w:rFonts w:ascii="Times New Roman" w:hAnsi="Times New Roman"/>
                <w:i/>
                <w:iCs/>
                <w:color w:val="000000"/>
                <w:spacing w:val="-2"/>
                <w:sz w:val="21"/>
                <w:szCs w:val="21"/>
              </w:rPr>
              <w:t>ustawie</w:t>
            </w:r>
            <w:r w:rsidR="00B766AD" w:rsidRPr="004B194F">
              <w:rPr>
                <w:rFonts w:ascii="Times New Roman" w:hAnsi="Times New Roman"/>
                <w:i/>
                <w:iCs/>
                <w:color w:val="000000"/>
                <w:spacing w:val="-2"/>
                <w:sz w:val="21"/>
                <w:szCs w:val="21"/>
              </w:rPr>
              <w:t xml:space="preserve"> z dnia 20 lipca 2018 r. o pomocy państwa w ponoszeniu wydatków mieszkaniowych w pierwszych latach najmu mieszkania</w:t>
            </w:r>
            <w:r w:rsidR="00B766AD" w:rsidRPr="004B19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Wśród kryteriów do wyboru określających pierwszeństwo najmu dla danej kategorii osób znajdują się m.in.: osoby w wieku pow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yżej</w:t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="004D3A9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65 lat oraz osoby niepełnosprawne.</w:t>
            </w:r>
          </w:p>
          <w:p w14:paraId="2BE3704B" w14:textId="77777777" w:rsidR="00C174BF" w:rsidRDefault="00C174BF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1EC17EE9" w14:textId="12005556" w:rsidR="00B529F2" w:rsidRDefault="00C174BF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</w:t>
            </w:r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achęty dla gmin do angażowania się w działania służące realizacji polityki mieszkaniowej państwa, przewidujące preferencje przy łączeniu działalności promieszkaniowej z innymi formami działania przez gminy na rzecz lokalnej wspólnoty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, mogą </w:t>
            </w:r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stanowić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dodatkowe narzędzie przyczyniające się do</w:t>
            </w:r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polepszania sytuacji osób niepełnosprawnych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  <w:p w14:paraId="41AACCE0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766AD" w:rsidRPr="008B4FE6" w14:paraId="474E63A8" w14:textId="77777777" w:rsidTr="00C326BC">
        <w:trPr>
          <w:trHeight w:val="596"/>
        </w:trPr>
        <w:tc>
          <w:tcPr>
            <w:tcW w:w="3261" w:type="dxa"/>
            <w:vMerge/>
            <w:shd w:val="clear" w:color="auto" w:fill="FFFFFF"/>
          </w:tcPr>
          <w:p w14:paraId="39E36227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63395466" w14:textId="77777777" w:rsidR="00B766AD" w:rsidRPr="00301959" w:rsidRDefault="00B766AD" w:rsidP="00B766A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62" w:type="dxa"/>
            <w:gridSpan w:val="20"/>
            <w:shd w:val="clear" w:color="auto" w:fill="FFFFFF"/>
          </w:tcPr>
          <w:p w14:paraId="2967ABEA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093B0834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Gospodarstwa domowe, poza samym faktem uzyskania mieszkania na wynajem, w tym z opcją docelowego nabycia pełnej własności, będą beneficjentem dopłat do czynszu przyznawanych w ramach programu „Mieszkanie na Start”.</w:t>
            </w:r>
          </w:p>
          <w:p w14:paraId="38B65E5A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766AD" w:rsidRPr="008B4FE6" w14:paraId="008BCB0B" w14:textId="77777777" w:rsidTr="001E3132">
        <w:trPr>
          <w:trHeight w:val="142"/>
        </w:trPr>
        <w:tc>
          <w:tcPr>
            <w:tcW w:w="3261" w:type="dxa"/>
            <w:vMerge w:val="restart"/>
            <w:shd w:val="clear" w:color="auto" w:fill="FFFFFF"/>
          </w:tcPr>
          <w:p w14:paraId="25521061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1653" w:type="dxa"/>
            <w:gridSpan w:val="7"/>
            <w:shd w:val="clear" w:color="auto" w:fill="FFFFFF"/>
          </w:tcPr>
          <w:p w14:paraId="584B25BD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62" w:type="dxa"/>
            <w:gridSpan w:val="20"/>
            <w:shd w:val="clear" w:color="auto" w:fill="FFFFFF"/>
            <w:vAlign w:val="center"/>
          </w:tcPr>
          <w:p w14:paraId="55F3AEF5" w14:textId="77777777" w:rsidR="00B766AD" w:rsidRPr="00B37C80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B766AD" w:rsidRPr="008B4FE6" w14:paraId="4B5AE5DA" w14:textId="77777777" w:rsidTr="001E3132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0DF916E7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27F04E59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62" w:type="dxa"/>
            <w:gridSpan w:val="20"/>
            <w:shd w:val="clear" w:color="auto" w:fill="FFFFFF"/>
            <w:vAlign w:val="center"/>
          </w:tcPr>
          <w:p w14:paraId="48FA74AD" w14:textId="77777777" w:rsidR="00B766AD" w:rsidRPr="00B37C80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B766AD" w:rsidRPr="008B4FE6" w14:paraId="4C53740D" w14:textId="77777777" w:rsidTr="001E3132">
        <w:trPr>
          <w:trHeight w:val="758"/>
        </w:trPr>
        <w:tc>
          <w:tcPr>
            <w:tcW w:w="3261" w:type="dxa"/>
            <w:shd w:val="clear" w:color="auto" w:fill="FFFFFF"/>
          </w:tcPr>
          <w:p w14:paraId="7930CBFC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7615" w:type="dxa"/>
            <w:gridSpan w:val="27"/>
            <w:shd w:val="clear" w:color="auto" w:fill="FFFFFF"/>
            <w:vAlign w:val="center"/>
          </w:tcPr>
          <w:p w14:paraId="600E830C" w14:textId="77777777" w:rsidR="00B766AD" w:rsidRPr="00301959" w:rsidRDefault="00B766AD" w:rsidP="00C4193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7C650FB" w14:textId="0581AD18" w:rsidR="00B766AD" w:rsidRPr="00301959" w:rsidRDefault="00952C6D" w:rsidP="00C4193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2C6D">
              <w:rPr>
                <w:rFonts w:ascii="Times New Roman" w:hAnsi="Times New Roman"/>
                <w:color w:val="000000"/>
                <w:sz w:val="21"/>
                <w:szCs w:val="21"/>
              </w:rPr>
              <w:t>Obliczenia przedstawione w tabeli bazują na założeniach opisanych w pkt 6 OSR, związanych z dopłatami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do czynsz</w:t>
            </w:r>
            <w:r w:rsidR="00C41935">
              <w:rPr>
                <w:rFonts w:ascii="Times New Roman" w:hAnsi="Times New Roman"/>
                <w:color w:val="000000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oraz dofinansowaniem infrastruktury towarzyszącej budownictwu mieszkaniowemu. </w:t>
            </w:r>
          </w:p>
          <w:p w14:paraId="7E1D7D0E" w14:textId="77777777" w:rsidR="00B766AD" w:rsidRPr="00301959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766AD" w:rsidRPr="008B4FE6" w14:paraId="398CC39F" w14:textId="77777777" w:rsidTr="006E43A6">
        <w:trPr>
          <w:trHeight w:val="342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3897FB34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B766AD" w:rsidRPr="008B4FE6" w14:paraId="0019EB36" w14:textId="77777777" w:rsidTr="006E43A6">
        <w:trPr>
          <w:trHeight w:val="151"/>
        </w:trPr>
        <w:tc>
          <w:tcPr>
            <w:tcW w:w="10876" w:type="dxa"/>
            <w:gridSpan w:val="28"/>
            <w:shd w:val="clear" w:color="auto" w:fill="FFFFFF"/>
          </w:tcPr>
          <w:p w14:paraId="68397A69" w14:textId="1BF3B6A8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</w:sdtPr>
              <w:sdtEndPr>
                <w:rPr>
                  <w:rFonts w:ascii="MS Gothic" w:eastAsia="MS Gothic" w:hAnsi="MS Gothic"/>
                  <w:spacing w:val="0"/>
                </w:rPr>
              </w:sdtEndPr>
              <w:sdtContent/>
            </w:sdt>
            <w:sdt>
              <w:sdtPr>
                <w:rPr>
                  <w:rFonts w:ascii="MS Gothic" w:eastAsia="MS Gothic" w:hAnsi="MS Gothic"/>
                  <w:color w:val="000000"/>
                </w:rPr>
                <w:id w:val="-1354100323"/>
              </w:sdtPr>
              <w:sdtEndPr/>
              <w:sdtContent>
                <w:r w:rsidR="002D0ED6" w:rsidRPr="00E625FD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2D0ED6" w:rsidRPr="001A5FD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B766AD" w:rsidRPr="008B4FE6" w14:paraId="10C6222A" w14:textId="77777777" w:rsidTr="006E43A6">
        <w:trPr>
          <w:trHeight w:val="946"/>
        </w:trPr>
        <w:tc>
          <w:tcPr>
            <w:tcW w:w="5731" w:type="dxa"/>
            <w:gridSpan w:val="11"/>
            <w:shd w:val="clear" w:color="auto" w:fill="FFFFFF"/>
          </w:tcPr>
          <w:p w14:paraId="7D611AA7" w14:textId="77777777" w:rsidR="00B766AD" w:rsidRDefault="00B766AD" w:rsidP="00B766AD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145" w:type="dxa"/>
            <w:gridSpan w:val="17"/>
            <w:shd w:val="clear" w:color="auto" w:fill="FFFFFF"/>
          </w:tcPr>
          <w:p w14:paraId="11488709" w14:textId="0E56EAC4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374233404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720555977"/>
                  </w:sdtPr>
                  <w:sdtEndPr/>
                  <w:sdtContent>
                    <w:r w:rsidR="002D0ED6">
                      <w:rPr>
                        <w:rFonts w:ascii="MS Gothic" w:eastAsia="MS Gothic" w:hAnsi="MS Gothic" w:hint="eastAsia"/>
                        <w:color w:val="000000"/>
                        <w:spacing w:val="-2"/>
                      </w:rPr>
                      <w:t>☐</w:t>
                    </w:r>
                  </w:sdtContent>
                </w:sdt>
              </w:sdtContent>
            </w:sdt>
            <w:r w:rsidR="00E625FD" w:rsidRPr="00E625FD">
              <w:rPr>
                <w:rFonts w:ascii="MS Gothic" w:eastAsia="MS Gothic" w:hAnsi="MS Gothic"/>
                <w:color w:val="000000"/>
              </w:rPr>
              <w:t xml:space="preserve"> </w:t>
            </w:r>
            <w:r w:rsidR="00B766AD">
              <w:rPr>
                <w:rFonts w:ascii="Times New Roman" w:hAnsi="Times New Roman"/>
                <w:color w:val="000000"/>
              </w:rPr>
              <w:t>tak</w:t>
            </w:r>
          </w:p>
          <w:p w14:paraId="26712A08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E662C80" w14:textId="0D04795A" w:rsidR="00B766AD" w:rsidRDefault="00BD368C" w:rsidP="00B766AD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</w:sdtPr>
              <w:sdtEndPr>
                <w:rPr>
                  <w:rFonts w:ascii="MS Gothic" w:eastAsia="MS Gothic" w:hAnsi="MS Gothic"/>
                </w:rPr>
              </w:sdtEndPr>
              <w:sdtContent>
                <w:sdt>
                  <w:sdtPr>
                    <w:rPr>
                      <w:rFonts w:ascii="MS Gothic" w:eastAsia="MS Gothic" w:hAnsi="MS Gothic"/>
                      <w:color w:val="000000"/>
                    </w:rPr>
                    <w:id w:val="-689451453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MS Gothic" w:eastAsia="MS Gothic" w:hAnsi="MS Gothic"/>
                  <w:color w:val="000000"/>
                </w:rPr>
                <w:id w:val="-2141869323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</w:rPr>
                    <w:id w:val="771367661"/>
                  </w:sdtPr>
                  <w:sdtEndPr/>
                  <w:sdtContent>
                    <w:r w:rsidR="00FB6C6F">
                      <w:rPr>
                        <w:rFonts w:ascii="MS Gothic" w:eastAsia="MS Gothic" w:hAnsi="MS Gothic" w:hint="eastAsia"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2D0ED6">
              <w:rPr>
                <w:rFonts w:ascii="Times New Roman" w:hAnsi="Times New Roman"/>
                <w:color w:val="000000"/>
              </w:rPr>
              <w:t xml:space="preserve"> </w:t>
            </w:r>
            <w:r w:rsidR="00B766AD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B766AD" w:rsidRPr="008B4FE6" w14:paraId="6A7607F6" w14:textId="77777777" w:rsidTr="006E43A6">
        <w:trPr>
          <w:trHeight w:val="1245"/>
        </w:trPr>
        <w:tc>
          <w:tcPr>
            <w:tcW w:w="5731" w:type="dxa"/>
            <w:gridSpan w:val="11"/>
            <w:shd w:val="clear" w:color="auto" w:fill="FFFFFF"/>
          </w:tcPr>
          <w:p w14:paraId="1C195BCF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13E3D0AB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5C8FA01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2BAF96" w14:textId="77777777" w:rsidR="00B766AD" w:rsidRPr="008B4FE6" w:rsidRDefault="00BD368C" w:rsidP="00B766AD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B766AD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B766AD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145" w:type="dxa"/>
            <w:gridSpan w:val="17"/>
            <w:shd w:val="clear" w:color="auto" w:fill="FFFFFF"/>
          </w:tcPr>
          <w:p w14:paraId="68FBE24F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225E238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226438F1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9E92AAC" w14:textId="4E65CC73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</w:sdtPr>
              <w:sdtEndPr/>
              <w:sdtContent/>
            </w:sdt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011166892"/>
              </w:sdtPr>
              <w:sdtEndPr/>
              <w:sdtContent>
                <w:r w:rsidR="002D0ED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2D0ED6" w:rsidRPr="008B4FE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B766AD"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1170060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66AD" w:rsidRPr="008B4FE6" w14:paraId="7ED6F0D5" w14:textId="77777777" w:rsidTr="006E43A6">
        <w:trPr>
          <w:trHeight w:val="870"/>
        </w:trPr>
        <w:tc>
          <w:tcPr>
            <w:tcW w:w="5731" w:type="dxa"/>
            <w:gridSpan w:val="11"/>
            <w:shd w:val="clear" w:color="auto" w:fill="FFFFFF"/>
          </w:tcPr>
          <w:p w14:paraId="4D1C6533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145" w:type="dxa"/>
            <w:gridSpan w:val="17"/>
            <w:shd w:val="clear" w:color="auto" w:fill="FFFFFF"/>
          </w:tcPr>
          <w:p w14:paraId="55632BFE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89BA0A4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56E8699" w14:textId="2F4C050E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563756739"/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color w:val="000000"/>
                        </w:rPr>
                        <w:id w:val="1282066080"/>
                      </w:sdtPr>
                      <w:sdtEndPr/>
                      <w:sdtContent>
                        <w:r w:rsidR="00FB6C6F">
                          <w:rPr>
                            <w:rFonts w:ascii="MS Gothic" w:eastAsia="MS Gothic" w:hAnsi="MS Gothic" w:hint="eastAsia"/>
                            <w:color w:val="00000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5C2E7F4F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66AD" w:rsidRPr="008B4FE6" w14:paraId="7A2F418C" w14:textId="77777777" w:rsidTr="007C0A3B">
        <w:trPr>
          <w:trHeight w:val="554"/>
        </w:trPr>
        <w:tc>
          <w:tcPr>
            <w:tcW w:w="10876" w:type="dxa"/>
            <w:gridSpan w:val="28"/>
            <w:shd w:val="clear" w:color="auto" w:fill="FFFFFF"/>
          </w:tcPr>
          <w:p w14:paraId="16E2143E" w14:textId="47072A67" w:rsidR="00921C14" w:rsidRPr="008B4FE6" w:rsidRDefault="000F0AC5" w:rsidP="00921C1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0AC5">
              <w:rPr>
                <w:rFonts w:ascii="Times New Roman" w:hAnsi="Times New Roman"/>
                <w:color w:val="000000"/>
              </w:rPr>
              <w:t>Komentarz: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B766AD" w:rsidRPr="008B4FE6" w14:paraId="5102E387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01F28C74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B766AD" w:rsidRPr="008B4FE6" w14:paraId="2604F5D4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auto"/>
          </w:tcPr>
          <w:p w14:paraId="76DFA462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A0DD7EB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Ze względu na potencjalne wygenerowanie nowych inwestycji mieszkaniowych na nieruchomościach udostępnianych na zasadach opisanych w projekcie ustawy, możliwy jest pozytywny wpływ na rynek pracy. Z jednej strony pozytywny wpływ obejmie zatrudnienie w sektorze budownictwa (w firmach realizujących nowe inwestycje mieszkaniowe oraz inwestycje infrastrukturalne), z drugiej strony zwiększenie zasobu mieszkań na wynajem pozytywnie wpłynie na możliwości migracji w celu poszukiwania pracy. </w:t>
            </w:r>
          </w:p>
          <w:p w14:paraId="5CA0F5DD" w14:textId="7ABC04B7" w:rsidR="00995419" w:rsidRPr="008B4FE6" w:rsidRDefault="00995419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766AD" w:rsidRPr="008B4FE6" w14:paraId="666E93CF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275797FD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B766AD" w:rsidRPr="008B4FE6" w14:paraId="69CAD542" w14:textId="77777777" w:rsidTr="006E43A6">
        <w:trPr>
          <w:trHeight w:val="1031"/>
        </w:trPr>
        <w:tc>
          <w:tcPr>
            <w:tcW w:w="4183" w:type="dxa"/>
            <w:gridSpan w:val="5"/>
            <w:shd w:val="clear" w:color="auto" w:fill="FFFFFF"/>
          </w:tcPr>
          <w:p w14:paraId="3B29504E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AFA8D96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91697BF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303966601"/>
                  </w:sdtPr>
                  <w:sdtEndPr/>
                  <w:sdtContent>
                    <w:r w:rsidR="00B766AD">
                      <w:rPr>
                        <w:rFonts w:ascii="MS Gothic" w:eastAsia="MS Gothic" w:hAnsi="MS Gothic" w:hint="eastAsia"/>
                        <w:color w:val="000000"/>
                        <w:spacing w:val="-2"/>
                      </w:rPr>
                      <w:t>☒</w:t>
                    </w:r>
                  </w:sdtContent>
                </w:sdt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32C85593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B766AD">
              <w:rPr>
                <w:rFonts w:ascii="Times New Roman" w:hAnsi="Times New Roman"/>
                <w:color w:val="000000"/>
              </w:rPr>
              <w:t>…</w:t>
            </w:r>
          </w:p>
          <w:p w14:paraId="4A87C46A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819" w:type="dxa"/>
            <w:gridSpan w:val="14"/>
            <w:shd w:val="clear" w:color="auto" w:fill="FFFFFF"/>
          </w:tcPr>
          <w:p w14:paraId="5586F272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50FD462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B538CB1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557746563"/>
                  </w:sdtPr>
                  <w:sdtEndPr/>
                  <w:sdtContent>
                    <w:r w:rsidR="00B766AD">
                      <w:rPr>
                        <w:rFonts w:ascii="MS Gothic" w:eastAsia="MS Gothic" w:hAnsi="MS Gothic" w:hint="eastAsia"/>
                        <w:color w:val="000000"/>
                        <w:spacing w:val="-2"/>
                      </w:rPr>
                      <w:t>☒</w:t>
                    </w:r>
                  </w:sdtContent>
                </w:sdt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2874" w:type="dxa"/>
            <w:gridSpan w:val="9"/>
            <w:shd w:val="clear" w:color="auto" w:fill="FFFFFF"/>
          </w:tcPr>
          <w:p w14:paraId="0F493B05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769E4B2" w14:textId="77777777" w:rsidR="00B766AD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47724C9" w14:textId="77777777" w:rsidR="00B766AD" w:rsidRPr="008B4FE6" w:rsidRDefault="00BD368C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</w:tc>
      </w:tr>
      <w:tr w:rsidR="00B766AD" w:rsidRPr="008B4FE6" w14:paraId="25479358" w14:textId="77777777" w:rsidTr="006E43A6">
        <w:trPr>
          <w:trHeight w:val="712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564458E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7473" w:type="dxa"/>
            <w:gridSpan w:val="26"/>
            <w:shd w:val="clear" w:color="auto" w:fill="FFFFFF"/>
            <w:vAlign w:val="center"/>
          </w:tcPr>
          <w:p w14:paraId="12CD26BD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14:paraId="6353E571" w14:textId="77777777" w:rsidR="00B766AD" w:rsidRPr="0024380C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4380C">
              <w:rPr>
                <w:rFonts w:ascii="Times New Roman" w:hAnsi="Times New Roman"/>
                <w:b/>
                <w:color w:val="000000"/>
                <w:spacing w:val="-2"/>
              </w:rPr>
              <w:t>Sytuacja i rozwój regionalny</w:t>
            </w:r>
          </w:p>
          <w:p w14:paraId="24961684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Zwiększenie przez gminy możliwości zaspokajania potrzeb mieszkaniowych społeczności lokalnych. Poprawa sytuacji terenów rewitalizowanych oraz stanu technicznego budynków zabytkowych. Zwiększenie możliwości realizacji inwestycji społecznych i technicznych towarzyszących budownictwu mieszkaniowemu. </w:t>
            </w:r>
          </w:p>
          <w:p w14:paraId="2CEA8019" w14:textId="77777777" w:rsidR="00B766AD" w:rsidRPr="008B4FE6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B411720" w14:textId="77777777" w:rsidR="00B766AD" w:rsidRPr="0024380C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4380C">
              <w:rPr>
                <w:rFonts w:ascii="Times New Roman" w:hAnsi="Times New Roman"/>
                <w:b/>
                <w:color w:val="000000"/>
                <w:spacing w:val="-2"/>
              </w:rPr>
              <w:t>Mienie państwowe</w:t>
            </w:r>
          </w:p>
          <w:p w14:paraId="4B20EA82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efektywnego wykorzystania gruntów należących do Skarbu Państwa </w:t>
            </w:r>
            <w:r>
              <w:rPr>
                <w:rFonts w:ascii="Times New Roman" w:hAnsi="Times New Roman"/>
                <w:color w:val="000000"/>
                <w:spacing w:val="-2"/>
              </w:rPr>
              <w:br/>
              <w:t xml:space="preserve">(w zasobach Krajowego Zasobu Nieruchomości) na cele mieszkaniowe. </w:t>
            </w:r>
          </w:p>
          <w:p w14:paraId="48D16CCB" w14:textId="77777777" w:rsidR="00B766AD" w:rsidRPr="008B4FE6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766AD" w:rsidRPr="008B4FE6" w14:paraId="19BF11BD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45EC6A84" w14:textId="77777777" w:rsidR="00B766AD" w:rsidRPr="00627221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B766AD" w:rsidRPr="008B4FE6" w14:paraId="363C7480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52183396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057FD69D" w14:textId="08A93D2E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Ustawa wejdzie w życie 1 stycznia 2021 r. Nowe inwestycje mogą być realizowane w ciągu kilku miesięcy, po przeprowadzeniu przez gminy przetargów na zasadach opisanych w projektowanej ustawie. Ze względu na cykl inwestycyjno-budowlany pierwsze wybudowane mieszkania pojawią się ok. 2023 r. W przypadku inwestycji infrastrukturalnych mogą być one realizowane od początku funkcjonowania ustawy, a więc od 2021 r.</w:t>
            </w:r>
          </w:p>
          <w:p w14:paraId="145905B4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B766AD" w:rsidRPr="008B4FE6" w14:paraId="7A8091D8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484E2F7C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B766AD" w:rsidRPr="008B4FE6" w14:paraId="1E19A5F6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3167F797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C9239E3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Przedstawiany projekt realizuje Narodowy Program Mieszkaniowy, w ramach którego określono m.in. następujące cele:</w:t>
            </w:r>
          </w:p>
          <w:p w14:paraId="10C3B819" w14:textId="77777777" w:rsidR="00B766AD" w:rsidRPr="00C84E51" w:rsidRDefault="00B766AD" w:rsidP="00B766AD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D6794">
              <w:rPr>
                <w:rFonts w:ascii="Times New Roman" w:hAnsi="Times New Roman"/>
                <w:color w:val="000000"/>
                <w:spacing w:val="-2"/>
              </w:rPr>
              <w:t>Zwiększenie dostępu do mieszkań dla osób o dochodach uniemożliwiających obecnie nabycie lub wynajęcie mieszkania na zasadach komercyjnych.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t>Docelowo do roku 2030 liczba mieszkań przypadająca na 1 tys. mieszkańców powinna osiągnąć wysokość mieszczącą się w aktualnej średniej Unii Europejskiej. Oz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nacza to wzrost tego wskaźnika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t>z obecnego poziomu 363 do 435 mieszkań na 1000 osób.</w:t>
            </w:r>
          </w:p>
          <w:p w14:paraId="3F7A49A9" w14:textId="77777777" w:rsidR="00B766AD" w:rsidRPr="00C84E51" w:rsidRDefault="00B766AD" w:rsidP="00B766AD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D6794">
              <w:rPr>
                <w:rFonts w:ascii="Times New Roman" w:hAnsi="Times New Roman"/>
                <w:color w:val="000000"/>
                <w:spacing w:val="-2"/>
              </w:rPr>
              <w:t>Zwiększenie możliwości zaspokojenia podstawowych potrzeb mieszkaniowych osób zagrożonych wykluczeniem społecznym ze względu na niskie dochody lub szczególnie trudną sytuację życiową.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t xml:space="preserve">Docelowo do roku 2030 samorządy gminne powinny dysponować możliwościami zaspokojenia potrzeb mieszkaniowych wszystkich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lastRenderedPageBreak/>
              <w:t>gospodarstw domowych oczekujących aktualnie na najem mieszkania od gminy. Według stanu na koniec 2014 r. na najem mieszkania gminnego oczekiwało 165,2 tys. gospodarstw domowych.</w:t>
            </w:r>
          </w:p>
          <w:p w14:paraId="5168A32C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A02B341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Efekty działań podejmowanych w ramach Narodowego Programu Mieszkaniowego są corocznie prezentowane przez Ministra Rozwoju w Sprawozdaniu, które jest przedstawiane Radzie Ministrów do końca I kwartału roku następującego po roku sprawozdawczym. </w:t>
            </w:r>
          </w:p>
          <w:p w14:paraId="3648B377" w14:textId="5F9CB618" w:rsidR="00081A4F" w:rsidRPr="00B37C80" w:rsidRDefault="00081A4F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766AD" w:rsidRPr="008B4FE6" w14:paraId="07BADC85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59009E04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B766AD" w:rsidRPr="008B4FE6" w14:paraId="11310EE0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26AA7E5C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5BE510E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  <w:p w14:paraId="21388AC9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2214504A" w14:textId="77777777" w:rsidR="006176ED" w:rsidRPr="00522D94" w:rsidRDefault="009D0655" w:rsidP="004A6908">
      <w:pPr>
        <w:pStyle w:val="Nagwek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70A3" w14:textId="77777777" w:rsidR="00BD368C" w:rsidRDefault="00BD368C" w:rsidP="00044739">
      <w:pPr>
        <w:spacing w:line="240" w:lineRule="auto"/>
      </w:pPr>
      <w:r>
        <w:separator/>
      </w:r>
    </w:p>
  </w:endnote>
  <w:endnote w:type="continuationSeparator" w:id="0">
    <w:p w14:paraId="5525DDA0" w14:textId="77777777" w:rsidR="00BD368C" w:rsidRDefault="00BD368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65544" w14:textId="77777777" w:rsidR="00BD368C" w:rsidRDefault="00BD368C" w:rsidP="00044739">
      <w:pPr>
        <w:spacing w:line="240" w:lineRule="auto"/>
      </w:pPr>
      <w:r>
        <w:separator/>
      </w:r>
    </w:p>
  </w:footnote>
  <w:footnote w:type="continuationSeparator" w:id="0">
    <w:p w14:paraId="0A605A3C" w14:textId="77777777" w:rsidR="00BD368C" w:rsidRDefault="00BD368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5BD"/>
    <w:multiLevelType w:val="hybridMultilevel"/>
    <w:tmpl w:val="55E6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BA8"/>
    <w:multiLevelType w:val="hybridMultilevel"/>
    <w:tmpl w:val="BF5E0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2DE2"/>
    <w:multiLevelType w:val="hybridMultilevel"/>
    <w:tmpl w:val="5758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4673E"/>
    <w:multiLevelType w:val="hybridMultilevel"/>
    <w:tmpl w:val="1F82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26C6"/>
    <w:multiLevelType w:val="hybridMultilevel"/>
    <w:tmpl w:val="E5209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65317"/>
    <w:multiLevelType w:val="hybridMultilevel"/>
    <w:tmpl w:val="4ADE7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76D3A"/>
    <w:multiLevelType w:val="hybridMultilevel"/>
    <w:tmpl w:val="B1B28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0BEE"/>
    <w:multiLevelType w:val="hybridMultilevel"/>
    <w:tmpl w:val="9228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9216D"/>
    <w:multiLevelType w:val="multilevel"/>
    <w:tmpl w:val="9640B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15C97052"/>
    <w:multiLevelType w:val="hybridMultilevel"/>
    <w:tmpl w:val="D82CA49A"/>
    <w:lvl w:ilvl="0" w:tplc="650E556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17154721"/>
    <w:multiLevelType w:val="hybridMultilevel"/>
    <w:tmpl w:val="04FC9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847FC"/>
    <w:multiLevelType w:val="hybridMultilevel"/>
    <w:tmpl w:val="5FA47EF6"/>
    <w:lvl w:ilvl="0" w:tplc="3806B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7D5D63"/>
    <w:multiLevelType w:val="hybridMultilevel"/>
    <w:tmpl w:val="EAD0C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25B62"/>
    <w:multiLevelType w:val="hybridMultilevel"/>
    <w:tmpl w:val="198A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E6978C9"/>
    <w:multiLevelType w:val="hybridMultilevel"/>
    <w:tmpl w:val="1286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0BDB"/>
    <w:multiLevelType w:val="hybridMultilevel"/>
    <w:tmpl w:val="E7703082"/>
    <w:lvl w:ilvl="0" w:tplc="7E5A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9" w15:restartNumberingAfterBreak="0">
    <w:nsid w:val="509F175C"/>
    <w:multiLevelType w:val="hybridMultilevel"/>
    <w:tmpl w:val="D88ACAEA"/>
    <w:lvl w:ilvl="0" w:tplc="041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0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ED0E69"/>
    <w:multiLevelType w:val="hybridMultilevel"/>
    <w:tmpl w:val="264C9074"/>
    <w:lvl w:ilvl="0" w:tplc="7E5A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15B19C6"/>
    <w:multiLevelType w:val="multilevel"/>
    <w:tmpl w:val="E60CE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-2465"/>
        </w:tabs>
        <w:ind w:left="-246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745"/>
        </w:tabs>
        <w:ind w:left="-17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025"/>
        </w:tabs>
        <w:ind w:left="-102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305"/>
        </w:tabs>
        <w:ind w:left="-30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5"/>
        </w:tabs>
        <w:ind w:left="41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135"/>
        </w:tabs>
        <w:ind w:left="113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73569C"/>
    <w:multiLevelType w:val="hybridMultilevel"/>
    <w:tmpl w:val="B0EE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630211FE"/>
    <w:multiLevelType w:val="hybridMultilevel"/>
    <w:tmpl w:val="0CF0982C"/>
    <w:lvl w:ilvl="0" w:tplc="A5F8B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52263"/>
    <w:multiLevelType w:val="hybridMultilevel"/>
    <w:tmpl w:val="CC0A2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463D36"/>
    <w:multiLevelType w:val="hybridMultilevel"/>
    <w:tmpl w:val="FDAA1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51464"/>
    <w:multiLevelType w:val="hybridMultilevel"/>
    <w:tmpl w:val="086C5908"/>
    <w:lvl w:ilvl="0" w:tplc="BB7AB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37"/>
  </w:num>
  <w:num w:numId="5">
    <w:abstractNumId w:val="8"/>
  </w:num>
  <w:num w:numId="6">
    <w:abstractNumId w:val="20"/>
  </w:num>
  <w:num w:numId="7">
    <w:abstractNumId w:val="27"/>
  </w:num>
  <w:num w:numId="8">
    <w:abstractNumId w:val="16"/>
  </w:num>
  <w:num w:numId="9">
    <w:abstractNumId w:val="30"/>
  </w:num>
  <w:num w:numId="10">
    <w:abstractNumId w:val="24"/>
  </w:num>
  <w:num w:numId="11">
    <w:abstractNumId w:val="28"/>
  </w:num>
  <w:num w:numId="12">
    <w:abstractNumId w:val="11"/>
  </w:num>
  <w:num w:numId="13">
    <w:abstractNumId w:val="23"/>
  </w:num>
  <w:num w:numId="14">
    <w:abstractNumId w:val="38"/>
  </w:num>
  <w:num w:numId="15">
    <w:abstractNumId w:val="31"/>
  </w:num>
  <w:num w:numId="16">
    <w:abstractNumId w:val="34"/>
  </w:num>
  <w:num w:numId="17">
    <w:abstractNumId w:val="17"/>
  </w:num>
  <w:num w:numId="18">
    <w:abstractNumId w:val="41"/>
  </w:num>
  <w:num w:numId="19">
    <w:abstractNumId w:val="44"/>
  </w:num>
  <w:num w:numId="20">
    <w:abstractNumId w:val="32"/>
  </w:num>
  <w:num w:numId="21">
    <w:abstractNumId w:val="19"/>
  </w:num>
  <w:num w:numId="22">
    <w:abstractNumId w:val="6"/>
  </w:num>
  <w:num w:numId="23">
    <w:abstractNumId w:val="14"/>
  </w:num>
  <w:num w:numId="24">
    <w:abstractNumId w:val="39"/>
  </w:num>
  <w:num w:numId="25">
    <w:abstractNumId w:val="10"/>
  </w:num>
  <w:num w:numId="26">
    <w:abstractNumId w:val="25"/>
  </w:num>
  <w:num w:numId="27">
    <w:abstractNumId w:val="13"/>
  </w:num>
  <w:num w:numId="28">
    <w:abstractNumId w:val="29"/>
  </w:num>
  <w:num w:numId="29">
    <w:abstractNumId w:val="21"/>
  </w:num>
  <w:num w:numId="30">
    <w:abstractNumId w:val="5"/>
  </w:num>
  <w:num w:numId="31">
    <w:abstractNumId w:val="4"/>
  </w:num>
  <w:num w:numId="32">
    <w:abstractNumId w:val="36"/>
  </w:num>
  <w:num w:numId="33">
    <w:abstractNumId w:val="0"/>
  </w:num>
  <w:num w:numId="34">
    <w:abstractNumId w:val="40"/>
  </w:num>
  <w:num w:numId="35">
    <w:abstractNumId w:val="7"/>
  </w:num>
  <w:num w:numId="36">
    <w:abstractNumId w:val="1"/>
  </w:num>
  <w:num w:numId="37">
    <w:abstractNumId w:val="18"/>
  </w:num>
  <w:num w:numId="38">
    <w:abstractNumId w:val="12"/>
  </w:num>
  <w:num w:numId="39">
    <w:abstractNumId w:val="42"/>
  </w:num>
  <w:num w:numId="40">
    <w:abstractNumId w:val="33"/>
  </w:num>
  <w:num w:numId="41">
    <w:abstractNumId w:val="4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7DB"/>
    <w:rsid w:val="000022D5"/>
    <w:rsid w:val="00003D8E"/>
    <w:rsid w:val="00004C6A"/>
    <w:rsid w:val="0000793E"/>
    <w:rsid w:val="0001246A"/>
    <w:rsid w:val="00012D11"/>
    <w:rsid w:val="00013E92"/>
    <w:rsid w:val="00013EB5"/>
    <w:rsid w:val="00023552"/>
    <w:rsid w:val="00023836"/>
    <w:rsid w:val="000238BD"/>
    <w:rsid w:val="000274C2"/>
    <w:rsid w:val="000356A9"/>
    <w:rsid w:val="00035F33"/>
    <w:rsid w:val="00044138"/>
    <w:rsid w:val="00044739"/>
    <w:rsid w:val="00051637"/>
    <w:rsid w:val="000550B0"/>
    <w:rsid w:val="00056681"/>
    <w:rsid w:val="000648A7"/>
    <w:rsid w:val="0006618B"/>
    <w:rsid w:val="000670C0"/>
    <w:rsid w:val="00071B99"/>
    <w:rsid w:val="000725D1"/>
    <w:rsid w:val="000756E5"/>
    <w:rsid w:val="0007704E"/>
    <w:rsid w:val="00080EC8"/>
    <w:rsid w:val="00081A4F"/>
    <w:rsid w:val="000840CA"/>
    <w:rsid w:val="00092D8C"/>
    <w:rsid w:val="000944AC"/>
    <w:rsid w:val="00094CB9"/>
    <w:rsid w:val="000956B2"/>
    <w:rsid w:val="000969E7"/>
    <w:rsid w:val="000A036C"/>
    <w:rsid w:val="000A0E11"/>
    <w:rsid w:val="000A23DE"/>
    <w:rsid w:val="000A2F5E"/>
    <w:rsid w:val="000A3B66"/>
    <w:rsid w:val="000A4020"/>
    <w:rsid w:val="000B2CB0"/>
    <w:rsid w:val="000B54FB"/>
    <w:rsid w:val="000B575F"/>
    <w:rsid w:val="000C22EB"/>
    <w:rsid w:val="000C29B0"/>
    <w:rsid w:val="000C76FC"/>
    <w:rsid w:val="000D38FC"/>
    <w:rsid w:val="000D4D90"/>
    <w:rsid w:val="000D5C83"/>
    <w:rsid w:val="000E2D10"/>
    <w:rsid w:val="000F0AC5"/>
    <w:rsid w:val="000F3204"/>
    <w:rsid w:val="0010548B"/>
    <w:rsid w:val="00106556"/>
    <w:rsid w:val="001072D1"/>
    <w:rsid w:val="00117017"/>
    <w:rsid w:val="00120C79"/>
    <w:rsid w:val="00130E8E"/>
    <w:rsid w:val="00131E7A"/>
    <w:rsid w:val="0013216E"/>
    <w:rsid w:val="001361DF"/>
    <w:rsid w:val="001401B5"/>
    <w:rsid w:val="001422B9"/>
    <w:rsid w:val="0014566F"/>
    <w:rsid w:val="0014665F"/>
    <w:rsid w:val="001518CF"/>
    <w:rsid w:val="00153464"/>
    <w:rsid w:val="001541B3"/>
    <w:rsid w:val="00155B15"/>
    <w:rsid w:val="001625BE"/>
    <w:rsid w:val="00163307"/>
    <w:rsid w:val="0016398C"/>
    <w:rsid w:val="001643A4"/>
    <w:rsid w:val="0017036B"/>
    <w:rsid w:val="001727BB"/>
    <w:rsid w:val="001741AE"/>
    <w:rsid w:val="00180D25"/>
    <w:rsid w:val="0018318D"/>
    <w:rsid w:val="0018572C"/>
    <w:rsid w:val="00187E79"/>
    <w:rsid w:val="00187F0D"/>
    <w:rsid w:val="00192CC5"/>
    <w:rsid w:val="0019408B"/>
    <w:rsid w:val="001956A7"/>
    <w:rsid w:val="001A118A"/>
    <w:rsid w:val="001A1341"/>
    <w:rsid w:val="001A27F4"/>
    <w:rsid w:val="001A2D95"/>
    <w:rsid w:val="001B3460"/>
    <w:rsid w:val="001B4CA1"/>
    <w:rsid w:val="001B75D8"/>
    <w:rsid w:val="001C1060"/>
    <w:rsid w:val="001C3C63"/>
    <w:rsid w:val="001C6008"/>
    <w:rsid w:val="001D4732"/>
    <w:rsid w:val="001D6A3C"/>
    <w:rsid w:val="001D6D51"/>
    <w:rsid w:val="001E3132"/>
    <w:rsid w:val="001E41A3"/>
    <w:rsid w:val="001E7455"/>
    <w:rsid w:val="001F653A"/>
    <w:rsid w:val="001F6979"/>
    <w:rsid w:val="00202BC6"/>
    <w:rsid w:val="00205141"/>
    <w:rsid w:val="0020516B"/>
    <w:rsid w:val="00213559"/>
    <w:rsid w:val="00213EFD"/>
    <w:rsid w:val="002162FC"/>
    <w:rsid w:val="002172F1"/>
    <w:rsid w:val="00223C7B"/>
    <w:rsid w:val="00224AB1"/>
    <w:rsid w:val="0022687A"/>
    <w:rsid w:val="00230728"/>
    <w:rsid w:val="00234040"/>
    <w:rsid w:val="00235CD2"/>
    <w:rsid w:val="00242068"/>
    <w:rsid w:val="0024380C"/>
    <w:rsid w:val="00254B91"/>
    <w:rsid w:val="00254DED"/>
    <w:rsid w:val="002551E6"/>
    <w:rsid w:val="00255619"/>
    <w:rsid w:val="00255DAD"/>
    <w:rsid w:val="00256108"/>
    <w:rsid w:val="002578C6"/>
    <w:rsid w:val="00260F33"/>
    <w:rsid w:val="002613BD"/>
    <w:rsid w:val="002624F1"/>
    <w:rsid w:val="00264198"/>
    <w:rsid w:val="002670AE"/>
    <w:rsid w:val="00270C81"/>
    <w:rsid w:val="00271558"/>
    <w:rsid w:val="00274862"/>
    <w:rsid w:val="00274DC3"/>
    <w:rsid w:val="00282D72"/>
    <w:rsid w:val="00283402"/>
    <w:rsid w:val="00283E3D"/>
    <w:rsid w:val="00290FD6"/>
    <w:rsid w:val="00294259"/>
    <w:rsid w:val="002A2C81"/>
    <w:rsid w:val="002A4A9E"/>
    <w:rsid w:val="002A7A48"/>
    <w:rsid w:val="002B3D1A"/>
    <w:rsid w:val="002B6F33"/>
    <w:rsid w:val="002C27D0"/>
    <w:rsid w:val="002C2C9B"/>
    <w:rsid w:val="002D0ED6"/>
    <w:rsid w:val="002D17D6"/>
    <w:rsid w:val="002D18D7"/>
    <w:rsid w:val="002D21CE"/>
    <w:rsid w:val="002E30B5"/>
    <w:rsid w:val="002E3DA3"/>
    <w:rsid w:val="002E450F"/>
    <w:rsid w:val="002E6B38"/>
    <w:rsid w:val="002E6D63"/>
    <w:rsid w:val="002E6E2B"/>
    <w:rsid w:val="002F0BD4"/>
    <w:rsid w:val="002F500B"/>
    <w:rsid w:val="00300991"/>
    <w:rsid w:val="00301959"/>
    <w:rsid w:val="003030B8"/>
    <w:rsid w:val="00305B8A"/>
    <w:rsid w:val="00311605"/>
    <w:rsid w:val="003136DE"/>
    <w:rsid w:val="00313CE1"/>
    <w:rsid w:val="003168C0"/>
    <w:rsid w:val="0032151A"/>
    <w:rsid w:val="0032671A"/>
    <w:rsid w:val="00327396"/>
    <w:rsid w:val="00331BF9"/>
    <w:rsid w:val="0033495E"/>
    <w:rsid w:val="00334A79"/>
    <w:rsid w:val="00334D8D"/>
    <w:rsid w:val="00337345"/>
    <w:rsid w:val="00337DD2"/>
    <w:rsid w:val="003404D1"/>
    <w:rsid w:val="003443FF"/>
    <w:rsid w:val="00351889"/>
    <w:rsid w:val="00355808"/>
    <w:rsid w:val="00360D38"/>
    <w:rsid w:val="00361D2E"/>
    <w:rsid w:val="00362C7E"/>
    <w:rsid w:val="00363309"/>
    <w:rsid w:val="00363601"/>
    <w:rsid w:val="003653F3"/>
    <w:rsid w:val="00367611"/>
    <w:rsid w:val="00371857"/>
    <w:rsid w:val="00376AC9"/>
    <w:rsid w:val="00377933"/>
    <w:rsid w:val="00391339"/>
    <w:rsid w:val="00393032"/>
    <w:rsid w:val="00394271"/>
    <w:rsid w:val="00394B69"/>
    <w:rsid w:val="00397078"/>
    <w:rsid w:val="0039732F"/>
    <w:rsid w:val="003A0F54"/>
    <w:rsid w:val="003A221B"/>
    <w:rsid w:val="003A6953"/>
    <w:rsid w:val="003B5668"/>
    <w:rsid w:val="003B6083"/>
    <w:rsid w:val="003C3838"/>
    <w:rsid w:val="003C5847"/>
    <w:rsid w:val="003D0681"/>
    <w:rsid w:val="003D12F6"/>
    <w:rsid w:val="003D1426"/>
    <w:rsid w:val="003E297F"/>
    <w:rsid w:val="003E2F4E"/>
    <w:rsid w:val="003E393A"/>
    <w:rsid w:val="003E720A"/>
    <w:rsid w:val="003F3AF2"/>
    <w:rsid w:val="003F63CB"/>
    <w:rsid w:val="00402A89"/>
    <w:rsid w:val="00403E6E"/>
    <w:rsid w:val="0040756C"/>
    <w:rsid w:val="004129B4"/>
    <w:rsid w:val="00417EF0"/>
    <w:rsid w:val="00422181"/>
    <w:rsid w:val="004244A8"/>
    <w:rsid w:val="00425F72"/>
    <w:rsid w:val="00426ADA"/>
    <w:rsid w:val="00427736"/>
    <w:rsid w:val="0042773E"/>
    <w:rsid w:val="0043209F"/>
    <w:rsid w:val="00432663"/>
    <w:rsid w:val="00434C2C"/>
    <w:rsid w:val="00441787"/>
    <w:rsid w:val="004440E3"/>
    <w:rsid w:val="004449D8"/>
    <w:rsid w:val="00444F2D"/>
    <w:rsid w:val="00447B53"/>
    <w:rsid w:val="00452034"/>
    <w:rsid w:val="00455FA6"/>
    <w:rsid w:val="00462E20"/>
    <w:rsid w:val="0046435B"/>
    <w:rsid w:val="00466C70"/>
    <w:rsid w:val="004702C9"/>
    <w:rsid w:val="0047155A"/>
    <w:rsid w:val="00472E45"/>
    <w:rsid w:val="00473FEA"/>
    <w:rsid w:val="0047579D"/>
    <w:rsid w:val="00483262"/>
    <w:rsid w:val="0048358B"/>
    <w:rsid w:val="00484107"/>
    <w:rsid w:val="00485CC5"/>
    <w:rsid w:val="004926AA"/>
    <w:rsid w:val="0049343F"/>
    <w:rsid w:val="004964FC"/>
    <w:rsid w:val="00496DDA"/>
    <w:rsid w:val="004A145E"/>
    <w:rsid w:val="004A1F15"/>
    <w:rsid w:val="004A2A81"/>
    <w:rsid w:val="004A3C18"/>
    <w:rsid w:val="004A6908"/>
    <w:rsid w:val="004A7BD7"/>
    <w:rsid w:val="004B194F"/>
    <w:rsid w:val="004C15C2"/>
    <w:rsid w:val="004C36D8"/>
    <w:rsid w:val="004C3F6C"/>
    <w:rsid w:val="004C5498"/>
    <w:rsid w:val="004C60F9"/>
    <w:rsid w:val="004D1248"/>
    <w:rsid w:val="004D1E3C"/>
    <w:rsid w:val="004D3A97"/>
    <w:rsid w:val="004D4169"/>
    <w:rsid w:val="004D45CE"/>
    <w:rsid w:val="004D48EB"/>
    <w:rsid w:val="004D6E14"/>
    <w:rsid w:val="004E6AEA"/>
    <w:rsid w:val="004F0575"/>
    <w:rsid w:val="004F4E17"/>
    <w:rsid w:val="0050082F"/>
    <w:rsid w:val="00500C56"/>
    <w:rsid w:val="00501713"/>
    <w:rsid w:val="00506568"/>
    <w:rsid w:val="0050690B"/>
    <w:rsid w:val="00511E77"/>
    <w:rsid w:val="0051551B"/>
    <w:rsid w:val="00520ADB"/>
    <w:rsid w:val="00520C57"/>
    <w:rsid w:val="00521ADE"/>
    <w:rsid w:val="00522D94"/>
    <w:rsid w:val="00525098"/>
    <w:rsid w:val="00530772"/>
    <w:rsid w:val="00533D89"/>
    <w:rsid w:val="00536564"/>
    <w:rsid w:val="00544597"/>
    <w:rsid w:val="005448DF"/>
    <w:rsid w:val="00544FFE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41B"/>
    <w:rsid w:val="00573FC1"/>
    <w:rsid w:val="005741EE"/>
    <w:rsid w:val="0057668E"/>
    <w:rsid w:val="00576FF8"/>
    <w:rsid w:val="00595E83"/>
    <w:rsid w:val="00596530"/>
    <w:rsid w:val="005967F3"/>
    <w:rsid w:val="005A06DF"/>
    <w:rsid w:val="005A0DFE"/>
    <w:rsid w:val="005A5527"/>
    <w:rsid w:val="005A5AE6"/>
    <w:rsid w:val="005B0798"/>
    <w:rsid w:val="005B1206"/>
    <w:rsid w:val="005B2B64"/>
    <w:rsid w:val="005B37E8"/>
    <w:rsid w:val="005B5311"/>
    <w:rsid w:val="005C0056"/>
    <w:rsid w:val="005D61D6"/>
    <w:rsid w:val="005D6794"/>
    <w:rsid w:val="005D7A7F"/>
    <w:rsid w:val="005E0D13"/>
    <w:rsid w:val="005E2EE5"/>
    <w:rsid w:val="005E5047"/>
    <w:rsid w:val="005E6F31"/>
    <w:rsid w:val="005E7205"/>
    <w:rsid w:val="005E7371"/>
    <w:rsid w:val="005F116C"/>
    <w:rsid w:val="005F2131"/>
    <w:rsid w:val="005F6FE5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5C6D"/>
    <w:rsid w:val="00627221"/>
    <w:rsid w:val="00627EE8"/>
    <w:rsid w:val="006316FA"/>
    <w:rsid w:val="00631FF0"/>
    <w:rsid w:val="0063275A"/>
    <w:rsid w:val="00635018"/>
    <w:rsid w:val="006370D2"/>
    <w:rsid w:val="0064074F"/>
    <w:rsid w:val="00641F55"/>
    <w:rsid w:val="00642D82"/>
    <w:rsid w:val="00645E4A"/>
    <w:rsid w:val="00650EF0"/>
    <w:rsid w:val="006520E2"/>
    <w:rsid w:val="00653688"/>
    <w:rsid w:val="0066091B"/>
    <w:rsid w:val="00661BDF"/>
    <w:rsid w:val="006660E9"/>
    <w:rsid w:val="00666FFB"/>
    <w:rsid w:val="00667249"/>
    <w:rsid w:val="00667558"/>
    <w:rsid w:val="00671523"/>
    <w:rsid w:val="00674301"/>
    <w:rsid w:val="006754EF"/>
    <w:rsid w:val="00676C8D"/>
    <w:rsid w:val="00676F1F"/>
    <w:rsid w:val="00677381"/>
    <w:rsid w:val="00677414"/>
    <w:rsid w:val="006832CF"/>
    <w:rsid w:val="00683F86"/>
    <w:rsid w:val="00685D8F"/>
    <w:rsid w:val="0068601E"/>
    <w:rsid w:val="00694055"/>
    <w:rsid w:val="0069486B"/>
    <w:rsid w:val="006A26E0"/>
    <w:rsid w:val="006A4904"/>
    <w:rsid w:val="006A548F"/>
    <w:rsid w:val="006A701A"/>
    <w:rsid w:val="006A76BE"/>
    <w:rsid w:val="006B3141"/>
    <w:rsid w:val="006B64DC"/>
    <w:rsid w:val="006B7A91"/>
    <w:rsid w:val="006D4704"/>
    <w:rsid w:val="006D545C"/>
    <w:rsid w:val="006D6A2D"/>
    <w:rsid w:val="006E16D4"/>
    <w:rsid w:val="006E1E18"/>
    <w:rsid w:val="006E31CE"/>
    <w:rsid w:val="006E34D3"/>
    <w:rsid w:val="006E43A6"/>
    <w:rsid w:val="006F1435"/>
    <w:rsid w:val="006F78C4"/>
    <w:rsid w:val="007031A0"/>
    <w:rsid w:val="00705A29"/>
    <w:rsid w:val="00705C8E"/>
    <w:rsid w:val="00707498"/>
    <w:rsid w:val="00711A65"/>
    <w:rsid w:val="00714133"/>
    <w:rsid w:val="00714DA4"/>
    <w:rsid w:val="007158B2"/>
    <w:rsid w:val="00716081"/>
    <w:rsid w:val="0072122C"/>
    <w:rsid w:val="00722B48"/>
    <w:rsid w:val="00724164"/>
    <w:rsid w:val="00724668"/>
    <w:rsid w:val="00725DE7"/>
    <w:rsid w:val="0072636A"/>
    <w:rsid w:val="00726B44"/>
    <w:rsid w:val="007318DD"/>
    <w:rsid w:val="00733167"/>
    <w:rsid w:val="00740D2C"/>
    <w:rsid w:val="007415D0"/>
    <w:rsid w:val="00744BF9"/>
    <w:rsid w:val="00752623"/>
    <w:rsid w:val="007577A6"/>
    <w:rsid w:val="00760F1F"/>
    <w:rsid w:val="0076423E"/>
    <w:rsid w:val="007646CB"/>
    <w:rsid w:val="0076658F"/>
    <w:rsid w:val="0077040A"/>
    <w:rsid w:val="00772D64"/>
    <w:rsid w:val="0077393B"/>
    <w:rsid w:val="007853F3"/>
    <w:rsid w:val="007906BC"/>
    <w:rsid w:val="00790C22"/>
    <w:rsid w:val="00792609"/>
    <w:rsid w:val="0079260C"/>
    <w:rsid w:val="00792887"/>
    <w:rsid w:val="007943E2"/>
    <w:rsid w:val="00794F2C"/>
    <w:rsid w:val="007A3BC7"/>
    <w:rsid w:val="007A5AC4"/>
    <w:rsid w:val="007A64EB"/>
    <w:rsid w:val="007B0FDD"/>
    <w:rsid w:val="007B4802"/>
    <w:rsid w:val="007B6668"/>
    <w:rsid w:val="007B6B33"/>
    <w:rsid w:val="007C0A3B"/>
    <w:rsid w:val="007C2701"/>
    <w:rsid w:val="007C2E89"/>
    <w:rsid w:val="007C7DD3"/>
    <w:rsid w:val="007D20DC"/>
    <w:rsid w:val="007D2192"/>
    <w:rsid w:val="007D21E7"/>
    <w:rsid w:val="007E6CE6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2A24"/>
    <w:rsid w:val="00824210"/>
    <w:rsid w:val="008263C0"/>
    <w:rsid w:val="008413CE"/>
    <w:rsid w:val="00841422"/>
    <w:rsid w:val="00841D3B"/>
    <w:rsid w:val="00842D49"/>
    <w:rsid w:val="0084314C"/>
    <w:rsid w:val="00843171"/>
    <w:rsid w:val="00853C17"/>
    <w:rsid w:val="00856799"/>
    <w:rsid w:val="008575C3"/>
    <w:rsid w:val="00863D28"/>
    <w:rsid w:val="008648C3"/>
    <w:rsid w:val="00872096"/>
    <w:rsid w:val="008730B6"/>
    <w:rsid w:val="0087596E"/>
    <w:rsid w:val="00880029"/>
    <w:rsid w:val="00880528"/>
    <w:rsid w:val="00880F26"/>
    <w:rsid w:val="008812C4"/>
    <w:rsid w:val="00895ADA"/>
    <w:rsid w:val="00896C2E"/>
    <w:rsid w:val="008974FD"/>
    <w:rsid w:val="008A5000"/>
    <w:rsid w:val="008A5095"/>
    <w:rsid w:val="008A608F"/>
    <w:rsid w:val="008A68AA"/>
    <w:rsid w:val="008B01EF"/>
    <w:rsid w:val="008B1A9A"/>
    <w:rsid w:val="008B4FE6"/>
    <w:rsid w:val="008B6C37"/>
    <w:rsid w:val="008C6A29"/>
    <w:rsid w:val="008D2AB1"/>
    <w:rsid w:val="008E088F"/>
    <w:rsid w:val="008E18F7"/>
    <w:rsid w:val="008E1E10"/>
    <w:rsid w:val="008E291B"/>
    <w:rsid w:val="008E4F2F"/>
    <w:rsid w:val="008E74B0"/>
    <w:rsid w:val="008F089A"/>
    <w:rsid w:val="008F4984"/>
    <w:rsid w:val="009008A8"/>
    <w:rsid w:val="009063B0"/>
    <w:rsid w:val="009070DF"/>
    <w:rsid w:val="00907106"/>
    <w:rsid w:val="009107FD"/>
    <w:rsid w:val="0091137C"/>
    <w:rsid w:val="00911567"/>
    <w:rsid w:val="00917AAE"/>
    <w:rsid w:val="00921C14"/>
    <w:rsid w:val="009251A9"/>
    <w:rsid w:val="00930699"/>
    <w:rsid w:val="00931A93"/>
    <w:rsid w:val="00931F69"/>
    <w:rsid w:val="00933A65"/>
    <w:rsid w:val="00934123"/>
    <w:rsid w:val="00950CB8"/>
    <w:rsid w:val="00952C6D"/>
    <w:rsid w:val="009543AD"/>
    <w:rsid w:val="00955774"/>
    <w:rsid w:val="009560B5"/>
    <w:rsid w:val="009703D6"/>
    <w:rsid w:val="0097181B"/>
    <w:rsid w:val="00976099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0EAF"/>
    <w:rsid w:val="00991F96"/>
    <w:rsid w:val="00995419"/>
    <w:rsid w:val="00996F0A"/>
    <w:rsid w:val="00997BB2"/>
    <w:rsid w:val="009A0658"/>
    <w:rsid w:val="009A1D86"/>
    <w:rsid w:val="009B049C"/>
    <w:rsid w:val="009B11C8"/>
    <w:rsid w:val="009B2BCF"/>
    <w:rsid w:val="009B2FF8"/>
    <w:rsid w:val="009B5027"/>
    <w:rsid w:val="009B5BA3"/>
    <w:rsid w:val="009C30F0"/>
    <w:rsid w:val="009C3C0C"/>
    <w:rsid w:val="009D0027"/>
    <w:rsid w:val="009D0655"/>
    <w:rsid w:val="009E1E98"/>
    <w:rsid w:val="009E3ABE"/>
    <w:rsid w:val="009E3C4B"/>
    <w:rsid w:val="009F0637"/>
    <w:rsid w:val="009F62A6"/>
    <w:rsid w:val="009F674F"/>
    <w:rsid w:val="009F6C8F"/>
    <w:rsid w:val="009F799E"/>
    <w:rsid w:val="00A02020"/>
    <w:rsid w:val="00A056CB"/>
    <w:rsid w:val="00A07A29"/>
    <w:rsid w:val="00A10FF1"/>
    <w:rsid w:val="00A1506B"/>
    <w:rsid w:val="00A17CB2"/>
    <w:rsid w:val="00A23191"/>
    <w:rsid w:val="00A252AA"/>
    <w:rsid w:val="00A31614"/>
    <w:rsid w:val="00A319C0"/>
    <w:rsid w:val="00A33560"/>
    <w:rsid w:val="00A344FE"/>
    <w:rsid w:val="00A356E2"/>
    <w:rsid w:val="00A357C0"/>
    <w:rsid w:val="00A364E4"/>
    <w:rsid w:val="00A371A5"/>
    <w:rsid w:val="00A40E62"/>
    <w:rsid w:val="00A45CA1"/>
    <w:rsid w:val="00A47BDF"/>
    <w:rsid w:val="00A50D14"/>
    <w:rsid w:val="00A51CD7"/>
    <w:rsid w:val="00A52ADB"/>
    <w:rsid w:val="00A533E8"/>
    <w:rsid w:val="00A542D9"/>
    <w:rsid w:val="00A5464C"/>
    <w:rsid w:val="00A54D7F"/>
    <w:rsid w:val="00A55CEB"/>
    <w:rsid w:val="00A56E64"/>
    <w:rsid w:val="00A574D6"/>
    <w:rsid w:val="00A624C3"/>
    <w:rsid w:val="00A6610C"/>
    <w:rsid w:val="00A6641C"/>
    <w:rsid w:val="00A72995"/>
    <w:rsid w:val="00A767D2"/>
    <w:rsid w:val="00A77616"/>
    <w:rsid w:val="00A80244"/>
    <w:rsid w:val="00A805DA"/>
    <w:rsid w:val="00A811B4"/>
    <w:rsid w:val="00A830C5"/>
    <w:rsid w:val="00A865E0"/>
    <w:rsid w:val="00A87448"/>
    <w:rsid w:val="00A87CDE"/>
    <w:rsid w:val="00A910E7"/>
    <w:rsid w:val="00A92BAF"/>
    <w:rsid w:val="00A94737"/>
    <w:rsid w:val="00A94BA3"/>
    <w:rsid w:val="00A95265"/>
    <w:rsid w:val="00A966CE"/>
    <w:rsid w:val="00A96CBA"/>
    <w:rsid w:val="00AA0180"/>
    <w:rsid w:val="00AB1ACD"/>
    <w:rsid w:val="00AB277F"/>
    <w:rsid w:val="00AB4099"/>
    <w:rsid w:val="00AB449A"/>
    <w:rsid w:val="00AB57C2"/>
    <w:rsid w:val="00AC7EF9"/>
    <w:rsid w:val="00AD14F9"/>
    <w:rsid w:val="00AD1E4B"/>
    <w:rsid w:val="00AD35D6"/>
    <w:rsid w:val="00AD58C5"/>
    <w:rsid w:val="00AD5BDA"/>
    <w:rsid w:val="00AE36C4"/>
    <w:rsid w:val="00AE3742"/>
    <w:rsid w:val="00AE472C"/>
    <w:rsid w:val="00AE5375"/>
    <w:rsid w:val="00AE6CF8"/>
    <w:rsid w:val="00AE709D"/>
    <w:rsid w:val="00AF4CAC"/>
    <w:rsid w:val="00B03E0D"/>
    <w:rsid w:val="00B054F8"/>
    <w:rsid w:val="00B15C18"/>
    <w:rsid w:val="00B2219A"/>
    <w:rsid w:val="00B22D49"/>
    <w:rsid w:val="00B23045"/>
    <w:rsid w:val="00B2611E"/>
    <w:rsid w:val="00B32BCC"/>
    <w:rsid w:val="00B3581B"/>
    <w:rsid w:val="00B36B81"/>
    <w:rsid w:val="00B36FEE"/>
    <w:rsid w:val="00B37C80"/>
    <w:rsid w:val="00B5092B"/>
    <w:rsid w:val="00B50A17"/>
    <w:rsid w:val="00B5194E"/>
    <w:rsid w:val="00B51AF5"/>
    <w:rsid w:val="00B529F2"/>
    <w:rsid w:val="00B531FC"/>
    <w:rsid w:val="00B55347"/>
    <w:rsid w:val="00B57054"/>
    <w:rsid w:val="00B57E5E"/>
    <w:rsid w:val="00B61F37"/>
    <w:rsid w:val="00B766AD"/>
    <w:rsid w:val="00B7770F"/>
    <w:rsid w:val="00B77A89"/>
    <w:rsid w:val="00B77B27"/>
    <w:rsid w:val="00B8134E"/>
    <w:rsid w:val="00B81B55"/>
    <w:rsid w:val="00B84613"/>
    <w:rsid w:val="00B85C5A"/>
    <w:rsid w:val="00B87AF0"/>
    <w:rsid w:val="00B9037B"/>
    <w:rsid w:val="00B910BD"/>
    <w:rsid w:val="00B9189C"/>
    <w:rsid w:val="00B93834"/>
    <w:rsid w:val="00B96469"/>
    <w:rsid w:val="00B968BC"/>
    <w:rsid w:val="00B97B5F"/>
    <w:rsid w:val="00BA0DA2"/>
    <w:rsid w:val="00BA2981"/>
    <w:rsid w:val="00BA2BB7"/>
    <w:rsid w:val="00BA37B8"/>
    <w:rsid w:val="00BA42EE"/>
    <w:rsid w:val="00BA48F9"/>
    <w:rsid w:val="00BB0DCA"/>
    <w:rsid w:val="00BB1F54"/>
    <w:rsid w:val="00BB2666"/>
    <w:rsid w:val="00BB6B80"/>
    <w:rsid w:val="00BC11E8"/>
    <w:rsid w:val="00BC3773"/>
    <w:rsid w:val="00BC381A"/>
    <w:rsid w:val="00BD0962"/>
    <w:rsid w:val="00BD1EED"/>
    <w:rsid w:val="00BD368C"/>
    <w:rsid w:val="00BE1D1C"/>
    <w:rsid w:val="00BE338A"/>
    <w:rsid w:val="00BE6FE7"/>
    <w:rsid w:val="00BF0DA2"/>
    <w:rsid w:val="00BF109C"/>
    <w:rsid w:val="00BF34FA"/>
    <w:rsid w:val="00BF73DB"/>
    <w:rsid w:val="00BF79FE"/>
    <w:rsid w:val="00C004B6"/>
    <w:rsid w:val="00C047A7"/>
    <w:rsid w:val="00C05DE5"/>
    <w:rsid w:val="00C12784"/>
    <w:rsid w:val="00C174BF"/>
    <w:rsid w:val="00C326BC"/>
    <w:rsid w:val="00C33027"/>
    <w:rsid w:val="00C3640B"/>
    <w:rsid w:val="00C37667"/>
    <w:rsid w:val="00C41935"/>
    <w:rsid w:val="00C435DB"/>
    <w:rsid w:val="00C44D73"/>
    <w:rsid w:val="00C50948"/>
    <w:rsid w:val="00C50B42"/>
    <w:rsid w:val="00C516FF"/>
    <w:rsid w:val="00C52BFA"/>
    <w:rsid w:val="00C53D1D"/>
    <w:rsid w:val="00C53F26"/>
    <w:rsid w:val="00C540BC"/>
    <w:rsid w:val="00C5499D"/>
    <w:rsid w:val="00C54DD0"/>
    <w:rsid w:val="00C62A29"/>
    <w:rsid w:val="00C64F7D"/>
    <w:rsid w:val="00C67309"/>
    <w:rsid w:val="00C74DC1"/>
    <w:rsid w:val="00C7614E"/>
    <w:rsid w:val="00C77BF1"/>
    <w:rsid w:val="00C80D60"/>
    <w:rsid w:val="00C82FBD"/>
    <w:rsid w:val="00C84E51"/>
    <w:rsid w:val="00C85267"/>
    <w:rsid w:val="00C85D37"/>
    <w:rsid w:val="00C860E3"/>
    <w:rsid w:val="00C8721B"/>
    <w:rsid w:val="00C9372C"/>
    <w:rsid w:val="00C9470E"/>
    <w:rsid w:val="00C95CEB"/>
    <w:rsid w:val="00CA010D"/>
    <w:rsid w:val="00CA1054"/>
    <w:rsid w:val="00CA1F47"/>
    <w:rsid w:val="00CA63EB"/>
    <w:rsid w:val="00CA69F1"/>
    <w:rsid w:val="00CB6991"/>
    <w:rsid w:val="00CC6194"/>
    <w:rsid w:val="00CC6305"/>
    <w:rsid w:val="00CC78A5"/>
    <w:rsid w:val="00CD0516"/>
    <w:rsid w:val="00CD33D2"/>
    <w:rsid w:val="00CD756B"/>
    <w:rsid w:val="00CE734F"/>
    <w:rsid w:val="00CF112E"/>
    <w:rsid w:val="00CF2AA5"/>
    <w:rsid w:val="00CF478C"/>
    <w:rsid w:val="00CF5F4F"/>
    <w:rsid w:val="00CF71CF"/>
    <w:rsid w:val="00D02A1A"/>
    <w:rsid w:val="00D069DD"/>
    <w:rsid w:val="00D13E7B"/>
    <w:rsid w:val="00D176F0"/>
    <w:rsid w:val="00D2098D"/>
    <w:rsid w:val="00D218DC"/>
    <w:rsid w:val="00D24E56"/>
    <w:rsid w:val="00D31643"/>
    <w:rsid w:val="00D31AEB"/>
    <w:rsid w:val="00D32DEC"/>
    <w:rsid w:val="00D32ECD"/>
    <w:rsid w:val="00D361E4"/>
    <w:rsid w:val="00D37187"/>
    <w:rsid w:val="00D42A8F"/>
    <w:rsid w:val="00D439F6"/>
    <w:rsid w:val="00D4488B"/>
    <w:rsid w:val="00D459C6"/>
    <w:rsid w:val="00D50729"/>
    <w:rsid w:val="00D50C19"/>
    <w:rsid w:val="00D5379E"/>
    <w:rsid w:val="00D62643"/>
    <w:rsid w:val="00D64C0F"/>
    <w:rsid w:val="00D702D1"/>
    <w:rsid w:val="00D72EFE"/>
    <w:rsid w:val="00D7507B"/>
    <w:rsid w:val="00D76227"/>
    <w:rsid w:val="00D77BE2"/>
    <w:rsid w:val="00D77DF1"/>
    <w:rsid w:val="00D86AFF"/>
    <w:rsid w:val="00D94D09"/>
    <w:rsid w:val="00D95A44"/>
    <w:rsid w:val="00D95D16"/>
    <w:rsid w:val="00D97C76"/>
    <w:rsid w:val="00DA33B8"/>
    <w:rsid w:val="00DA54F7"/>
    <w:rsid w:val="00DB0139"/>
    <w:rsid w:val="00DB02B4"/>
    <w:rsid w:val="00DB07C6"/>
    <w:rsid w:val="00DB13D9"/>
    <w:rsid w:val="00DB36B5"/>
    <w:rsid w:val="00DB538D"/>
    <w:rsid w:val="00DC275C"/>
    <w:rsid w:val="00DC4B0D"/>
    <w:rsid w:val="00DC5265"/>
    <w:rsid w:val="00DC7FE1"/>
    <w:rsid w:val="00DD38E8"/>
    <w:rsid w:val="00DD3F3F"/>
    <w:rsid w:val="00DD5572"/>
    <w:rsid w:val="00DE5D80"/>
    <w:rsid w:val="00DF584D"/>
    <w:rsid w:val="00DF58CD"/>
    <w:rsid w:val="00DF65DE"/>
    <w:rsid w:val="00E019A5"/>
    <w:rsid w:val="00E02EC8"/>
    <w:rsid w:val="00E037F5"/>
    <w:rsid w:val="00E04ECB"/>
    <w:rsid w:val="00E05288"/>
    <w:rsid w:val="00E05A09"/>
    <w:rsid w:val="00E063F5"/>
    <w:rsid w:val="00E06CA1"/>
    <w:rsid w:val="00E16EC4"/>
    <w:rsid w:val="00E172B8"/>
    <w:rsid w:val="00E17FB4"/>
    <w:rsid w:val="00E20685"/>
    <w:rsid w:val="00E20B75"/>
    <w:rsid w:val="00E214F2"/>
    <w:rsid w:val="00E2371E"/>
    <w:rsid w:val="00E24BD7"/>
    <w:rsid w:val="00E24C6D"/>
    <w:rsid w:val="00E253E3"/>
    <w:rsid w:val="00E26523"/>
    <w:rsid w:val="00E26809"/>
    <w:rsid w:val="00E3397D"/>
    <w:rsid w:val="00E3412D"/>
    <w:rsid w:val="00E454DA"/>
    <w:rsid w:val="00E53F00"/>
    <w:rsid w:val="00E555F2"/>
    <w:rsid w:val="00E566C6"/>
    <w:rsid w:val="00E57322"/>
    <w:rsid w:val="00E625FD"/>
    <w:rsid w:val="00E628CB"/>
    <w:rsid w:val="00E62AD9"/>
    <w:rsid w:val="00E638C8"/>
    <w:rsid w:val="00E7509B"/>
    <w:rsid w:val="00E803AB"/>
    <w:rsid w:val="00E86590"/>
    <w:rsid w:val="00E907FF"/>
    <w:rsid w:val="00EA2458"/>
    <w:rsid w:val="00EA42D1"/>
    <w:rsid w:val="00EA42EF"/>
    <w:rsid w:val="00EA7B18"/>
    <w:rsid w:val="00EB2DD1"/>
    <w:rsid w:val="00EB6B37"/>
    <w:rsid w:val="00EC29FE"/>
    <w:rsid w:val="00EC3C70"/>
    <w:rsid w:val="00ED3A3D"/>
    <w:rsid w:val="00ED529F"/>
    <w:rsid w:val="00ED538A"/>
    <w:rsid w:val="00ED6FBC"/>
    <w:rsid w:val="00ED79DE"/>
    <w:rsid w:val="00EE2F16"/>
    <w:rsid w:val="00EE2F2E"/>
    <w:rsid w:val="00EE3861"/>
    <w:rsid w:val="00EF290C"/>
    <w:rsid w:val="00EF2E73"/>
    <w:rsid w:val="00EF7683"/>
    <w:rsid w:val="00EF7A2D"/>
    <w:rsid w:val="00F025D6"/>
    <w:rsid w:val="00F04F8D"/>
    <w:rsid w:val="00F10AD0"/>
    <w:rsid w:val="00F116CC"/>
    <w:rsid w:val="00F1191F"/>
    <w:rsid w:val="00F12BD1"/>
    <w:rsid w:val="00F15327"/>
    <w:rsid w:val="00F168CF"/>
    <w:rsid w:val="00F2555C"/>
    <w:rsid w:val="00F31DF3"/>
    <w:rsid w:val="00F33AE5"/>
    <w:rsid w:val="00F3597D"/>
    <w:rsid w:val="00F40E82"/>
    <w:rsid w:val="00F4376D"/>
    <w:rsid w:val="00F43EFF"/>
    <w:rsid w:val="00F440C2"/>
    <w:rsid w:val="00F45399"/>
    <w:rsid w:val="00F465EA"/>
    <w:rsid w:val="00F54E7B"/>
    <w:rsid w:val="00F55901"/>
    <w:rsid w:val="00F55A88"/>
    <w:rsid w:val="00F71217"/>
    <w:rsid w:val="00F725C6"/>
    <w:rsid w:val="00F72B3C"/>
    <w:rsid w:val="00F74005"/>
    <w:rsid w:val="00F76884"/>
    <w:rsid w:val="00F777D6"/>
    <w:rsid w:val="00F83D24"/>
    <w:rsid w:val="00F83DD9"/>
    <w:rsid w:val="00F83F40"/>
    <w:rsid w:val="00F86EA5"/>
    <w:rsid w:val="00FA117A"/>
    <w:rsid w:val="00FA5A75"/>
    <w:rsid w:val="00FA6BA6"/>
    <w:rsid w:val="00FB0112"/>
    <w:rsid w:val="00FB386A"/>
    <w:rsid w:val="00FB6C6F"/>
    <w:rsid w:val="00FC0786"/>
    <w:rsid w:val="00FC28B3"/>
    <w:rsid w:val="00FC49EF"/>
    <w:rsid w:val="00FC6059"/>
    <w:rsid w:val="00FD123A"/>
    <w:rsid w:val="00FD61C2"/>
    <w:rsid w:val="00FE36E2"/>
    <w:rsid w:val="00FE4E9A"/>
    <w:rsid w:val="00FE74C8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56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table" w:styleId="Jasnecieniowanieakcent5">
    <w:name w:val="Light Shading Accent 5"/>
    <w:basedOn w:val="Standardowy"/>
    <w:uiPriority w:val="60"/>
    <w:rsid w:val="004C3F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szpot-prusak@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ktoria.machnik@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ur.polak@mr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6A9"/>
    <w:rsid w:val="00012E8C"/>
    <w:rsid w:val="000F09E3"/>
    <w:rsid w:val="001522A9"/>
    <w:rsid w:val="001C555E"/>
    <w:rsid w:val="00327A6F"/>
    <w:rsid w:val="0035426D"/>
    <w:rsid w:val="004B2940"/>
    <w:rsid w:val="004B3AA3"/>
    <w:rsid w:val="004B7F8D"/>
    <w:rsid w:val="004F0705"/>
    <w:rsid w:val="0050126C"/>
    <w:rsid w:val="00551F98"/>
    <w:rsid w:val="00553156"/>
    <w:rsid w:val="005D0837"/>
    <w:rsid w:val="005D3831"/>
    <w:rsid w:val="00716AD7"/>
    <w:rsid w:val="00743317"/>
    <w:rsid w:val="008C7CA2"/>
    <w:rsid w:val="009E30FC"/>
    <w:rsid w:val="00AD66A9"/>
    <w:rsid w:val="00B02F42"/>
    <w:rsid w:val="00B3230C"/>
    <w:rsid w:val="00C145ED"/>
    <w:rsid w:val="00C23029"/>
    <w:rsid w:val="00C55005"/>
    <w:rsid w:val="00C94ED2"/>
    <w:rsid w:val="00C97CDD"/>
    <w:rsid w:val="00CD6EFE"/>
    <w:rsid w:val="00CE23BC"/>
    <w:rsid w:val="00D00503"/>
    <w:rsid w:val="00D15A14"/>
    <w:rsid w:val="00E22CED"/>
    <w:rsid w:val="00E31338"/>
    <w:rsid w:val="00E476B0"/>
    <w:rsid w:val="00F040D5"/>
    <w:rsid w:val="00F523DD"/>
    <w:rsid w:val="00F96B06"/>
    <w:rsid w:val="00FC112A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BB2A-9767-4539-8C30-5808D92A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5628</Words>
  <Characters>33769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39319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2020-05-14T11:38:00Z</dcterms:created>
  <dcterms:modified xsi:type="dcterms:W3CDTF">2020-05-18T19:08:00Z</dcterms:modified>
</cp:coreProperties>
</file>