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75" w:rsidRDefault="008D265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56915E-24CB-4DA5-BB31-65AEF5920DF3" style="width:451.35pt;height:370pt">
            <v:imagedata r:id="rId9" o:title=""/>
          </v:shape>
        </w:pict>
      </w:r>
    </w:p>
    <w:p w:rsidR="00D41175" w:rsidRDefault="00D41175">
      <w:pPr>
        <w:rPr>
          <w:noProof/>
        </w:rPr>
        <w:sectPr w:rsidR="00D4117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D41175" w:rsidRDefault="003D53EA">
      <w:pPr>
        <w:pStyle w:val="Annexetitre"/>
        <w:rPr>
          <w:noProof/>
        </w:rPr>
      </w:pPr>
      <w:r>
        <w:rPr>
          <w:noProof/>
        </w:rPr>
        <w:lastRenderedPageBreak/>
        <w:t>ZAŁĄCZNIK I</w:t>
      </w:r>
    </w:p>
    <w:p w:rsidR="00D41175" w:rsidRDefault="00D41175">
      <w:pPr>
        <w:rPr>
          <w:noProof/>
        </w:rPr>
      </w:pPr>
    </w:p>
    <w:p w:rsidR="00D41175" w:rsidRDefault="003D53EA">
      <w:pPr>
        <w:pStyle w:val="Akapitzlist"/>
        <w:rPr>
          <w:b/>
          <w:noProof/>
        </w:rPr>
      </w:pPr>
      <w:r>
        <w:rPr>
          <w:noProof/>
        </w:rPr>
        <w:t>Metoda obliczania maksymalnego wkładu finansowego (</w:t>
      </w:r>
      <w:r>
        <w:rPr>
          <w:b/>
          <w:noProof/>
        </w:rPr>
        <w:t xml:space="preserve">tj. </w:t>
      </w:r>
      <w:r>
        <w:rPr>
          <w:b/>
          <w:noProof/>
          <w:szCs w:val="24"/>
        </w:rPr>
        <w:t>bezzwrotnego wsparcia finansowego)</w:t>
      </w:r>
      <w:r>
        <w:rPr>
          <w:b/>
          <w:noProof/>
        </w:rPr>
        <w:t xml:space="preserve"> przypadającego na państwo członkowskie w ramach Instrumentu</w:t>
      </w:r>
    </w:p>
    <w:p w:rsidR="00D41175" w:rsidRDefault="00D41175">
      <w:pPr>
        <w:rPr>
          <w:noProof/>
        </w:rPr>
      </w:pPr>
    </w:p>
    <w:p w:rsidR="00D41175" w:rsidRDefault="003D53EA">
      <w:pPr>
        <w:spacing w:before="0" w:after="200"/>
        <w:rPr>
          <w:noProof/>
        </w:rPr>
      </w:pPr>
      <w:r>
        <w:rPr>
          <w:noProof/>
        </w:rPr>
        <w:t>W niniejszym załączniku wyjaśniono metodę obliczania maksymalnego wkładu finansowego dostępnego dla poszczególnych państw członkowskich. Metoda ta uwzględnia:</w:t>
      </w:r>
    </w:p>
    <w:p w:rsidR="00D41175" w:rsidRDefault="003D53EA">
      <w:pPr>
        <w:pStyle w:val="Bullet0"/>
        <w:numPr>
          <w:ilvl w:val="0"/>
          <w:numId w:val="10"/>
        </w:numPr>
        <w:rPr>
          <w:noProof/>
        </w:rPr>
      </w:pPr>
      <w:r>
        <w:rPr>
          <w:noProof/>
        </w:rPr>
        <w:t>liczbę ludności;</w:t>
      </w:r>
    </w:p>
    <w:p w:rsidR="00D41175" w:rsidRDefault="003D53EA">
      <w:pPr>
        <w:pStyle w:val="Bullet0"/>
        <w:rPr>
          <w:noProof/>
        </w:rPr>
      </w:pPr>
      <w:r>
        <w:rPr>
          <w:noProof/>
        </w:rPr>
        <w:t>odwrotność PKB na mieszkańca;</w:t>
      </w:r>
    </w:p>
    <w:p w:rsidR="00D41175" w:rsidRDefault="003D53EA">
      <w:pPr>
        <w:pStyle w:val="Bullet0"/>
        <w:rPr>
          <w:noProof/>
        </w:rPr>
      </w:pPr>
      <w:r>
        <w:rPr>
          <w:noProof/>
        </w:rPr>
        <w:t xml:space="preserve">średni wskaźnik bezrobocia w ciągu ostatnich 5 lat w porównaniu ze średnią unijną (2015-2019). </w:t>
      </w:r>
    </w:p>
    <w:p w:rsidR="00D41175" w:rsidRDefault="003D53EA">
      <w:pPr>
        <w:rPr>
          <w:noProof/>
        </w:rPr>
      </w:pPr>
      <w:r>
        <w:rPr>
          <w:noProof/>
        </w:rPr>
        <w:t>Aby uniknąć nadmiernej koncentracji zasobów:</w:t>
      </w:r>
    </w:p>
    <w:p w:rsidR="00D41175" w:rsidRDefault="003D53EA">
      <w:pPr>
        <w:pStyle w:val="Bullet0"/>
        <w:rPr>
          <w:noProof/>
        </w:rPr>
      </w:pPr>
      <w:r>
        <w:rPr>
          <w:noProof/>
        </w:rPr>
        <w:t>odwrotność PKB na mieszkańca ograniczona jest do 150 % średniej unijnej;</w:t>
      </w:r>
    </w:p>
    <w:p w:rsidR="00D41175" w:rsidRDefault="003D53EA">
      <w:pPr>
        <w:pStyle w:val="Bullet0"/>
        <w:rPr>
          <w:noProof/>
        </w:rPr>
      </w:pPr>
      <w:r>
        <w:rPr>
          <w:noProof/>
        </w:rPr>
        <w:t>odchylenie wskaźnika bezrobocia danego państwa od średniej unijnej ograniczone jest do 150 % średniej unijnej;</w:t>
      </w:r>
    </w:p>
    <w:p w:rsidR="00D41175" w:rsidRDefault="003D53EA">
      <w:pPr>
        <w:pStyle w:val="Bullet0"/>
        <w:rPr>
          <w:rFonts w:eastAsia="Times New Roman"/>
          <w:noProof/>
          <w:szCs w:val="20"/>
        </w:rPr>
      </w:pPr>
      <w:r>
        <w:rPr>
          <w:noProof/>
        </w:rPr>
        <w:t>aby uwzględnić generalnie bardziej stabilne rynki pracy zamożniejszych państw członkowskich (których dochód narodowy brutto na mieszkańca kształtuje się powyżej średniej unijnej), odchylenie wskaźnika bezrobocia tych państw od średniej unijnej ograniczone jest do 75 %.</w:t>
      </w:r>
    </w:p>
    <w:p w:rsidR="00D41175" w:rsidRDefault="003D53EA">
      <w:pPr>
        <w:spacing w:before="0" w:after="200"/>
        <w:rPr>
          <w:noProof/>
        </w:rPr>
      </w:pPr>
      <w:r>
        <w:rPr>
          <w:noProof/>
        </w:rPr>
        <w:t>Maksymalny wkład finansowy państwa członkowskiego w ramach Instrumentu (</w:t>
      </w:r>
      <m:oMath>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oMath>
      <w:r>
        <w:rPr>
          <w:noProof/>
        </w:rPr>
        <w:t>) określa się następująco:</w:t>
      </w:r>
    </w:p>
    <w:p w:rsidR="00D41175" w:rsidRDefault="008D265F">
      <w:pPr>
        <w:spacing w:before="0" w:after="200"/>
        <w:rPr>
          <w:noProof/>
        </w:rPr>
      </w:pPr>
      <m:oMathPara>
        <m:oMathParaPr>
          <m:jc m:val="center"/>
        </m:oMathParaPr>
        <m:oMath>
          <m:sSub>
            <m:sSubPr>
              <m:ctrlPr>
                <w:rPr>
                  <w:rFonts w:ascii="Cambria Math" w:hAnsi="Cambria Math"/>
                  <w:i/>
                  <w:noProof/>
                </w:rPr>
              </m:ctrlPr>
            </m:sSubPr>
            <m:e>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r>
                <w:rPr>
                  <w:rFonts w:ascii="Cambria Math" w:hAnsi="Cambria Math"/>
                  <w:noProof/>
                </w:rPr>
                <m:t>=α</m:t>
              </m:r>
            </m:e>
            <m:sub>
              <m:r>
                <w:rPr>
                  <w:rFonts w:ascii="Cambria Math" w:hAnsi="Cambria Math"/>
                  <w:noProof/>
                </w:rPr>
                <m:t>i</m:t>
              </m:r>
            </m:sub>
          </m:sSub>
          <m:r>
            <w:rPr>
              <w:rFonts w:ascii="Cambria Math" w:hAnsi="Cambria Math"/>
              <w:noProof/>
            </w:rPr>
            <m:t>×(FS)</m:t>
          </m:r>
        </m:oMath>
      </m:oMathPara>
    </w:p>
    <w:p w:rsidR="00D41175" w:rsidRDefault="003D53EA">
      <w:pPr>
        <w:spacing w:before="0" w:after="200"/>
        <w:rPr>
          <w:noProof/>
        </w:rPr>
      </w:pPr>
      <w:r>
        <w:rPr>
          <w:noProof/>
        </w:rPr>
        <w:t>gdzie:</w:t>
      </w:r>
    </w:p>
    <w:p w:rsidR="00D41175" w:rsidRDefault="003D53EA">
      <w:pPr>
        <w:spacing w:before="0" w:after="200"/>
        <w:rPr>
          <w:noProof/>
        </w:rPr>
      </w:pPr>
      <w:r>
        <w:rPr>
          <w:i/>
          <w:noProof/>
        </w:rPr>
        <w:t>FS</w:t>
      </w:r>
      <w:r>
        <w:rPr>
          <w:noProof/>
        </w:rPr>
        <w:t xml:space="preserve"> (wsparcie finansowe) oznacza dostępną pulę środków finansowych w ramach Instrumentu, o której mowa w art. 5 ust. 1 lit. a); oraz </w:t>
      </w:r>
    </w:p>
    <w:p w:rsidR="00D41175" w:rsidRDefault="008D265F">
      <w:pPr>
        <w:spacing w:before="0" w:after="200"/>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sidR="003D53EA">
        <w:rPr>
          <w:noProof/>
        </w:rPr>
        <w:t xml:space="preserve"> oznacza klucz do ustalenia wkładu państwa członkowskiego </w:t>
      </w:r>
      <w:r w:rsidR="003D53EA">
        <w:rPr>
          <w:i/>
          <w:noProof/>
        </w:rPr>
        <w:t xml:space="preserve">i, </w:t>
      </w:r>
      <w:r w:rsidR="003D53EA">
        <w:rPr>
          <w:noProof/>
        </w:rPr>
        <w:t>zdefiniowany jako:</w:t>
      </w:r>
    </w:p>
    <w:p w:rsidR="00D41175" w:rsidRDefault="008D265F">
      <w:pPr>
        <w:spacing w:before="0" w:after="200"/>
        <w:jc w:val="cente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m:t>
        </m:r>
        <m:f>
          <m:fPr>
            <m:ctrlPr>
              <w:rPr>
                <w:rFonts w:ascii="Cambria Math" w:hAnsi="Cambria Math"/>
                <w:i/>
                <w:noProof/>
              </w:rPr>
            </m:ctrlPr>
          </m:fPr>
          <m:num>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num>
          <m:den>
            <m:nary>
              <m:naryPr>
                <m:chr m:val="∑"/>
                <m:grow m:val="1"/>
                <m:ctrlPr>
                  <w:rPr>
                    <w:rFonts w:ascii="Cambria Math" w:hAnsi="Cambria Math"/>
                    <w:noProof/>
                  </w:rPr>
                </m:ctrlPr>
              </m:naryPr>
              <m:sub>
                <m:r>
                  <w:rPr>
                    <w:rFonts w:ascii="Cambria Math" w:hAnsi="Cambria Math"/>
                    <w:noProof/>
                  </w:rPr>
                  <m:t>i=1</m:t>
                </m:r>
              </m:sub>
              <m:sup>
                <m:r>
                  <w:rPr>
                    <w:rFonts w:ascii="Cambria Math" w:hAnsi="Cambria Math"/>
                    <w:noProof/>
                  </w:rPr>
                  <m:t>27</m:t>
                </m:r>
              </m:sup>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e>
            </m:nary>
          </m:den>
        </m:f>
      </m:oMath>
      <w:r w:rsidR="003D53EA">
        <w:rPr>
          <w:noProof/>
        </w:rPr>
        <w:t xml:space="preserve">, </w:t>
      </w:r>
    </w:p>
    <w:p w:rsidR="00D41175" w:rsidRDefault="003D53EA">
      <w:pPr>
        <w:spacing w:before="0" w:after="200"/>
        <w:jc w:val="center"/>
        <w:rPr>
          <w:noProof/>
        </w:rPr>
      </w:pPr>
      <w:r>
        <w:rPr>
          <w:noProof/>
        </w:rPr>
        <w:t xml:space="preserve">przy </w:t>
      </w:r>
      <w:r>
        <w:rPr>
          <w:noProof/>
          <w:color w:val="000000" w:themeColor="text1"/>
          <w:sz w:val="20"/>
          <w:szCs w:val="20"/>
        </w:rPr>
        <w:t>1.</w:t>
      </w:r>
      <m:oMath>
        <m:r>
          <m:rPr>
            <m:sty m:val="p"/>
          </m:rPr>
          <w:rPr>
            <w:rFonts w:ascii="Cambria Math" w:eastAsia="Cambria Math" w:hAnsi="Cambria Math" w:cstheme="minorBidi"/>
            <w:noProof/>
            <w:color w:val="000000" w:themeColor="text1"/>
            <w:kern w:val="24"/>
            <w:sz w:val="20"/>
            <w:szCs w:val="20"/>
          </w:rPr>
          <m:t>5</m:t>
        </m:r>
        <m:r>
          <w:rPr>
            <w:rFonts w:ascii="Cambria Math" w:eastAsia="Cambria Math" w:hAnsi="Cambria Math" w:cstheme="minorBidi"/>
            <w:noProof/>
            <w:color w:val="000000" w:themeColor="text1"/>
            <w:kern w:val="24"/>
            <w:sz w:val="20"/>
            <w:szCs w:val="20"/>
          </w:rPr>
          <m:t>≥</m:t>
        </m:r>
        <m:f>
          <m:fPr>
            <m:ctrlPr>
              <w:rPr>
                <w:rFonts w:ascii="Cambria Math" w:eastAsiaTheme="minorEastAsia" w:hAnsi="Cambria Math" w:cstheme="minorBidi"/>
                <w:i/>
                <w:iCs/>
                <w:noProof/>
                <w:color w:val="000000" w:themeColor="text1"/>
                <w:kern w:val="24"/>
                <w:sz w:val="20"/>
                <w:szCs w:val="20"/>
              </w:rPr>
            </m:ctrlPr>
          </m:fPr>
          <m:num>
            <m:sSubSup>
              <m:sSubSupPr>
                <m:ctrlPr>
                  <w:rPr>
                    <w:rFonts w:ascii="Cambria Math" w:eastAsiaTheme="minorEastAsia" w:hAnsi="Cambria Math" w:cstheme="minorBidi"/>
                    <w:i/>
                    <w:iCs/>
                    <w:noProof/>
                    <w:color w:val="000000" w:themeColor="text1"/>
                    <w:kern w:val="24"/>
                    <w:sz w:val="20"/>
                    <w:szCs w:val="20"/>
                  </w:rPr>
                </m:ctrlPr>
              </m:sSubSupPr>
              <m:e>
                <m:r>
                  <w:rPr>
                    <w:rFonts w:ascii="Cambria Math" w:hAnsi="Cambria Math" w:cstheme="minorBidi"/>
                    <w:noProof/>
                    <w:color w:val="000000" w:themeColor="text1"/>
                    <w:kern w:val="24"/>
                    <w:sz w:val="20"/>
                    <w:szCs w:val="20"/>
                  </w:rPr>
                  <m:t>GDP</m:t>
                </m:r>
              </m:e>
              <m:sub>
                <m:r>
                  <w:rPr>
                    <w:rFonts w:ascii="Cambria Math" w:hAnsi="Cambria Math" w:cstheme="minorBidi"/>
                    <w:noProof/>
                    <w:color w:val="000000" w:themeColor="text1"/>
                    <w:kern w:val="24"/>
                    <w:sz w:val="20"/>
                    <w:szCs w:val="20"/>
                  </w:rPr>
                  <m:t>average </m:t>
                </m:r>
              </m:sub>
              <m:sup>
                <m:r>
                  <w:rPr>
                    <w:rFonts w:ascii="Cambria Math" w:hAnsi="Cambria Math" w:cstheme="minorBidi"/>
                    <w:noProof/>
                    <w:color w:val="000000" w:themeColor="text1"/>
                    <w:kern w:val="24"/>
                    <w:sz w:val="20"/>
                    <w:szCs w:val="20"/>
                  </w:rPr>
                  <m:t>PC</m:t>
                </m:r>
              </m:sup>
            </m:sSubSup>
          </m:num>
          <m:den>
            <m:sSubSup>
              <m:sSubSupPr>
                <m:ctrlPr>
                  <w:rPr>
                    <w:rFonts w:ascii="Cambria Math" w:eastAsiaTheme="minorEastAsia" w:hAnsi="Cambria Math" w:cstheme="minorBidi"/>
                    <w:i/>
                    <w:iCs/>
                    <w:noProof/>
                    <w:color w:val="000000" w:themeColor="text1"/>
                    <w:kern w:val="24"/>
                    <w:sz w:val="20"/>
                    <w:szCs w:val="20"/>
                  </w:rPr>
                </m:ctrlPr>
              </m:sSubSupPr>
              <m:e>
                <m:r>
                  <w:rPr>
                    <w:rFonts w:ascii="Cambria Math" w:hAnsi="Cambria Math" w:cstheme="minorBidi"/>
                    <w:noProof/>
                    <w:color w:val="000000" w:themeColor="text1"/>
                    <w:kern w:val="24"/>
                    <w:sz w:val="20"/>
                    <w:szCs w:val="20"/>
                  </w:rPr>
                  <m:t>GDP</m:t>
                </m:r>
              </m:e>
              <m:sub>
                <m:r>
                  <w:rPr>
                    <w:rFonts w:ascii="Cambria Math" w:hAnsi="Cambria Math" w:cstheme="minorBidi"/>
                    <w:noProof/>
                    <w:color w:val="000000" w:themeColor="text1"/>
                    <w:kern w:val="24"/>
                    <w:sz w:val="20"/>
                    <w:szCs w:val="20"/>
                  </w:rPr>
                  <m:t>i</m:t>
                </m:r>
              </m:sub>
              <m:sup>
                <m:r>
                  <w:rPr>
                    <w:rFonts w:ascii="Cambria Math" w:hAnsi="Cambria Math" w:cstheme="minorBidi"/>
                    <w:noProof/>
                    <w:color w:val="000000" w:themeColor="text1"/>
                    <w:kern w:val="24"/>
                    <w:sz w:val="20"/>
                    <w:szCs w:val="20"/>
                  </w:rPr>
                  <m:t>PC</m:t>
                </m:r>
              </m:sup>
            </m:sSubSup>
          </m:den>
        </m:f>
      </m:oMath>
      <w:r>
        <w:rPr>
          <w:noProof/>
        </w:rPr>
        <w:t xml:space="preserve"> </w:t>
      </w:r>
    </w:p>
    <w:p w:rsidR="00D41175" w:rsidRDefault="003D53EA">
      <w:pPr>
        <w:tabs>
          <w:tab w:val="left" w:pos="142"/>
          <w:tab w:val="left" w:pos="8647"/>
        </w:tabs>
        <w:spacing w:before="0" w:after="200"/>
        <w:jc w:val="center"/>
        <w:rPr>
          <w:noProof/>
        </w:rPr>
      </w:pPr>
      <w:r>
        <w:rPr>
          <w:noProof/>
        </w:rPr>
        <w:t>i przy ....</w:t>
      </w:r>
      <m:oMath>
        <m:sSub>
          <m:sSubPr>
            <m:ctrlPr>
              <w:rPr>
                <w:rFonts w:ascii="Cambria Math" w:hAnsi="Cambria Math"/>
                <w:i/>
                <w:noProof/>
              </w:rPr>
            </m:ctrlPr>
          </m:sSubPr>
          <m:e>
            <m:r>
              <w:rPr>
                <w:rFonts w:ascii="Cambria Math" w:hAnsi="Cambria Math"/>
                <w:noProof/>
              </w:rPr>
              <m:t>1.5≥U</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U</m:t>
            </m:r>
          </m:e>
          <m:sub>
            <m:r>
              <w:rPr>
                <w:rFonts w:ascii="Cambria Math" w:hAnsi="Cambria Math"/>
                <w:noProof/>
              </w:rPr>
              <m:t>iEU</m:t>
            </m:r>
          </m:sub>
        </m:sSub>
      </m:oMath>
      <w:r>
        <w:rPr>
          <w:noProof/>
        </w:rPr>
        <w:t xml:space="preserve"> </w:t>
      </w:r>
      <w:r>
        <w:rPr>
          <w:noProof/>
          <w:sz w:val="20"/>
          <w:szCs w:val="20"/>
        </w:rPr>
        <w:t>oraz</w:t>
      </w:r>
      <w:r>
        <w:rPr>
          <w:noProof/>
        </w:rPr>
        <w:t xml:space="preserve"> </w:t>
      </w:r>
      <w:r>
        <w:rPr>
          <w:noProof/>
          <w:color w:val="000000" w:themeColor="text1"/>
          <w:sz w:val="20"/>
          <w:szCs w:val="20"/>
        </w:rPr>
        <w:t>0,75</w:t>
      </w:r>
      <m:oMath>
        <m:r>
          <w:rPr>
            <w:rFonts w:ascii="Cambria Math" w:eastAsia="Cambria Math" w:hAnsi="Cambria Math" w:cstheme="minorBidi"/>
            <w:noProof/>
            <w:color w:val="000000" w:themeColor="text1"/>
            <w:kern w:val="24"/>
            <w:sz w:val="20"/>
            <w:szCs w:val="20"/>
          </w:rPr>
          <m:t>≥</m:t>
        </m:r>
        <m:sSub>
          <m:sSubPr>
            <m:ctrlPr>
              <w:rPr>
                <w:rFonts w:ascii="Cambria Math" w:eastAsiaTheme="minorEastAsia" w:hAnsi="Cambria Math" w:cstheme="minorBidi"/>
                <w:i/>
                <w:iCs/>
                <w:noProof/>
                <w:color w:val="000000" w:themeColor="text1"/>
                <w:kern w:val="24"/>
                <w:sz w:val="20"/>
                <w:szCs w:val="20"/>
              </w:rPr>
            </m:ctrlPr>
          </m:sSubPr>
          <m:e>
            <m:r>
              <w:rPr>
                <w:rFonts w:ascii="Cambria Math" w:hAnsi="Cambria Math" w:cstheme="minorBidi"/>
                <w:noProof/>
                <w:color w:val="000000" w:themeColor="text1"/>
                <w:kern w:val="24"/>
                <w:sz w:val="20"/>
                <w:szCs w:val="20"/>
              </w:rPr>
              <m:t>U</m:t>
            </m:r>
          </m:e>
          <m:sub>
            <m:r>
              <w:rPr>
                <w:rFonts w:ascii="Cambria Math" w:hAnsi="Cambria Math" w:cstheme="minorBidi"/>
                <w:noProof/>
                <w:color w:val="000000" w:themeColor="text1"/>
                <w:kern w:val="24"/>
                <w:sz w:val="20"/>
                <w:szCs w:val="20"/>
              </w:rPr>
              <m:t>i</m:t>
            </m:r>
          </m:sub>
        </m:sSub>
        <m:r>
          <w:rPr>
            <w:rFonts w:ascii="Cambria Math" w:hAnsi="Cambria Math" w:cstheme="minorBidi"/>
            <w:noProof/>
            <w:color w:val="000000" w:themeColor="text1"/>
            <w:kern w:val="24"/>
            <w:sz w:val="20"/>
            <w:szCs w:val="20"/>
          </w:rPr>
          <m:t>/</m:t>
        </m:r>
        <m:sSub>
          <m:sSubPr>
            <m:ctrlPr>
              <w:rPr>
                <w:rFonts w:ascii="Cambria Math" w:eastAsiaTheme="minorEastAsia" w:hAnsi="Cambria Math" w:cstheme="minorBidi"/>
                <w:i/>
                <w:iCs/>
                <w:noProof/>
                <w:color w:val="000000" w:themeColor="text1"/>
                <w:kern w:val="24"/>
                <w:sz w:val="20"/>
                <w:szCs w:val="20"/>
              </w:rPr>
            </m:ctrlPr>
          </m:sSubPr>
          <m:e>
            <m:r>
              <w:rPr>
                <w:rFonts w:ascii="Cambria Math" w:hAnsi="Cambria Math" w:cstheme="minorBidi"/>
                <w:noProof/>
                <w:color w:val="000000" w:themeColor="text1"/>
                <w:kern w:val="24"/>
                <w:sz w:val="20"/>
                <w:szCs w:val="20"/>
              </w:rPr>
              <m:t>U</m:t>
            </m:r>
          </m:e>
          <m:sub>
            <m:r>
              <w:rPr>
                <w:rFonts w:ascii="Cambria Math" w:hAnsi="Cambria Math" w:cstheme="minorBidi"/>
                <w:noProof/>
                <w:color w:val="000000" w:themeColor="text1"/>
                <w:kern w:val="24"/>
                <w:sz w:val="20"/>
                <w:szCs w:val="20"/>
              </w:rPr>
              <m:t>iEU</m:t>
            </m:r>
          </m:sub>
        </m:sSub>
      </m:oMath>
      <w:r>
        <w:rPr>
          <w:rFonts w:asciiTheme="minorHAnsi" w:hAnsi="Calibri"/>
          <w:noProof/>
          <w:color w:val="000000" w:themeColor="text1"/>
          <w:sz w:val="20"/>
          <w:szCs w:val="20"/>
        </w:rPr>
        <w:t xml:space="preserve"> </w:t>
      </w:r>
      <w:r>
        <w:rPr>
          <w:noProof/>
          <w:color w:val="000000" w:themeColor="text1"/>
          <w:sz w:val="20"/>
          <w:szCs w:val="20"/>
        </w:rPr>
        <w:t>dla państwa członkowskiego z</w:t>
      </w:r>
      <w:r>
        <w:rPr>
          <w:rFonts w:asciiTheme="minorHAnsi" w:hAnsi="Calibri"/>
          <w:noProof/>
          <w:color w:val="000000" w:themeColor="text1"/>
          <w:sz w:val="20"/>
          <w:szCs w:val="20"/>
        </w:rPr>
        <w:t xml:space="preserve"> </w:t>
      </w:r>
      <m:oMath>
        <m:sSubSup>
          <m:sSubSupPr>
            <m:ctrlPr>
              <w:rPr>
                <w:rFonts w:ascii="Cambria Math" w:eastAsiaTheme="minorEastAsia" w:hAnsi="Cambria Math" w:cstheme="minorBidi"/>
                <w:i/>
                <w:iCs/>
                <w:noProof/>
                <w:color w:val="000000" w:themeColor="text1"/>
                <w:kern w:val="24"/>
                <w:sz w:val="20"/>
                <w:szCs w:val="20"/>
              </w:rPr>
            </m:ctrlPr>
          </m:sSubSupPr>
          <m:e>
            <m:r>
              <w:rPr>
                <w:rFonts w:ascii="Cambria Math" w:hAnsi="Cambria Math" w:cstheme="minorBidi"/>
                <w:noProof/>
                <w:color w:val="000000" w:themeColor="text1"/>
                <w:kern w:val="24"/>
                <w:sz w:val="20"/>
                <w:szCs w:val="20"/>
              </w:rPr>
              <m:t>GDP</m:t>
            </m:r>
          </m:e>
          <m:sub>
            <m:r>
              <w:rPr>
                <w:rFonts w:ascii="Cambria Math" w:hAnsi="Cambria Math" w:cstheme="minorBidi"/>
                <w:noProof/>
                <w:color w:val="000000" w:themeColor="text1"/>
                <w:kern w:val="24"/>
                <w:sz w:val="20"/>
                <w:szCs w:val="20"/>
              </w:rPr>
              <m:t>i</m:t>
            </m:r>
          </m:sub>
          <m:sup>
            <m:r>
              <w:rPr>
                <w:rFonts w:ascii="Cambria Math" w:hAnsi="Cambria Math" w:cstheme="minorBidi"/>
                <w:noProof/>
                <w:color w:val="000000" w:themeColor="text1"/>
                <w:kern w:val="24"/>
                <w:sz w:val="20"/>
                <w:szCs w:val="20"/>
              </w:rPr>
              <m:t>PC</m:t>
            </m:r>
          </m:sup>
        </m:sSubSup>
        <m:r>
          <w:rPr>
            <w:rFonts w:ascii="Cambria Math" w:eastAsia="Cambria Math" w:hAnsi="Cambria Math" w:cstheme="minorBidi"/>
            <w:noProof/>
            <w:color w:val="000000" w:themeColor="text1"/>
            <w:kern w:val="24"/>
            <w:sz w:val="20"/>
            <w:szCs w:val="20"/>
          </w:rPr>
          <m:t>&gt;100% * </m:t>
        </m:r>
        <m:sSubSup>
          <m:sSubSupPr>
            <m:ctrlPr>
              <w:rPr>
                <w:rFonts w:ascii="Cambria Math" w:eastAsiaTheme="minorEastAsia" w:hAnsi="Cambria Math" w:cstheme="minorBidi"/>
                <w:i/>
                <w:iCs/>
                <w:noProof/>
                <w:color w:val="000000" w:themeColor="text1"/>
                <w:kern w:val="24"/>
                <w:sz w:val="20"/>
                <w:szCs w:val="20"/>
              </w:rPr>
            </m:ctrlPr>
          </m:sSubSupPr>
          <m:e>
            <m:r>
              <w:rPr>
                <w:rFonts w:ascii="Cambria Math" w:hAnsi="Cambria Math" w:cstheme="minorBidi"/>
                <w:noProof/>
                <w:color w:val="000000" w:themeColor="text1"/>
                <w:kern w:val="24"/>
                <w:sz w:val="20"/>
                <w:szCs w:val="20"/>
              </w:rPr>
              <m:t>GDP</m:t>
            </m:r>
          </m:e>
          <m:sub>
            <m:r>
              <w:rPr>
                <w:rFonts w:ascii="Cambria Math" w:hAnsi="Cambria Math" w:cstheme="minorBidi"/>
                <w:noProof/>
                <w:color w:val="000000" w:themeColor="text1"/>
                <w:kern w:val="24"/>
                <w:sz w:val="20"/>
                <w:szCs w:val="20"/>
              </w:rPr>
              <m:t>average </m:t>
            </m:r>
          </m:sub>
          <m:sup>
            <m:r>
              <w:rPr>
                <w:rFonts w:ascii="Cambria Math" w:hAnsi="Cambria Math" w:cstheme="minorBidi"/>
                <w:noProof/>
                <w:color w:val="000000" w:themeColor="text1"/>
                <w:kern w:val="24"/>
                <w:sz w:val="20"/>
                <w:szCs w:val="20"/>
              </w:rPr>
              <m:t>PC</m:t>
            </m:r>
          </m:sup>
        </m:sSubSup>
      </m:oMath>
    </w:p>
    <w:p w:rsidR="00D41175" w:rsidRDefault="00D41175">
      <w:pPr>
        <w:spacing w:before="0" w:after="200"/>
        <w:rPr>
          <w:noProof/>
        </w:rPr>
      </w:pPr>
    </w:p>
    <w:p w:rsidR="00D41175" w:rsidRDefault="003D53EA">
      <w:pPr>
        <w:spacing w:before="0" w:after="200"/>
        <w:rPr>
          <w:noProof/>
        </w:rPr>
      </w:pPr>
      <w:r>
        <w:rPr>
          <w:noProof/>
        </w:rPr>
        <w:t>Gdzie:</w:t>
      </w:r>
    </w:p>
    <w:p w:rsidR="00D41175" w:rsidRDefault="008D265F">
      <w:pPr>
        <w:spacing w:before="0" w:after="200"/>
        <w:rPr>
          <w:i/>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sidR="003D53EA">
        <w:rPr>
          <w:noProof/>
        </w:rPr>
        <w:t xml:space="preserve">  oznacza klucz do ustalenia wkładu państwa członkowskiego </w:t>
      </w:r>
      <w:r w:rsidR="003D53EA">
        <w:rPr>
          <w:i/>
          <w:noProof/>
        </w:rPr>
        <w:t>i</w:t>
      </w:r>
    </w:p>
    <w:p w:rsidR="00D41175" w:rsidRDefault="008D265F">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oMath>
      <w:r w:rsidR="003D53EA">
        <w:rPr>
          <w:noProof/>
        </w:rPr>
        <w:t xml:space="preserve"> oznacza produkt krajowy brutto państwa </w:t>
      </w:r>
      <w:r w:rsidR="003D53EA">
        <w:rPr>
          <w:i/>
          <w:noProof/>
        </w:rPr>
        <w:t>i</w:t>
      </w:r>
      <w:r w:rsidR="003D53EA">
        <w:rPr>
          <w:noProof/>
        </w:rPr>
        <w:t xml:space="preserve"> na mieszkańca w 2019 r.,</w:t>
      </w:r>
    </w:p>
    <w:p w:rsidR="00D41175" w:rsidRDefault="008D265F">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oMath>
      <w:r w:rsidR="003D53EA">
        <w:rPr>
          <w:i/>
          <w:noProof/>
        </w:rPr>
        <w:t xml:space="preserve"> </w:t>
      </w:r>
      <w:r w:rsidR="003D53EA">
        <w:rPr>
          <w:noProof/>
        </w:rPr>
        <w:t>oznacza średnią ważoną produktu krajowego brutto na mieszkańca państw członkowskich UE-27 w 2019 r.,</w:t>
      </w:r>
    </w:p>
    <w:p w:rsidR="00D41175" w:rsidRDefault="008D265F">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sidR="003D53EA">
        <w:rPr>
          <w:noProof/>
        </w:rPr>
        <w:t xml:space="preserve"> oznacza całkowitą liczbę ludności państwa </w:t>
      </w:r>
      <w:r w:rsidR="003D53EA">
        <w:rPr>
          <w:i/>
          <w:noProof/>
        </w:rPr>
        <w:t>i,</w:t>
      </w:r>
      <w:r w:rsidR="003D53EA">
        <w:rPr>
          <w:noProof/>
        </w:rPr>
        <w:t xml:space="preserve"> w 2019 r.</w:t>
      </w:r>
    </w:p>
    <w:p w:rsidR="00D41175" w:rsidRDefault="008D265F">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sidR="003D53EA">
        <w:rPr>
          <w:noProof/>
        </w:rPr>
        <w:t xml:space="preserve"> oznacza całkowitą liczbę ludności państw członkowskich UE-27 w 2019 r.</w:t>
      </w:r>
    </w:p>
    <w:p w:rsidR="00D41175" w:rsidRDefault="008D265F">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oMath>
      <w:r w:rsidR="003D53EA">
        <w:rPr>
          <w:noProof/>
        </w:rPr>
        <w:t xml:space="preserve"> oznacza średni wskaźnik bezrobocia państwa </w:t>
      </w:r>
      <w:r w:rsidR="003D53EA">
        <w:rPr>
          <w:i/>
          <w:noProof/>
        </w:rPr>
        <w:t>i</w:t>
      </w:r>
      <w:r w:rsidR="003D53EA">
        <w:rPr>
          <w:noProof/>
        </w:rPr>
        <w:t xml:space="preserve"> w latach 2015-2019</w:t>
      </w:r>
      <w:r w:rsidR="003D53EA">
        <w:rPr>
          <w:i/>
          <w:noProof/>
        </w:rPr>
        <w:t xml:space="preserve"> </w:t>
      </w:r>
    </w:p>
    <w:p w:rsidR="00D41175" w:rsidRDefault="008D265F">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oMath>
      <w:r w:rsidR="003D53EA">
        <w:rPr>
          <w:noProof/>
        </w:rPr>
        <w:t xml:space="preserve"> oznacza średni wskaźnik bezrobocia państw członkowskich UE-27 w latach 2015-2019</w:t>
      </w:r>
      <w:r w:rsidR="003D53EA">
        <w:rPr>
          <w:i/>
          <w:noProof/>
        </w:rPr>
        <w:t xml:space="preserve"> </w:t>
      </w:r>
    </w:p>
    <w:p w:rsidR="00D41175" w:rsidRDefault="003D53EA">
      <w:pPr>
        <w:spacing w:before="0" w:after="200"/>
        <w:rPr>
          <w:noProof/>
        </w:rPr>
      </w:pPr>
      <w:r>
        <w:rPr>
          <w:noProof/>
        </w:rPr>
        <w:t>W wyniku zastosowania tej metody uzyskuje się następujące udziały i kwoty maksymalnego wkładu finansowego dla każdego państwa członkowskiego.</w:t>
      </w:r>
    </w:p>
    <w:p w:rsidR="00D41175" w:rsidRDefault="00D41175">
      <w:pPr>
        <w:rPr>
          <w:noProof/>
        </w:rPr>
      </w:pPr>
    </w:p>
    <w:tbl>
      <w:tblPr>
        <w:tblW w:w="3280" w:type="dxa"/>
        <w:jc w:val="center"/>
        <w:tblLook w:val="04A0" w:firstRow="1" w:lastRow="0" w:firstColumn="1" w:lastColumn="0" w:noHBand="0" w:noVBand="1"/>
      </w:tblPr>
      <w:tblGrid>
        <w:gridCol w:w="921"/>
        <w:gridCol w:w="1031"/>
        <w:gridCol w:w="1460"/>
      </w:tblGrid>
      <w:tr w:rsidR="00D41175">
        <w:trPr>
          <w:trHeight w:val="1220"/>
          <w:jc w:val="center"/>
        </w:trPr>
        <w:tc>
          <w:tcPr>
            <w:tcW w:w="3280" w:type="dxa"/>
            <w:gridSpan w:val="3"/>
            <w:tcBorders>
              <w:top w:val="single" w:sz="8" w:space="0" w:color="auto"/>
              <w:left w:val="single" w:sz="8" w:space="0" w:color="auto"/>
              <w:bottom w:val="single" w:sz="4" w:space="0" w:color="auto"/>
              <w:right w:val="single" w:sz="8" w:space="0" w:color="000000"/>
            </w:tcBorders>
            <w:shd w:val="clear" w:color="000000" w:fill="D0CECE"/>
            <w:vAlign w:val="center"/>
            <w:hideMark/>
          </w:tcPr>
          <w:p w:rsidR="00D41175" w:rsidRDefault="003D53EA">
            <w:pPr>
              <w:spacing w:before="0" w:after="0"/>
              <w:jc w:val="center"/>
              <w:rPr>
                <w:rFonts w:ascii="Calibri" w:eastAsia="Times New Roman" w:hAnsi="Calibri" w:cs="Calibri"/>
                <w:b/>
                <w:bCs/>
                <w:noProof/>
                <w:color w:val="000000"/>
                <w:sz w:val="22"/>
              </w:rPr>
            </w:pPr>
            <w:r>
              <w:rPr>
                <w:rFonts w:ascii="Calibri" w:eastAsia="Times New Roman" w:hAnsi="Calibri" w:cs="Calibri"/>
                <w:b/>
                <w:bCs/>
                <w:noProof/>
                <w:color w:val="000000"/>
                <w:sz w:val="22"/>
              </w:rPr>
              <w:t>Maksymalny wkład finansowy na państwo członkowskie UE</w:t>
            </w:r>
          </w:p>
        </w:tc>
      </w:tr>
      <w:tr w:rsidR="00D41175">
        <w:trPr>
          <w:trHeight w:val="870"/>
          <w:jc w:val="center"/>
        </w:trPr>
        <w:tc>
          <w:tcPr>
            <w:tcW w:w="789" w:type="dxa"/>
            <w:tcBorders>
              <w:top w:val="nil"/>
              <w:left w:val="single" w:sz="8" w:space="0" w:color="auto"/>
              <w:bottom w:val="single" w:sz="4" w:space="0" w:color="auto"/>
              <w:right w:val="single" w:sz="4" w:space="0" w:color="auto"/>
            </w:tcBorders>
            <w:shd w:val="clear" w:color="000000" w:fill="D0CECE"/>
            <w:noWrap/>
            <w:vAlign w:val="center"/>
            <w:hideMark/>
          </w:tcPr>
          <w:p w:rsidR="00D41175" w:rsidRDefault="003D53EA">
            <w:pPr>
              <w:spacing w:before="0" w:after="0"/>
              <w:jc w:val="center"/>
              <w:rPr>
                <w:rFonts w:ascii="Calibri" w:eastAsia="Times New Roman" w:hAnsi="Calibri" w:cs="Calibri"/>
                <w:i/>
                <w:iCs/>
                <w:noProof/>
                <w:color w:val="000000"/>
                <w:sz w:val="22"/>
              </w:rPr>
            </w:pPr>
            <w:r>
              <w:rPr>
                <w:rFonts w:ascii="Calibri" w:eastAsia="Times New Roman" w:hAnsi="Calibri" w:cs="Calibri"/>
                <w:i/>
                <w:iCs/>
                <w:noProof/>
                <w:color w:val="000000"/>
                <w:sz w:val="22"/>
              </w:rPr>
              <w:t> </w:t>
            </w:r>
          </w:p>
        </w:tc>
        <w:tc>
          <w:tcPr>
            <w:tcW w:w="1031" w:type="dxa"/>
            <w:tcBorders>
              <w:top w:val="nil"/>
              <w:left w:val="nil"/>
              <w:bottom w:val="single" w:sz="4" w:space="0" w:color="auto"/>
              <w:right w:val="single" w:sz="4" w:space="0" w:color="auto"/>
            </w:tcBorders>
            <w:shd w:val="clear" w:color="000000" w:fill="D0CECE"/>
            <w:vAlign w:val="center"/>
            <w:hideMark/>
          </w:tcPr>
          <w:p w:rsidR="00D41175" w:rsidRDefault="003D53EA">
            <w:pPr>
              <w:spacing w:before="0" w:after="0"/>
              <w:jc w:val="center"/>
              <w:rPr>
                <w:rFonts w:ascii="Calibri" w:eastAsia="Times New Roman" w:hAnsi="Calibri" w:cs="Calibri"/>
                <w:i/>
                <w:iCs/>
                <w:noProof/>
                <w:color w:val="000000"/>
                <w:sz w:val="22"/>
              </w:rPr>
            </w:pPr>
            <w:r>
              <w:rPr>
                <w:rFonts w:ascii="Calibri" w:eastAsia="Times New Roman" w:hAnsi="Calibri" w:cs="Calibri"/>
                <w:i/>
                <w:iCs/>
                <w:noProof/>
                <w:color w:val="000000"/>
                <w:sz w:val="22"/>
              </w:rPr>
              <w:t>Udział % w łącznej kwocie</w:t>
            </w:r>
          </w:p>
        </w:tc>
        <w:tc>
          <w:tcPr>
            <w:tcW w:w="1460" w:type="dxa"/>
            <w:tcBorders>
              <w:top w:val="nil"/>
              <w:left w:val="nil"/>
              <w:bottom w:val="single" w:sz="4" w:space="0" w:color="auto"/>
              <w:right w:val="single" w:sz="8" w:space="0" w:color="auto"/>
            </w:tcBorders>
            <w:shd w:val="clear" w:color="000000" w:fill="D0CECE"/>
            <w:vAlign w:val="center"/>
            <w:hideMark/>
          </w:tcPr>
          <w:p w:rsidR="00D41175" w:rsidRDefault="003D53EA">
            <w:pPr>
              <w:spacing w:before="0" w:after="0"/>
              <w:jc w:val="center"/>
              <w:rPr>
                <w:rFonts w:ascii="Calibri" w:eastAsia="Times New Roman" w:hAnsi="Calibri" w:cs="Calibri"/>
                <w:i/>
                <w:iCs/>
                <w:noProof/>
                <w:color w:val="000000"/>
                <w:sz w:val="22"/>
              </w:rPr>
            </w:pPr>
            <w:r>
              <w:rPr>
                <w:rFonts w:ascii="Calibri" w:eastAsia="Times New Roman" w:hAnsi="Calibri" w:cs="Calibri"/>
                <w:i/>
                <w:iCs/>
                <w:noProof/>
                <w:color w:val="000000"/>
                <w:sz w:val="22"/>
              </w:rPr>
              <w:t>Kwota (w mln, ceny z 2018 r.)</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BE</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1,56</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4821</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BG</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1,98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6131</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CZ</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1,51</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4678</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DK</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0,56</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1723</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DE</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6,95</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21545</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EE</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0,32</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1004</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IE</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0,39</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1209</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EL</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5,77</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17874</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ES</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19,88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61618</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FR</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10,38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32167</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HR</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1,98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6125</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IT</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20,45</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63380</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CY</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0,35</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1082</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LV</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0,70</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2170</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LT</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0,89</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2766</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LU</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0,03</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101</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HU</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1,98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6136</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MT</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0,07</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226</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NL</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1,68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5197</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AT</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0,95</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2950</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PL</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8,65</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26808</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PT</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4,16</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12905</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RO</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4,36</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13505</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SI</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0,55</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1693</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lastRenderedPageBreak/>
              <w:t>SK</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1,98</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6140</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FI</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0,71</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2196</w:t>
            </w:r>
          </w:p>
        </w:tc>
      </w:tr>
      <w:tr w:rsidR="00D41175">
        <w:trPr>
          <w:trHeight w:val="290"/>
          <w:jc w:val="center"/>
        </w:trPr>
        <w:tc>
          <w:tcPr>
            <w:tcW w:w="789" w:type="dxa"/>
            <w:tcBorders>
              <w:top w:val="nil"/>
              <w:left w:val="single" w:sz="8" w:space="0" w:color="auto"/>
              <w:bottom w:val="single" w:sz="4"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SE</w:t>
            </w:r>
          </w:p>
        </w:tc>
        <w:tc>
          <w:tcPr>
            <w:tcW w:w="1031" w:type="dxa"/>
            <w:tcBorders>
              <w:top w:val="nil"/>
              <w:left w:val="nil"/>
              <w:bottom w:val="single" w:sz="4"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1,24</w:t>
            </w:r>
          </w:p>
        </w:tc>
        <w:tc>
          <w:tcPr>
            <w:tcW w:w="1460" w:type="dxa"/>
            <w:tcBorders>
              <w:top w:val="nil"/>
              <w:left w:val="nil"/>
              <w:bottom w:val="single" w:sz="4"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3849</w:t>
            </w:r>
          </w:p>
        </w:tc>
      </w:tr>
      <w:tr w:rsidR="00D41175">
        <w:trPr>
          <w:trHeight w:val="300"/>
          <w:jc w:val="center"/>
        </w:trPr>
        <w:tc>
          <w:tcPr>
            <w:tcW w:w="789" w:type="dxa"/>
            <w:tcBorders>
              <w:top w:val="nil"/>
              <w:left w:val="single" w:sz="8" w:space="0" w:color="auto"/>
              <w:bottom w:val="single" w:sz="8" w:space="0" w:color="auto"/>
              <w:right w:val="single" w:sz="4" w:space="0" w:color="auto"/>
            </w:tcBorders>
            <w:shd w:val="clear" w:color="000000" w:fill="D0CECE"/>
            <w:noWrap/>
            <w:vAlign w:val="bottom"/>
            <w:hideMark/>
          </w:tcPr>
          <w:p w:rsidR="00D41175" w:rsidRDefault="003D53EA">
            <w:pPr>
              <w:spacing w:before="0" w:after="0"/>
              <w:jc w:val="left"/>
              <w:rPr>
                <w:rFonts w:ascii="Calibri" w:eastAsia="Times New Roman" w:hAnsi="Calibri" w:cs="Calibri"/>
                <w:noProof/>
                <w:color w:val="000000"/>
                <w:sz w:val="22"/>
              </w:rPr>
            </w:pPr>
            <w:r>
              <w:rPr>
                <w:rFonts w:ascii="Calibri" w:eastAsia="Times New Roman" w:hAnsi="Calibri" w:cs="Calibri"/>
                <w:noProof/>
                <w:color w:val="000000"/>
                <w:sz w:val="22"/>
              </w:rPr>
              <w:t>Ogółem</w:t>
            </w:r>
          </w:p>
        </w:tc>
        <w:tc>
          <w:tcPr>
            <w:tcW w:w="1031" w:type="dxa"/>
            <w:tcBorders>
              <w:top w:val="nil"/>
              <w:left w:val="nil"/>
              <w:bottom w:val="single" w:sz="8" w:space="0" w:color="auto"/>
              <w:right w:val="single" w:sz="4"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100,00</w:t>
            </w:r>
          </w:p>
        </w:tc>
        <w:tc>
          <w:tcPr>
            <w:tcW w:w="1460" w:type="dxa"/>
            <w:tcBorders>
              <w:top w:val="nil"/>
              <w:left w:val="nil"/>
              <w:bottom w:val="single" w:sz="8" w:space="0" w:color="auto"/>
              <w:right w:val="single" w:sz="8" w:space="0" w:color="auto"/>
            </w:tcBorders>
            <w:shd w:val="clear" w:color="auto" w:fill="auto"/>
            <w:noWrap/>
            <w:vAlign w:val="bottom"/>
            <w:hideMark/>
          </w:tcPr>
          <w:p w:rsidR="00D41175" w:rsidRDefault="003D53EA">
            <w:pPr>
              <w:spacing w:before="0" w:after="0"/>
              <w:jc w:val="center"/>
              <w:rPr>
                <w:rFonts w:ascii="Calibri" w:eastAsia="Times New Roman" w:hAnsi="Calibri" w:cs="Calibri"/>
                <w:noProof/>
                <w:color w:val="000000"/>
                <w:sz w:val="22"/>
              </w:rPr>
            </w:pPr>
            <w:r>
              <w:rPr>
                <w:rFonts w:ascii="Calibri" w:eastAsia="Times New Roman" w:hAnsi="Calibri" w:cs="Calibri"/>
                <w:noProof/>
                <w:color w:val="000000"/>
                <w:sz w:val="22"/>
              </w:rPr>
              <w:t>310000</w:t>
            </w:r>
          </w:p>
        </w:tc>
      </w:tr>
    </w:tbl>
    <w:p w:rsidR="00D41175" w:rsidRDefault="00D41175">
      <w:pPr>
        <w:jc w:val="center"/>
        <w:rPr>
          <w:noProof/>
        </w:rPr>
        <w:sectPr w:rsidR="00D41175">
          <w:footerReference w:type="default" r:id="rId16"/>
          <w:footerReference w:type="first" r:id="rId17"/>
          <w:pgSz w:w="11907" w:h="16839"/>
          <w:pgMar w:top="1134" w:right="1417" w:bottom="1134" w:left="1417" w:header="709" w:footer="709" w:gutter="0"/>
          <w:cols w:space="720"/>
          <w:docGrid w:linePitch="360"/>
        </w:sectPr>
      </w:pPr>
    </w:p>
    <w:p w:rsidR="00D41175" w:rsidRDefault="003D53EA">
      <w:pPr>
        <w:pStyle w:val="Annexetitre"/>
        <w:rPr>
          <w:noProof/>
        </w:rPr>
      </w:pPr>
      <w:r>
        <w:rPr>
          <w:noProof/>
        </w:rPr>
        <w:lastRenderedPageBreak/>
        <w:t>ZAŁĄCZNIK II</w:t>
      </w:r>
    </w:p>
    <w:p w:rsidR="00D41175" w:rsidRDefault="003D53EA">
      <w:pPr>
        <w:jc w:val="center"/>
        <w:rPr>
          <w:noProof/>
        </w:rPr>
      </w:pPr>
      <w:r>
        <w:rPr>
          <w:b/>
          <w:noProof/>
        </w:rPr>
        <w:t>Wytyczne dotyczące oceny Instrumentu</w:t>
      </w:r>
    </w:p>
    <w:p w:rsidR="00D41175" w:rsidRDefault="003D53EA">
      <w:pPr>
        <w:spacing w:before="0" w:after="200"/>
        <w:rPr>
          <w:b/>
          <w:noProof/>
        </w:rPr>
      </w:pPr>
      <w:r>
        <w:rPr>
          <w:b/>
          <w:noProof/>
        </w:rPr>
        <w:t xml:space="preserve">1. Zakres </w:t>
      </w:r>
    </w:p>
    <w:p w:rsidR="00D41175" w:rsidRDefault="003D53EA">
      <w:pPr>
        <w:spacing w:before="0" w:after="200"/>
        <w:rPr>
          <w:noProof/>
        </w:rPr>
      </w:pPr>
      <w:r>
        <w:rPr>
          <w:noProof/>
        </w:rPr>
        <w:t xml:space="preserve">Niniejsze wytyczne wraz z rozporządzeniem mają służyć Komisji jako podstawa do przejrzystej i sprawiedliwej oceny planów odbudowy i zwiększenia odporności przedstawionych przez państwa członkowskie oraz do określenia wkładu finansowego, zgodnie z celami i wszelkimi innymi odpowiednimi wymogami określonymi w niniejszym rozporządzeniu. Wytyczne te stanowią w szczególności podstawę do stosowania kryteriów oceny i ustalania wkładu finansowego, o których mowa, odpowiednio, w art. 16 ust. 3 i art. 17 ust. 3. </w:t>
      </w:r>
    </w:p>
    <w:p w:rsidR="00D41175" w:rsidRDefault="003D53EA">
      <w:pPr>
        <w:spacing w:before="0" w:after="200"/>
        <w:rPr>
          <w:noProof/>
        </w:rPr>
      </w:pPr>
      <w:r>
        <w:rPr>
          <w:noProof/>
        </w:rPr>
        <w:t xml:space="preserve">Wytyczne dotyczące oceny mają na celu: </w:t>
      </w:r>
    </w:p>
    <w:p w:rsidR="00D41175" w:rsidRDefault="003D53EA">
      <w:pPr>
        <w:spacing w:before="0" w:after="200"/>
        <w:rPr>
          <w:noProof/>
        </w:rPr>
      </w:pPr>
      <w:r>
        <w:rPr>
          <w:noProof/>
        </w:rPr>
        <w:t xml:space="preserve">a) zapewnienie dodatkowych wskazówek dotyczących procesu oceny projektów planów odbudowy i zwiększenia odporności składanych przez państwa członkowskie; </w:t>
      </w:r>
    </w:p>
    <w:p w:rsidR="00D41175" w:rsidRDefault="003D53EA">
      <w:pPr>
        <w:spacing w:before="0" w:after="200"/>
        <w:rPr>
          <w:noProof/>
        </w:rPr>
      </w:pPr>
      <w:r>
        <w:rPr>
          <w:noProof/>
        </w:rPr>
        <w:t>b) zapewnienie bardziej szczegółowego opisu kryteriów oceny i określenie systemu oceny ratingowej, który należy stworzyć w celu zapewnienia sprawiedliwego i przejrzystego procesu oceny; oraz</w:t>
      </w:r>
    </w:p>
    <w:p w:rsidR="00D41175" w:rsidRDefault="003D53EA">
      <w:pPr>
        <w:spacing w:before="0" w:after="200"/>
        <w:rPr>
          <w:noProof/>
        </w:rPr>
      </w:pPr>
      <w:r>
        <w:rPr>
          <w:noProof/>
        </w:rPr>
        <w:t xml:space="preserve">c) określenie związku między oceną, której ma dokonać Komisja na podstawie kryteriów oceny, a ustaleniem wkładu finansowego, który zostanie wskazany w decyzji Komisji dotyczącej wybranych planów odbudowy i zwiększenia odporności. </w:t>
      </w:r>
    </w:p>
    <w:p w:rsidR="00D41175" w:rsidRDefault="003D53EA">
      <w:pPr>
        <w:spacing w:before="0" w:after="200"/>
        <w:rPr>
          <w:noProof/>
        </w:rPr>
      </w:pPr>
      <w:r>
        <w:rPr>
          <w:noProof/>
        </w:rPr>
        <w:t xml:space="preserve">Wytyczne te są narzędziem ułatwiającym Komisji ocenę projektów planów odbudowy i zwiększenia odporności przedłożonych przez państwa członkowskie oraz zapewniającym, aby plany odbudowy i zwiększenia odporności wspierały reformy i inwestycje publiczne, które są istotne i charakteryzują się wysoką wartością dodaną, przy jednoczesnym zapewnieniu równego traktowania państw członkowskich. </w:t>
      </w:r>
    </w:p>
    <w:p w:rsidR="00D41175" w:rsidRDefault="003D53EA">
      <w:pPr>
        <w:spacing w:before="0" w:after="200"/>
        <w:rPr>
          <w:b/>
          <w:noProof/>
        </w:rPr>
      </w:pPr>
      <w:r>
        <w:rPr>
          <w:b/>
          <w:noProof/>
        </w:rPr>
        <w:t>2. Kryteria oceny</w:t>
      </w:r>
    </w:p>
    <w:p w:rsidR="00D41175" w:rsidRDefault="003D53EA">
      <w:pPr>
        <w:spacing w:before="0" w:after="200"/>
        <w:rPr>
          <w:noProof/>
        </w:rPr>
      </w:pPr>
      <w:r>
        <w:rPr>
          <w:noProof/>
        </w:rPr>
        <w:t xml:space="preserve">Zgodnie z art. 16 ust. 3 Komisja ocenia znaczenie i spójność planu odbudowy i zwiększenia odporności oraz jego wkład w transformację ekologiczną i cyfrową i w tym celu uwzględnia następujące kryteria: </w:t>
      </w:r>
    </w:p>
    <w:p w:rsidR="00D41175" w:rsidRDefault="003D53EA">
      <w:pPr>
        <w:pStyle w:val="Point1"/>
        <w:rPr>
          <w:noProof/>
        </w:rPr>
      </w:pPr>
      <w:r>
        <w:rPr>
          <w:noProof/>
        </w:rPr>
        <w:t>a)</w:t>
      </w:r>
      <w:r>
        <w:rPr>
          <w:noProof/>
        </w:rPr>
        <w:tab/>
        <w:t>czy plan odbudowy i zwiększenia odporności ma się przyczynić do skutecznego sprostania wyzwaniom zidentyfikowanym w odpowiednich zaleceniach skierowanych do danego państwa członkowskiego lub w innych stosownych dokumentach oficjalnie przyjętych przez Komisję w ramach europejskiego semestru;</w:t>
      </w:r>
    </w:p>
    <w:p w:rsidR="00D41175" w:rsidRDefault="003D53EA">
      <w:pPr>
        <w:pStyle w:val="Point1"/>
        <w:rPr>
          <w:noProof/>
        </w:rPr>
      </w:pPr>
      <w:r>
        <w:rPr>
          <w:noProof/>
        </w:rPr>
        <w:t>b)</w:t>
      </w:r>
      <w:r>
        <w:rPr>
          <w:noProof/>
        </w:rPr>
        <w:tab/>
        <w:t>czy plan zawiera środki, które skutecznie przyczyniają się do transformacji ekologicznej i cyfrowej lub do sprostania wyzwaniom, które z niej wynikają;</w:t>
      </w:r>
    </w:p>
    <w:p w:rsidR="00D41175" w:rsidRDefault="003D53EA">
      <w:pPr>
        <w:pStyle w:val="Point1"/>
        <w:rPr>
          <w:noProof/>
        </w:rPr>
      </w:pPr>
      <w:r>
        <w:rPr>
          <w:noProof/>
        </w:rPr>
        <w:t>c)</w:t>
      </w:r>
      <w:r>
        <w:rPr>
          <w:noProof/>
        </w:rPr>
        <w:tab/>
        <w:t xml:space="preserve">czy plan odbudowy i zwiększenia odporności ma mieć trwały wpływ na dane państwo członkowskie; </w:t>
      </w:r>
    </w:p>
    <w:p w:rsidR="00D41175" w:rsidRDefault="003D53EA">
      <w:pPr>
        <w:pStyle w:val="Point1"/>
        <w:rPr>
          <w:noProof/>
        </w:rPr>
      </w:pPr>
      <w:r>
        <w:rPr>
          <w:noProof/>
        </w:rPr>
        <w:t>d)</w:t>
      </w:r>
      <w:r>
        <w:rPr>
          <w:noProof/>
        </w:rPr>
        <w:tab/>
        <w:t xml:space="preserve">czy plan odbudowy i zwiększenia odporności ma skutecznie przyczynić się do zwiększenia potencjału wzrostu gospodarczego, tworzenia miejsc pracy oraz do odporności gospodarczej i społecznej państwa członkowskiego, złagodzenia skutków kryzysu gospodarczego i społecznego oraz ma przyczynić się do zwiększenia spójności gospodarczej, społecznej i terytorialnej; </w:t>
      </w:r>
    </w:p>
    <w:p w:rsidR="00D41175" w:rsidRDefault="003D53EA">
      <w:pPr>
        <w:pStyle w:val="Point1"/>
        <w:rPr>
          <w:noProof/>
        </w:rPr>
      </w:pPr>
      <w:r>
        <w:rPr>
          <w:noProof/>
        </w:rPr>
        <w:lastRenderedPageBreak/>
        <w:t>e)</w:t>
      </w:r>
      <w:r>
        <w:rPr>
          <w:noProof/>
        </w:rPr>
        <w:tab/>
        <w:t xml:space="preserve">czy uzasadnienie przedstawione przez państwo członkowskie dotyczące kwoty szacunkowych całkowitych kosztów przedłożonego planu odbudowy i zwiększenia odporności jest rozsądne, wiarygodne i proporcjonalne do spodziewanego wpływu na gospodarkę i zatrudnienie; </w:t>
      </w:r>
    </w:p>
    <w:p w:rsidR="00D41175" w:rsidRDefault="003D53EA">
      <w:pPr>
        <w:pStyle w:val="Point1"/>
        <w:rPr>
          <w:noProof/>
        </w:rPr>
      </w:pPr>
      <w:r>
        <w:rPr>
          <w:noProof/>
        </w:rPr>
        <w:t>f)</w:t>
      </w:r>
      <w:r>
        <w:rPr>
          <w:noProof/>
        </w:rPr>
        <w:tab/>
        <w:t>czy plan odbudowy i zwiększenia odporności zawiera środki przeprowadzenia reform i inwestycji publicznych, które stanowią spójne działania;</w:t>
      </w:r>
    </w:p>
    <w:p w:rsidR="00D41175" w:rsidRDefault="003D53EA">
      <w:pPr>
        <w:pStyle w:val="Point1"/>
        <w:rPr>
          <w:noProof/>
        </w:rPr>
      </w:pPr>
      <w:r>
        <w:rPr>
          <w:noProof/>
        </w:rPr>
        <w:t>g)</w:t>
      </w:r>
      <w:r>
        <w:rPr>
          <w:noProof/>
        </w:rPr>
        <w:tab/>
        <w:t xml:space="preserve"> czy ustalenia proponowane przez dane państwa członkowskie mają zapewnić skuteczną realizację planu odbudowy i zwiększenia odporności, w tym osiągnięcie proponowanych celów pośrednich i końcowych, a także odpowiednich wskaźników.  </w:t>
      </w:r>
    </w:p>
    <w:p w:rsidR="00D41175" w:rsidRDefault="00D41175">
      <w:pPr>
        <w:spacing w:before="0" w:after="200"/>
        <w:ind w:left="720" w:firstLine="1"/>
        <w:contextualSpacing/>
        <w:rPr>
          <w:noProof/>
        </w:rPr>
      </w:pPr>
    </w:p>
    <w:p w:rsidR="00D41175" w:rsidRDefault="003D53EA">
      <w:pPr>
        <w:spacing w:before="0" w:after="200"/>
        <w:rPr>
          <w:noProof/>
        </w:rPr>
      </w:pPr>
      <w:r>
        <w:rPr>
          <w:noProof/>
        </w:rPr>
        <w:t>W wyniku procesu oceny Komisja nadaje – w odniesieniu do każdego z kryteriów oceny, o których mowa w art. 16 ust. 3 – określony rating projektom planów odbudowy i zwiększenia odporności przedłożonym przez państwa członkowskie, aby ocenić znaczenie i spójność tych planów oraz aby ustalić alokację finansową zgodnie z art. 17 ust. 3.</w:t>
      </w:r>
    </w:p>
    <w:p w:rsidR="00D41175" w:rsidRDefault="003D53EA">
      <w:pPr>
        <w:spacing w:before="0" w:after="200"/>
        <w:rPr>
          <w:noProof/>
        </w:rPr>
      </w:pPr>
      <w:r>
        <w:rPr>
          <w:noProof/>
        </w:rPr>
        <w:t>W celu uproszczenia i usprawnienia systemu ocen ratingowych, skala ratingu sięga od A do C, jak określono poniżej:</w:t>
      </w:r>
    </w:p>
    <w:p w:rsidR="00D41175" w:rsidRDefault="003D53EA">
      <w:pPr>
        <w:spacing w:before="0" w:after="200"/>
        <w:ind w:left="567"/>
        <w:rPr>
          <w:b/>
          <w:i/>
          <w:noProof/>
        </w:rPr>
      </w:pPr>
      <w:r>
        <w:rPr>
          <w:b/>
          <w:i/>
          <w:noProof/>
        </w:rPr>
        <w:t>2.1 Plan odbudowy i zwiększenia odporności ma się przyczynić do skutecznego sprostania takim wyzwaniom zidentyfikowanym w odpowiednich zaleceniach skierowanych do danego państwa członkowskiego lub w innych stosownych dokumentach oficjalnie przyjętych przez Komisję w ramach europejskiego semestru.</w:t>
      </w:r>
    </w:p>
    <w:p w:rsidR="00D41175" w:rsidRDefault="003D53EA">
      <w:pPr>
        <w:spacing w:before="0" w:after="0"/>
        <w:rPr>
          <w:noProof/>
        </w:rPr>
      </w:pPr>
      <w:r>
        <w:rPr>
          <w:noProof/>
        </w:rPr>
        <w:t xml:space="preserve">Dokonując oceny pod kątem tego kryterium, Komisja bierze pod uwagę następujące czynniki: </w:t>
      </w:r>
    </w:p>
    <w:p w:rsidR="00D41175" w:rsidRDefault="00D41175">
      <w:pPr>
        <w:spacing w:before="0" w:after="0"/>
        <w:rPr>
          <w:b/>
          <w:i/>
          <w:noProof/>
        </w:rPr>
      </w:pPr>
    </w:p>
    <w:p w:rsidR="00D41175" w:rsidRDefault="003D53EA">
      <w:pPr>
        <w:spacing w:before="0" w:after="0"/>
        <w:rPr>
          <w:b/>
          <w:i/>
          <w:noProof/>
        </w:rPr>
      </w:pPr>
      <w:r>
        <w:rPr>
          <w:b/>
          <w:i/>
          <w:noProof/>
        </w:rPr>
        <w:t xml:space="preserve">Zakres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Plan odbudowy i zwiększenia odporności ma się przyczynić do skutecznego sprostania wyzwaniom zidentyfikowanym w odpowiednich zaleceniach dla poszczególnych krajów, w tym aspektów finansowych, lub w innych stosownych dokumentach oficjalnie przyjętych przez Komisję w ramach europejskiego semestru skierowanych do danego państwa członkowskiego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wyzwania te uznaje się za istotne w kontekście zwiększenia potencjału wzrostu gospodarki danego państwa członkowskiego,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po zakończeniu proponowanych reform i inwestycji oczekuje się, że państwa pokonają te wyzwania lub zajmą się nimi w zadowalający sposób;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plan odbudowy i zwiększenia odporności stanowi kompleksową i adekwatną odpowiedź na sytuację gospodarczą i społeczną danego państwa członkowskiego.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D41175">
      <w:pPr>
        <w:spacing w:before="0" w:after="0"/>
        <w:rPr>
          <w:b/>
          <w:i/>
          <w:noProof/>
        </w:rPr>
      </w:pPr>
    </w:p>
    <w:p w:rsidR="00D41175" w:rsidRDefault="00D41175">
      <w:pPr>
        <w:spacing w:before="0" w:after="0"/>
        <w:rPr>
          <w:b/>
          <w:i/>
          <w:noProof/>
        </w:rPr>
      </w:pPr>
    </w:p>
    <w:p w:rsidR="00D41175" w:rsidRDefault="003D53EA">
      <w:pPr>
        <w:spacing w:before="0" w:after="0"/>
        <w:rPr>
          <w:b/>
          <w:i/>
          <w:noProof/>
        </w:rPr>
      </w:pPr>
      <w:r>
        <w:rPr>
          <w:b/>
          <w:i/>
          <w:noProof/>
        </w:rPr>
        <w:t>Rating</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lastRenderedPageBreak/>
        <w:t>A – Plan odbudowy i zwiększenia odporności przyczynia się do skutecznego sprostania wyzwaniom określonym w zaleceniach dla poszczególnych krajów lub w innych stosownych dokumentach oficjalnie przyjętych przez Komisję w ramach europejskiego semestru; taki plan stanowi odpowiednią reakcję na sytuację gospodarczą i społeczną danego państwa członkowskiego.</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B – Plan odbudowy i zwiększenia odporności przyczynia się do częściowego sprostania wyzwaniom określonym w zaleceniach dla poszczególnych krajów lub w innych stosownych dokumentach oficjalnie przyjętych przez Komisję w ramach europejskiego semestru; taki plan stanowi częściowo odpowiednią reakcję na sytuację gospodarczą i społeczną danego państwa członkowskiego.</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C – Plan odbudowy i zwiększenia odporności nie przyczynia się do sprostania wyzwaniom określonym w zaleceniach dla poszczególnych krajów lub w innych stosownych dokumentach oficjalnie przyjętych przez Komisję w ramach europejskiego semestru; taki plan nie stanowi odpowiedniej reakcji na sytuację gospodarczą i społeczną danego państwa członkowskiego.</w:t>
      </w:r>
    </w:p>
    <w:p w:rsidR="00D41175" w:rsidRDefault="00D41175">
      <w:pPr>
        <w:spacing w:before="0" w:after="200"/>
        <w:ind w:left="720"/>
        <w:rPr>
          <w:i/>
          <w:noProof/>
        </w:rPr>
      </w:pPr>
    </w:p>
    <w:p w:rsidR="00D41175" w:rsidRDefault="003D53EA">
      <w:pPr>
        <w:spacing w:before="0" w:after="200"/>
        <w:ind w:left="426"/>
        <w:rPr>
          <w:b/>
          <w:i/>
          <w:noProof/>
        </w:rPr>
      </w:pPr>
      <w:r>
        <w:rPr>
          <w:b/>
          <w:i/>
          <w:noProof/>
        </w:rPr>
        <w:t>2.2 Plan zawiera środki, które skutecznie przyczyniają się do transformacji ekologicznej i cyfrowej lub do sprostania wyzwaniom, które z niej wynikają.</w:t>
      </w:r>
    </w:p>
    <w:p w:rsidR="00D41175" w:rsidRDefault="003D53EA">
      <w:pPr>
        <w:spacing w:before="0" w:after="0"/>
        <w:rPr>
          <w:noProof/>
        </w:rPr>
      </w:pPr>
      <w:r>
        <w:rPr>
          <w:noProof/>
        </w:rPr>
        <w:t>Dokonując oceny pod kątem tego kryterium, Komisja bierze pod uwagę następujące czynniki:</w:t>
      </w:r>
    </w:p>
    <w:p w:rsidR="00D41175" w:rsidRDefault="00D41175">
      <w:pPr>
        <w:spacing w:before="0" w:after="0"/>
        <w:rPr>
          <w:b/>
          <w:i/>
          <w:noProof/>
        </w:rPr>
      </w:pPr>
    </w:p>
    <w:p w:rsidR="00D41175" w:rsidRDefault="003D53EA">
      <w:pPr>
        <w:spacing w:before="0" w:after="0"/>
        <w:rPr>
          <w:b/>
          <w:i/>
          <w:noProof/>
        </w:rPr>
      </w:pPr>
      <w:r>
        <w:rPr>
          <w:b/>
          <w:i/>
          <w:noProof/>
        </w:rPr>
        <w:t>Zakres</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Oczekuje się, że wdrożenie planowanych środków przyczyni się w znacznym stopniu do stworzenia systemów przyjaznych dla klimatu i środowiska oraz do ekologizacji sektorów gospodarczych i społecznych z myślą o osiągnięciu ogólnego celu, jakim stworzenie do 2050 r. Europy neutralnej dla klimatu;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lub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oczekuje się, że wdrożenie planowanych środków w znacznym stopniu przyczyni się do transformacji cyfrowej sektorów gospodarczych lub społecznych;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lub</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oczekuje się, że wdrożenie planowanych środków w znacznym stopniu przyczyni się do sprostania wyzwaniom wynikającym z transformacji ekologicznej lub cyfrowej;</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oczekuje się, że wdrożenie planowanych środków będzie miało trwały wpływ. </w:t>
      </w:r>
    </w:p>
    <w:p w:rsidR="00D41175" w:rsidRDefault="00D41175">
      <w:pPr>
        <w:spacing w:before="0" w:after="200"/>
        <w:rPr>
          <w:b/>
          <w:i/>
          <w:noProof/>
        </w:rPr>
      </w:pPr>
    </w:p>
    <w:p w:rsidR="00D41175" w:rsidRDefault="003D53EA">
      <w:pPr>
        <w:spacing w:before="0" w:after="0"/>
        <w:rPr>
          <w:b/>
          <w:i/>
          <w:noProof/>
        </w:rPr>
      </w:pPr>
      <w:r>
        <w:rPr>
          <w:b/>
          <w:i/>
          <w:noProof/>
        </w:rPr>
        <w:t>Rating</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A – w dużym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B – w umiarkowanym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C – w niewielkim stopniu </w:t>
      </w:r>
    </w:p>
    <w:p w:rsidR="00D41175" w:rsidRDefault="00D41175">
      <w:pPr>
        <w:spacing w:before="0" w:after="200"/>
        <w:ind w:left="426"/>
        <w:rPr>
          <w:b/>
          <w:i/>
          <w:noProof/>
        </w:rPr>
      </w:pPr>
    </w:p>
    <w:p w:rsidR="00D41175" w:rsidRDefault="003D53EA">
      <w:pPr>
        <w:spacing w:before="0" w:after="200"/>
        <w:ind w:left="426"/>
        <w:rPr>
          <w:b/>
          <w:i/>
          <w:noProof/>
        </w:rPr>
      </w:pPr>
      <w:r>
        <w:rPr>
          <w:b/>
          <w:i/>
          <w:noProof/>
        </w:rPr>
        <w:lastRenderedPageBreak/>
        <w:t xml:space="preserve">2.3 Plan odbudowy i zwiększenia odporności ma mieć trwały wpływ na dane państwo członkowskie  </w:t>
      </w:r>
    </w:p>
    <w:p w:rsidR="00D41175" w:rsidRDefault="003D53EA">
      <w:pPr>
        <w:spacing w:before="0" w:after="0"/>
        <w:rPr>
          <w:noProof/>
        </w:rPr>
      </w:pPr>
      <w:r>
        <w:rPr>
          <w:noProof/>
        </w:rPr>
        <w:t>Dokonując oceny pod kątem tego kryterium, Komisja bierze pod uwagę następujące czynniki:</w:t>
      </w:r>
    </w:p>
    <w:p w:rsidR="00D41175" w:rsidRDefault="00D41175">
      <w:pPr>
        <w:spacing w:before="0" w:after="0"/>
        <w:rPr>
          <w:b/>
          <w:i/>
          <w:noProof/>
        </w:rPr>
      </w:pPr>
    </w:p>
    <w:p w:rsidR="00D41175" w:rsidRDefault="003D53EA">
      <w:pPr>
        <w:spacing w:before="0" w:after="0"/>
        <w:rPr>
          <w:b/>
          <w:i/>
          <w:noProof/>
        </w:rPr>
      </w:pPr>
      <w:r>
        <w:rPr>
          <w:b/>
          <w:i/>
          <w:noProof/>
        </w:rPr>
        <w:t>Zakres</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Oczekuje się, że wdrożenie planowanych środków przyniesie zmiany strukturalne w administracji lub w odpowiednich instytucjach;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lub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oczekuje się, że wdrożenie proponowanych reform przyniesie zmiany strukturalne w odpowiednich obszarach polityki;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oczekuje się, że wdrożenie planowanych środków będzie miało trwały wpływ. </w:t>
      </w:r>
    </w:p>
    <w:p w:rsidR="00D41175" w:rsidRDefault="00D41175">
      <w:pPr>
        <w:spacing w:before="0" w:after="200"/>
        <w:rPr>
          <w:b/>
          <w:i/>
          <w:noProof/>
        </w:rPr>
      </w:pPr>
    </w:p>
    <w:p w:rsidR="00D41175" w:rsidRDefault="003D53EA">
      <w:pPr>
        <w:spacing w:before="0" w:after="0"/>
        <w:rPr>
          <w:b/>
          <w:i/>
          <w:noProof/>
        </w:rPr>
      </w:pPr>
      <w:r>
        <w:rPr>
          <w:b/>
          <w:i/>
          <w:noProof/>
        </w:rPr>
        <w:t>Rating</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A – w dużym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B – w umiarkowanym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C – w niewielkim stopniu </w:t>
      </w:r>
    </w:p>
    <w:p w:rsidR="00D41175" w:rsidRDefault="00D41175">
      <w:pPr>
        <w:ind w:left="426"/>
        <w:rPr>
          <w:b/>
          <w:i/>
          <w:noProof/>
        </w:rPr>
      </w:pPr>
    </w:p>
    <w:p w:rsidR="00D41175" w:rsidRDefault="003D53EA">
      <w:pPr>
        <w:ind w:left="567"/>
        <w:rPr>
          <w:b/>
          <w:i/>
          <w:noProof/>
        </w:rPr>
      </w:pPr>
      <w:r>
        <w:rPr>
          <w:b/>
          <w:i/>
          <w:noProof/>
        </w:rPr>
        <w:t>2.4 Plan odbudowy i zwiększenia odporności ma skutecznie przyczynić się do zwiększenia potencjału wzrostu gospodarczego, tworzenia miejsc pracy oraz do odporności gospodarczej i społecznej państwa członkowskiego, złagodzenia skutków kryzysu gospodarczego i społecznego oraz ma przyczynić się do zwiększenia spójności gospodarczej, społecznej i terytorialnej</w:t>
      </w:r>
      <w:r>
        <w:rPr>
          <w:noProof/>
        </w:rPr>
        <w:t>;</w:t>
      </w:r>
    </w:p>
    <w:p w:rsidR="00D41175" w:rsidRDefault="003D53EA">
      <w:pPr>
        <w:spacing w:after="0"/>
        <w:jc w:val="left"/>
        <w:rPr>
          <w:noProof/>
        </w:rPr>
      </w:pPr>
      <w:r>
        <w:rPr>
          <w:noProof/>
        </w:rPr>
        <w:t xml:space="preserve">Dokonując oceny pod kątem tego kryterium, Komisja bierze pod uwagę następujące czynniki: </w:t>
      </w:r>
    </w:p>
    <w:p w:rsidR="00D41175" w:rsidRDefault="003D53EA">
      <w:pPr>
        <w:spacing w:after="0"/>
        <w:jc w:val="left"/>
        <w:rPr>
          <w:b/>
          <w:i/>
          <w:noProof/>
        </w:rPr>
      </w:pPr>
      <w:r>
        <w:rPr>
          <w:b/>
          <w:i/>
          <w:noProof/>
        </w:rPr>
        <w:t xml:space="preserve">Zakres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Plan odbudowy i zwiększenia odporności zawiera środki mające na celu zaradzenie słabościom gospodarki państw członkowskich oraz pobudzenie potencjału wzrostu gospodarki danego państwa członkowskiego, pobudzanie tworzenia miejsc pracy i łagodzenie negatywnych skutków kryzysu, przy jednoczesnym unikaniu negatywnego wpływu tych środków na klimat i środowisko;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plan odbudowy i zwiększenia odporności ma na celu zmniejszenie podatności gospodarki państwa członkowskiego na wstrząsy;</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lub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plan odbudowy i zwiększenia odporności ma na celu zwiększenie zdolności struktur gospodarczych i społecznych państwa członkowskiego do dostosowania się do wstrząsów i uodpornienia się na nie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lastRenderedPageBreak/>
        <w:t xml:space="preserve">plan odbudowy i zwiększenia odporności ma przyczynić się do zwiększenia spójności gospodarczej, społecznej i terytorialnej. </w:t>
      </w:r>
    </w:p>
    <w:p w:rsidR="00D41175" w:rsidRDefault="00D41175">
      <w:pPr>
        <w:spacing w:after="0"/>
        <w:jc w:val="left"/>
        <w:rPr>
          <w:b/>
          <w:i/>
          <w:noProof/>
        </w:rPr>
      </w:pPr>
    </w:p>
    <w:p w:rsidR="00D41175" w:rsidRDefault="003D53EA">
      <w:pPr>
        <w:spacing w:after="0"/>
        <w:rPr>
          <w:b/>
          <w:noProof/>
        </w:rPr>
      </w:pPr>
      <w:r>
        <w:rPr>
          <w:b/>
          <w:i/>
          <w:noProof/>
        </w:rPr>
        <w:t xml:space="preserve"> Rating</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A – Wysoki oczekiwany wpływ na potencjał wzrostu gospodarczego oraz na odporność gospodarczą i społeczną, a także na spójność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B – Średni oczekiwany wpływ na potencjał wzrostu gospodarczego oraz na odporność gospodarczą i społeczną, a także na spójność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C – Niski oczekiwany wpływ na potencjał wzrostu gospodarczego oraz na odporność gospodarczą i społeczną, a także na spójność</w:t>
      </w:r>
    </w:p>
    <w:p w:rsidR="00D41175" w:rsidRDefault="00D41175">
      <w:pPr>
        <w:spacing w:before="0" w:after="200"/>
        <w:rPr>
          <w:i/>
          <w:noProof/>
        </w:rPr>
      </w:pPr>
    </w:p>
    <w:p w:rsidR="00D41175" w:rsidRDefault="003D53EA">
      <w:pPr>
        <w:spacing w:before="0" w:after="200"/>
        <w:ind w:left="426"/>
        <w:rPr>
          <w:b/>
          <w:i/>
          <w:noProof/>
        </w:rPr>
      </w:pPr>
      <w:r>
        <w:rPr>
          <w:b/>
          <w:i/>
          <w:noProof/>
        </w:rPr>
        <w:t>2.5 Uzasadnienie przedstawione przez państwo członkowskie dotyczące kwoty szacunkowych całkowitych kosztów planu odbudowy i zwiększenia odporności jest uzasadnione, wiarygodne i proporcjonalne do spodziewanego wpływu na gospodarkę i zatrudnienie</w:t>
      </w:r>
      <w:r>
        <w:rPr>
          <w:noProof/>
        </w:rPr>
        <w:t>;</w:t>
      </w:r>
    </w:p>
    <w:p w:rsidR="00D41175" w:rsidRDefault="003D53EA">
      <w:pPr>
        <w:spacing w:before="0" w:after="0"/>
        <w:rPr>
          <w:noProof/>
        </w:rPr>
      </w:pPr>
      <w:r>
        <w:rPr>
          <w:noProof/>
        </w:rPr>
        <w:t xml:space="preserve">Dokonując oceny pod kątem tego kryterium, Komisja bierze pod uwagę następujące czynniki: </w:t>
      </w:r>
    </w:p>
    <w:p w:rsidR="00D41175" w:rsidRDefault="003D53EA">
      <w:pPr>
        <w:spacing w:before="0" w:after="0"/>
        <w:rPr>
          <w:i/>
          <w:noProof/>
        </w:rPr>
      </w:pPr>
      <w:r>
        <w:rPr>
          <w:i/>
          <w:noProof/>
        </w:rPr>
        <w:t xml:space="preserve">Zakres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Państwo członkowskie przedstawiło wystarczające informacje i dowody wskazujące na to, że kwota szacunkowych całkowitych kosztów planu odbudowy i zwiększenia odporności jest odpowiednia („rozsądna”);</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państwo członkowskie przedstawiło wystarczające informacje i dowody wskazujące na to, że kwota szacunkowych całkowitych kosztów planu odbudowy i zwiększenia odporności jest zgodna z charakterem i rodzajem planowanych reform i inwestycji („wiarygodna”);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państwo członkowskie przedstawiło wystarczające informacje i dowody wskazujące na to, że kwota szacunkowych łącznych kosztów planu odbudowy i zwiększenia odporności, który ma być finansowany w ramach Instrumentu, nie jest pokryta z istniejącego lub planowanego finansowania unijnego;</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kwota szacunkowych całkowitych kosztów planu odbudowy i zwiększenia odporności jest proporcjonalna do oczekiwanego wpływu przewidzianych środków uwzględnionych w takim planie na gospodarkę danego państwa członkowskiego.</w:t>
      </w:r>
    </w:p>
    <w:p w:rsidR="00D41175" w:rsidRDefault="00D41175">
      <w:pPr>
        <w:spacing w:before="0" w:after="0"/>
        <w:rPr>
          <w:b/>
          <w:i/>
          <w:noProof/>
        </w:rPr>
      </w:pPr>
    </w:p>
    <w:p w:rsidR="00D41175" w:rsidRDefault="003D53EA">
      <w:pPr>
        <w:spacing w:before="0" w:after="0"/>
        <w:rPr>
          <w:b/>
          <w:i/>
          <w:noProof/>
        </w:rPr>
      </w:pPr>
      <w:r>
        <w:rPr>
          <w:b/>
          <w:i/>
          <w:noProof/>
        </w:rPr>
        <w:t>Rating</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A – w dużym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B – w umiarkowanym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C – w niewielkim stopniu </w:t>
      </w:r>
    </w:p>
    <w:p w:rsidR="00D41175" w:rsidRDefault="00D41175">
      <w:pPr>
        <w:spacing w:before="0" w:after="200"/>
        <w:rPr>
          <w:noProof/>
        </w:rPr>
      </w:pPr>
    </w:p>
    <w:p w:rsidR="00D41175" w:rsidRDefault="003D53EA">
      <w:pPr>
        <w:spacing w:before="0" w:after="200"/>
        <w:ind w:left="426"/>
        <w:rPr>
          <w:b/>
          <w:i/>
          <w:strike/>
          <w:noProof/>
        </w:rPr>
      </w:pPr>
      <w:r>
        <w:rPr>
          <w:b/>
          <w:i/>
          <w:noProof/>
        </w:rPr>
        <w:t>2.6. Plan odbudowy i zwiększenia odporności zawiera środki wdrażania reform i inwestycji publicznych, które stanowią spójne działania.</w:t>
      </w:r>
    </w:p>
    <w:p w:rsidR="00D41175" w:rsidRDefault="003D53EA">
      <w:pPr>
        <w:spacing w:before="0" w:after="200"/>
        <w:rPr>
          <w:noProof/>
        </w:rPr>
      </w:pPr>
      <w:r>
        <w:rPr>
          <w:noProof/>
        </w:rPr>
        <w:lastRenderedPageBreak/>
        <w:t xml:space="preserve">Dokonując oceny pod kątem tego kryterium, Komisja bierze pod uwagę następujące czynniki: </w:t>
      </w:r>
    </w:p>
    <w:p w:rsidR="00D41175" w:rsidRDefault="003D53EA">
      <w:pPr>
        <w:spacing w:before="0" w:after="0"/>
        <w:rPr>
          <w:b/>
          <w:i/>
          <w:noProof/>
        </w:rPr>
      </w:pPr>
      <w:r>
        <w:rPr>
          <w:b/>
          <w:i/>
          <w:noProof/>
        </w:rPr>
        <w:t>Zakres</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Plan odbudowy i zwiększenia odporności obejmuje środki, które przyczyniają się do wzmocnienia wzajemnych skutków. </w:t>
      </w:r>
    </w:p>
    <w:p w:rsidR="00D41175" w:rsidRDefault="00D41175">
      <w:pPr>
        <w:spacing w:before="0" w:after="200"/>
        <w:rPr>
          <w:b/>
          <w:i/>
          <w:noProof/>
        </w:rPr>
      </w:pPr>
    </w:p>
    <w:p w:rsidR="00D41175" w:rsidRDefault="003D53EA">
      <w:pPr>
        <w:spacing w:before="0" w:after="0"/>
        <w:rPr>
          <w:b/>
          <w:i/>
          <w:noProof/>
        </w:rPr>
      </w:pPr>
      <w:r>
        <w:rPr>
          <w:b/>
          <w:i/>
          <w:noProof/>
        </w:rPr>
        <w:t xml:space="preserve">Rating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A – w dużym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B – w umiarkowanym stopniu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C – w niewielkim stopniu </w:t>
      </w:r>
    </w:p>
    <w:p w:rsidR="00D41175" w:rsidRDefault="00D41175">
      <w:pPr>
        <w:spacing w:before="0" w:after="200"/>
        <w:rPr>
          <w:noProof/>
        </w:rPr>
      </w:pPr>
    </w:p>
    <w:p w:rsidR="00D41175" w:rsidRDefault="003D53EA">
      <w:pPr>
        <w:spacing w:before="0" w:after="200"/>
        <w:ind w:left="426"/>
        <w:rPr>
          <w:b/>
          <w:i/>
          <w:noProof/>
        </w:rPr>
      </w:pPr>
      <w:r>
        <w:rPr>
          <w:b/>
          <w:i/>
          <w:noProof/>
        </w:rPr>
        <w:t>2.7 Ustalenia proponowane przez dane państwa członkowskie mają zapewnić skuteczną realizację planu odbudowy i zwiększenia odporności, w tym osiągnięcie proponowanych celów pośrednich i końcowych, a także odpowiednich wskaźników.</w:t>
      </w:r>
    </w:p>
    <w:p w:rsidR="00D41175" w:rsidRDefault="003D53EA">
      <w:pPr>
        <w:spacing w:before="0" w:after="0"/>
        <w:rPr>
          <w:noProof/>
        </w:rPr>
      </w:pPr>
      <w:r>
        <w:rPr>
          <w:noProof/>
        </w:rPr>
        <w:t>Dokonując oceny pod kątem tego kryterium, Komisja bierze pod uwagę następujące czynniki:</w:t>
      </w:r>
    </w:p>
    <w:p w:rsidR="00D41175" w:rsidRDefault="00D41175">
      <w:pPr>
        <w:spacing w:before="0" w:after="0"/>
        <w:rPr>
          <w:b/>
          <w:i/>
          <w:noProof/>
        </w:rPr>
      </w:pPr>
    </w:p>
    <w:p w:rsidR="00D41175" w:rsidRDefault="003D53EA">
      <w:pPr>
        <w:spacing w:before="0" w:after="0"/>
        <w:rPr>
          <w:b/>
          <w:i/>
          <w:noProof/>
        </w:rPr>
      </w:pPr>
      <w:r>
        <w:rPr>
          <w:b/>
          <w:i/>
          <w:noProof/>
        </w:rPr>
        <w:t>Zakres</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W państwie członkowskim istnieje struktura, której powierzono: (i) wykonanie planu odbudowy i zwiększenia odporności; (ii) monitorowanie postępów w osiąganiu celów pośrednich i końcowych; oraz (iii) sprawozdawczość;</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proponowane cele pośrednie i końcowe są jasne i realistyczne; a proponowane wskaźniki są adekwatne, akceptowalne i wiarygodne;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ogół ustaleń zaproponowanych przez państwa członkowskie w zakresie organizacji (w tym postanowienia zapewniające wystarczający przydział personelu) i realizacji reform i inwestycji jest wiarygodny. </w:t>
      </w:r>
    </w:p>
    <w:p w:rsidR="00D41175" w:rsidRDefault="00D41175">
      <w:pPr>
        <w:spacing w:before="0" w:after="200"/>
        <w:rPr>
          <w:b/>
          <w:i/>
          <w:noProof/>
        </w:rPr>
      </w:pPr>
    </w:p>
    <w:p w:rsidR="00D41175" w:rsidRDefault="003D53EA">
      <w:pPr>
        <w:spacing w:before="0" w:after="0"/>
        <w:rPr>
          <w:b/>
          <w:i/>
          <w:noProof/>
        </w:rPr>
      </w:pPr>
      <w:r>
        <w:rPr>
          <w:b/>
          <w:i/>
          <w:noProof/>
        </w:rPr>
        <w:t>Rating</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A – adekwatne ustalenia dotyczące skutecznej realizacji </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B – minimalne ustalenia dotyczące skutecznej realizacji</w:t>
      </w: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C – niewystarczające ustalenia dotyczące skutecznej realizacji</w:t>
      </w:r>
    </w:p>
    <w:p w:rsidR="00D41175" w:rsidRDefault="00D41175">
      <w:pPr>
        <w:spacing w:before="0" w:after="0"/>
        <w:rPr>
          <w:b/>
          <w:i/>
          <w:noProof/>
        </w:rPr>
      </w:pPr>
    </w:p>
    <w:p w:rsidR="00D41175" w:rsidRDefault="00D41175">
      <w:pPr>
        <w:spacing w:before="0" w:after="0"/>
        <w:rPr>
          <w:b/>
          <w:i/>
          <w:noProof/>
        </w:rPr>
      </w:pPr>
    </w:p>
    <w:p w:rsidR="00D41175" w:rsidRDefault="003D53EA">
      <w:pPr>
        <w:spacing w:before="0" w:after="200"/>
        <w:rPr>
          <w:b/>
          <w:noProof/>
          <w:color w:val="000000" w:themeColor="text1"/>
        </w:rPr>
      </w:pPr>
      <w:r>
        <w:rPr>
          <w:b/>
          <w:i/>
          <w:noProof/>
        </w:rPr>
        <w:t>3</w:t>
      </w:r>
      <w:r>
        <w:rPr>
          <w:b/>
          <w:noProof/>
          <w:color w:val="000000" w:themeColor="text1"/>
        </w:rPr>
        <w:t>. Określenie wkładu finansowego w ramach Instrumentu budżetowego na rzecz odbudowy i odporności</w:t>
      </w:r>
    </w:p>
    <w:p w:rsidR="00D41175" w:rsidRDefault="003D53EA">
      <w:pPr>
        <w:spacing w:before="0" w:after="200"/>
        <w:rPr>
          <w:noProof/>
          <w:color w:val="000000" w:themeColor="text1"/>
        </w:rPr>
      </w:pPr>
      <w:r>
        <w:rPr>
          <w:noProof/>
          <w:color w:val="000000" w:themeColor="text1"/>
        </w:rPr>
        <w:t>Zgodnie z art. 17 ust. 3 Komisja ustala wkład finansowy, biorąc pod uwagę charakter i znaczenie i spójność planu odbudowy i zwiększenia odporności proponowanego przez dane państwo członkowskie, które to znaczenie i spójność ocenia się na podstawie kryteriów określonych w art. 17 ust. 3. W tym celu Komisja stosuje następujące kryteria:</w:t>
      </w:r>
    </w:p>
    <w:p w:rsidR="00D41175" w:rsidRDefault="003D53EA">
      <w:pPr>
        <w:pStyle w:val="Point1"/>
        <w:rPr>
          <w:noProof/>
        </w:rPr>
      </w:pPr>
      <w:r>
        <w:rPr>
          <w:noProof/>
        </w:rPr>
        <w:t>a)</w:t>
      </w:r>
      <w:r>
        <w:rPr>
          <w:noProof/>
        </w:rPr>
        <w:tab/>
        <w:t xml:space="preserve">jeżeli plan odbudowy i zwiększenia odporności spełnia w zadowalający sposób kryteria określone w art. 16 ust. 3, a kwota szacunkowych całkowitych </w:t>
      </w:r>
      <w:r>
        <w:rPr>
          <w:noProof/>
        </w:rPr>
        <w:lastRenderedPageBreak/>
        <w:t>kosztów planu  odbudowy i zwiększenia odporności jest równa maksymalnej kwocie wkładu finansowego dla tego państwa członkowskiego, o której mowa w art. 10, lub wyższa od tej kwoty, wkład finansowy przyznany danemu państwu członkowskiemu jest równy łącznej kwocie maksymalnego wkładu finansowego, o którym mowa w art. 10;</w:t>
      </w:r>
    </w:p>
    <w:p w:rsidR="00D41175" w:rsidRDefault="003D53EA">
      <w:pPr>
        <w:pStyle w:val="Point1"/>
        <w:rPr>
          <w:noProof/>
        </w:rPr>
      </w:pPr>
      <w:r>
        <w:rPr>
          <w:noProof/>
        </w:rPr>
        <w:t>b)</w:t>
      </w:r>
      <w:r>
        <w:rPr>
          <w:noProof/>
        </w:rPr>
        <w:tab/>
        <w:t>jeżeli plan odbudowy i zwiększenia odporności spełnia w zadowalający sposób kryteria określone w art. 16 ust. 3, a szacunkowy całkowity koszt planu odbudowy i zwiększenia odporności jest niższy niż maksymalny wkład finansowy dla tego państwa członkowskiego, o którym mowa w art. 10, wkład finansowy przyznany danemu państwu członkowskiemu jest równy szacunkowym łącznym kosztom planu odbudowy i zwiększenia odporności;</w:t>
      </w:r>
    </w:p>
    <w:p w:rsidR="00D41175" w:rsidRDefault="003D53EA">
      <w:pPr>
        <w:pStyle w:val="Point1"/>
        <w:rPr>
          <w:noProof/>
        </w:rPr>
      </w:pPr>
      <w:r>
        <w:rPr>
          <w:noProof/>
        </w:rPr>
        <w:t>c)</w:t>
      </w:r>
      <w:r>
        <w:rPr>
          <w:noProof/>
        </w:rPr>
        <w:tab/>
        <w:t xml:space="preserve">jeżeli plan odbudowy i zwiększenia odporności nie jest w stopniu zadowalającym zgodny z kryteriami określonymi w art. 16 ust. 3, danemu państwu członkowskiemu nie przydziela się wkładu finansowego. </w:t>
      </w:r>
    </w:p>
    <w:p w:rsidR="00D41175" w:rsidRDefault="003D53EA">
      <w:pPr>
        <w:numPr>
          <w:ilvl w:val="3"/>
          <w:numId w:val="0"/>
        </w:numPr>
        <w:tabs>
          <w:tab w:val="num" w:pos="1843"/>
        </w:tabs>
        <w:spacing w:before="0" w:after="240"/>
        <w:rPr>
          <w:noProof/>
        </w:rPr>
      </w:pPr>
      <w:r>
        <w:rPr>
          <w:noProof/>
        </w:rPr>
        <w:t xml:space="preserve">Do celów wykonania niniejszego akapitu stosuje się następujące wzory:  </w:t>
      </w:r>
    </w:p>
    <w:p w:rsidR="00D41175" w:rsidRDefault="003D53EA">
      <w:pPr>
        <w:pStyle w:val="Tiret1"/>
        <w:numPr>
          <w:ilvl w:val="0"/>
          <w:numId w:val="9"/>
        </w:numPr>
        <w:rPr>
          <w:noProof/>
        </w:rPr>
      </w:pPr>
      <w:r>
        <w:rPr>
          <w:noProof/>
        </w:rPr>
        <w:t xml:space="preserve">w odniesieniu do a) powyżej: </w:t>
      </w:r>
      <m:oMath>
        <m:sSup>
          <m:sSupPr>
            <m:ctrlPr>
              <w:rPr>
                <w:rFonts w:ascii="Cambria Math" w:hAnsi="Cambria Math"/>
                <w:noProof/>
              </w:rPr>
            </m:ctrlPr>
          </m:sSupPr>
          <m:e>
            <m:r>
              <w:rPr>
                <w:rFonts w:ascii="Cambria Math" w:hAnsi="Cambria Math"/>
                <w:noProof/>
              </w:rPr>
              <m:t>If</m:t>
            </m:r>
            <m:sSup>
              <m:sSupPr>
                <m:ctrlPr>
                  <w:rPr>
                    <w:rFonts w:ascii="Cambria Math" w:hAnsi="Cambria Math"/>
                    <w:noProof/>
                  </w:rPr>
                </m:ctrlPr>
              </m:sSupPr>
              <m:e>
                <m:r>
                  <w:rPr>
                    <w:rFonts w:ascii="Cambria Math" w:hAnsi="Cambria Math"/>
                    <w:noProof/>
                  </w:rPr>
                  <m:t>C</m:t>
                </m:r>
              </m:e>
              <m:sup>
                <m:r>
                  <w:rPr>
                    <w:rFonts w:ascii="Cambria Math" w:hAnsi="Cambria Math"/>
                    <w:noProof/>
                  </w:rPr>
                  <m:t>i</m:t>
                </m:r>
              </m:sup>
            </m:sSup>
            <m:r>
              <m:rPr>
                <m:sty m:val="p"/>
              </m:rPr>
              <w:rPr>
                <w:rFonts w:ascii="Cambria Math" w:hAnsi="Cambria Math"/>
                <w:noProof/>
              </w:rPr>
              <m:t>≥</m:t>
            </m:r>
            <m:r>
              <w:rPr>
                <w:rFonts w:ascii="Cambria Math" w:hAnsi="Cambria Math"/>
                <w:noProof/>
              </w:rPr>
              <m:t>MFC</m:t>
            </m:r>
          </m:e>
          <m:sup>
            <m:r>
              <w:rPr>
                <w:rFonts w:ascii="Cambria Math" w:hAnsi="Cambria Math"/>
                <w:noProof/>
              </w:rPr>
              <m:t>i</m:t>
            </m:r>
          </m:sup>
        </m:sSup>
        <m:r>
          <m:rPr>
            <m:sty m:val="p"/>
          </m:rPr>
          <w:rPr>
            <w:rFonts w:ascii="Cambria Math" w:hAnsi="Cambria Math"/>
            <w:noProof/>
          </w:rPr>
          <m:t xml:space="preserve">   państwo członkowskie </m:t>
        </m:r>
        <m:r>
          <w:rPr>
            <w:rFonts w:ascii="Cambria Math" w:hAnsi="Cambria Math"/>
            <w:noProof/>
          </w:rPr>
          <m:t>i</m:t>
        </m:r>
        <m:r>
          <m:rPr>
            <m:sty m:val="p"/>
          </m:rPr>
          <w:rPr>
            <w:rFonts w:ascii="Cambria Math" w:hAnsi="Cambria Math"/>
            <w:noProof/>
          </w:rPr>
          <m:t xml:space="preserve"> otrzymuje </m:t>
        </m:r>
        <m:sSup>
          <m:sSupPr>
            <m:ctrlPr>
              <w:rPr>
                <w:rFonts w:ascii="Cambria Math" w:hAnsi="Cambria Math"/>
                <w:noProof/>
              </w:rPr>
            </m:ctrlPr>
          </m:sSupPr>
          <m:e>
            <m:r>
              <w:rPr>
                <w:rFonts w:ascii="Cambria Math" w:hAnsi="Cambria Math"/>
                <w:noProof/>
              </w:rPr>
              <m:t>MFC</m:t>
            </m:r>
          </m:e>
          <m:sup>
            <m:r>
              <w:rPr>
                <w:rFonts w:ascii="Cambria Math" w:hAnsi="Cambria Math"/>
                <w:noProof/>
              </w:rPr>
              <m:t>i</m:t>
            </m:r>
          </m:sup>
        </m:sSup>
      </m:oMath>
    </w:p>
    <w:p w:rsidR="00D41175" w:rsidRDefault="003D53EA">
      <w:pPr>
        <w:pStyle w:val="Tiret1"/>
        <w:rPr>
          <w:noProof/>
        </w:rPr>
      </w:pPr>
      <w:r>
        <w:rPr>
          <w:noProof/>
        </w:rPr>
        <w:t xml:space="preserve">w odniesieniu do b) powyżej: </w:t>
      </w:r>
      <m:oMath>
        <m:r>
          <w:rPr>
            <w:rFonts w:ascii="Cambria Math" w:hAnsi="Cambria Math"/>
            <w:noProof/>
          </w:rPr>
          <m:t>If</m:t>
        </m:r>
        <m:sSup>
          <m:sSupPr>
            <m:ctrlPr>
              <w:rPr>
                <w:rFonts w:ascii="Cambria Math" w:hAnsi="Cambria Math"/>
                <w:i/>
                <w:noProof/>
              </w:rPr>
            </m:ctrlPr>
          </m:sSupPr>
          <m:e>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r>
              <w:rPr>
                <w:rFonts w:ascii="Cambria Math" w:hAnsi="Cambria Math"/>
                <w:noProof/>
              </w:rPr>
              <m:t>&lt;MFC</m:t>
            </m:r>
          </m:e>
          <m:sup>
            <m:r>
              <w:rPr>
                <w:rFonts w:ascii="Cambria Math" w:hAnsi="Cambria Math"/>
                <w:noProof/>
              </w:rPr>
              <m:t>i</m:t>
            </m:r>
          </m:sup>
        </m:sSup>
        <m:r>
          <m:rPr>
            <m:sty m:val="p"/>
          </m:rPr>
          <w:rPr>
            <w:rFonts w:ascii="Cambria Math" w:hAnsi="Cambria Math"/>
            <w:noProof/>
          </w:rPr>
          <m:t xml:space="preserve"> tpaństwo członkowskie </m:t>
        </m:r>
        <m:r>
          <w:rPr>
            <w:rFonts w:ascii="Cambria Math" w:hAnsi="Cambria Math"/>
            <w:noProof/>
          </w:rPr>
          <m:t>i</m:t>
        </m:r>
        <m:r>
          <m:rPr>
            <m:sty m:val="p"/>
          </m:rPr>
          <w:rPr>
            <w:rFonts w:ascii="Cambria Math" w:hAnsi="Cambria Math"/>
            <w:noProof/>
          </w:rPr>
          <m:t xml:space="preserve"> otrzymuje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oMath>
    </w:p>
    <w:p w:rsidR="00D41175" w:rsidRDefault="003D53EA">
      <w:pPr>
        <w:pStyle w:val="Tiret1"/>
        <w:rPr>
          <w:noProof/>
        </w:rPr>
      </w:pPr>
      <w:r>
        <w:rPr>
          <w:noProof/>
        </w:rPr>
        <w:t xml:space="preserve">gdzie: </w:t>
      </w:r>
    </w:p>
    <w:p w:rsidR="00D41175" w:rsidRDefault="003D53EA">
      <w:pPr>
        <w:pStyle w:val="Tiret1"/>
        <w:rPr>
          <w:noProof/>
        </w:rPr>
      </w:pPr>
      <w:r>
        <w:rPr>
          <w:i/>
          <w:noProof/>
        </w:rPr>
        <w:t>i</w:t>
      </w:r>
      <w:r>
        <w:rPr>
          <w:noProof/>
        </w:rPr>
        <w:t xml:space="preserve"> oznacza dane państwo członkowskie</w:t>
      </w:r>
    </w:p>
    <w:p w:rsidR="00D41175" w:rsidRDefault="003D53EA">
      <w:pPr>
        <w:pStyle w:val="Tiret1"/>
        <w:rPr>
          <w:noProof/>
        </w:rPr>
      </w:pPr>
      <w:r>
        <w:rPr>
          <w:i/>
          <w:noProof/>
        </w:rPr>
        <w:t>MFC</w:t>
      </w:r>
      <w:r>
        <w:rPr>
          <w:noProof/>
        </w:rPr>
        <w:t xml:space="preserve"> oznacza maksymalny wkład finansowy dla danego państwa członkowskiego </w:t>
      </w:r>
    </w:p>
    <w:p w:rsidR="00D41175" w:rsidRDefault="003D53EA">
      <w:pPr>
        <w:pStyle w:val="Tiret1"/>
        <w:rPr>
          <w:noProof/>
        </w:rPr>
      </w:pPr>
      <w:r>
        <w:rPr>
          <w:i/>
          <w:noProof/>
        </w:rPr>
        <w:t>C</w:t>
      </w:r>
      <w:r>
        <w:rPr>
          <w:noProof/>
        </w:rPr>
        <w:t xml:space="preserve"> oznacza kwotę szacowanych łącznych kosztów planu odbudowy i zwiększenia odporności</w:t>
      </w:r>
    </w:p>
    <w:p w:rsidR="00D41175" w:rsidRDefault="00D41175">
      <w:pPr>
        <w:spacing w:before="0" w:after="200"/>
        <w:rPr>
          <w:noProof/>
        </w:rPr>
      </w:pPr>
    </w:p>
    <w:p w:rsidR="00D41175" w:rsidRDefault="003D53EA">
      <w:pPr>
        <w:spacing w:before="0" w:after="200"/>
        <w:rPr>
          <w:noProof/>
        </w:rPr>
      </w:pPr>
      <w:r>
        <w:rPr>
          <w:noProof/>
        </w:rPr>
        <w:t xml:space="preserve">W wyniku oceny i po uwzględnieniu ratingów: </w:t>
      </w:r>
    </w:p>
    <w:p w:rsidR="00D41175" w:rsidRDefault="003D53EA">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Plan odbudowy i zwiększenia odporności spełnia w zadowalający sposób kryteria oceny:</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Jeżeli rating ostateczny dotyczący kryteriów 2.1 – 2.7 zawiera wyniki:</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A dla kryteriów 2.1 i 2.2;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 dla pozostałych kryteriów:</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wszystkie wyniki A,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lub</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z przewagą wyników A nad B, bez żadnego C, </w:t>
      </w:r>
    </w:p>
    <w:p w:rsidR="00D41175" w:rsidRDefault="00D41175">
      <w:pPr>
        <w:spacing w:before="0" w:after="20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Plan odbudowy i zwiększenia odporności nie spełnia w zadowalający sposób kryteriów oceny:</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Jeżeli rating ostateczny dotyczący kryteriów 2.1 – 2.7 zawiera wyniki:</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brak wyniku A dla kryteriów 2.1 i 2.2;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oraz dla pozostałych kryteriów:</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rPr>
      </w:pPr>
      <w:r>
        <w:rPr>
          <w:noProof/>
        </w:rPr>
        <w:t xml:space="preserve">- z przewagą wyników B nad A </w:t>
      </w:r>
    </w:p>
    <w:p w:rsidR="00D41175" w:rsidRDefault="00D41175">
      <w:pPr>
        <w:pBdr>
          <w:top w:val="single" w:sz="4" w:space="1" w:color="auto"/>
          <w:left w:val="single" w:sz="4" w:space="4" w:color="auto"/>
          <w:bottom w:val="single" w:sz="4" w:space="1" w:color="auto"/>
          <w:right w:val="single" w:sz="4" w:space="4" w:color="auto"/>
        </w:pBdr>
        <w:spacing w:before="0" w:after="0"/>
        <w:rPr>
          <w:noProof/>
        </w:rPr>
      </w:pPr>
    </w:p>
    <w:p w:rsidR="00D41175" w:rsidRDefault="003D53EA">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rPr>
        <w:t>lub</w:t>
      </w:r>
    </w:p>
    <w:p w:rsidR="00D41175" w:rsidRDefault="00D41175">
      <w:pPr>
        <w:pBdr>
          <w:top w:val="single" w:sz="4" w:space="1" w:color="auto"/>
          <w:left w:val="single" w:sz="4" w:space="4" w:color="auto"/>
          <w:bottom w:val="single" w:sz="4" w:space="1" w:color="auto"/>
          <w:right w:val="single" w:sz="4" w:space="4" w:color="auto"/>
        </w:pBdr>
        <w:spacing w:before="0" w:after="0"/>
        <w:rPr>
          <w:noProof/>
          <w:color w:val="000000" w:themeColor="text1"/>
        </w:rPr>
      </w:pPr>
    </w:p>
    <w:p w:rsidR="00D41175" w:rsidRDefault="003D53EA">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color w:val="000000" w:themeColor="text1"/>
        </w:rPr>
        <w:t xml:space="preserve">- z co najmniej jednym wynikiem C </w:t>
      </w:r>
    </w:p>
    <w:p w:rsidR="00D41175" w:rsidRDefault="00D41175">
      <w:pPr>
        <w:spacing w:before="0" w:after="200"/>
        <w:rPr>
          <w:noProof/>
          <w:color w:val="000000" w:themeColor="text1"/>
        </w:rPr>
      </w:pPr>
    </w:p>
    <w:p w:rsidR="00D41175" w:rsidRDefault="00D41175">
      <w:pPr>
        <w:rPr>
          <w:noProof/>
        </w:rPr>
      </w:pPr>
    </w:p>
    <w:p w:rsidR="00D41175" w:rsidRDefault="00D41175">
      <w:pPr>
        <w:rPr>
          <w:noProof/>
        </w:rPr>
      </w:pPr>
    </w:p>
    <w:p w:rsidR="00D41175" w:rsidRDefault="00D41175">
      <w:pPr>
        <w:rPr>
          <w:noProof/>
        </w:rPr>
        <w:sectPr w:rsidR="00D41175">
          <w:pgSz w:w="11907" w:h="16839"/>
          <w:pgMar w:top="1134" w:right="1417" w:bottom="1134" w:left="1417" w:header="709" w:footer="709" w:gutter="0"/>
          <w:cols w:space="720"/>
          <w:docGrid w:linePitch="360"/>
        </w:sectPr>
      </w:pPr>
    </w:p>
    <w:p w:rsidR="00D41175" w:rsidRDefault="003D53EA">
      <w:pPr>
        <w:pStyle w:val="Annexetitre"/>
        <w:rPr>
          <w:noProof/>
        </w:rPr>
      </w:pPr>
      <w:r>
        <w:rPr>
          <w:noProof/>
        </w:rPr>
        <w:lastRenderedPageBreak/>
        <w:t xml:space="preserve">ZAŁĄCZNIK III </w:t>
      </w:r>
    </w:p>
    <w:p w:rsidR="00D41175" w:rsidRDefault="003D53EA">
      <w:pPr>
        <w:jc w:val="center"/>
        <w:rPr>
          <w:noProof/>
        </w:rPr>
      </w:pPr>
      <w:r>
        <w:rPr>
          <w:b/>
          <w:noProof/>
        </w:rPr>
        <w:t>Wskaźniki</w:t>
      </w:r>
    </w:p>
    <w:p w:rsidR="00D41175" w:rsidRDefault="003D53EA">
      <w:pPr>
        <w:spacing w:before="0" w:after="200"/>
        <w:rPr>
          <w:noProof/>
        </w:rPr>
      </w:pPr>
      <w:r>
        <w:rPr>
          <w:noProof/>
        </w:rPr>
        <w:t>Miernikami osiągnięcia celów, o których mowa w art. 4, są wymienione poniżej wskaźniki, w rozbiciu na państwa członkowskie i na obszar interwencji.</w:t>
      </w:r>
    </w:p>
    <w:p w:rsidR="00D41175" w:rsidRDefault="003D53EA">
      <w:pPr>
        <w:spacing w:before="0" w:after="200"/>
        <w:rPr>
          <w:noProof/>
        </w:rPr>
      </w:pPr>
      <w:r>
        <w:rPr>
          <w:noProof/>
        </w:rPr>
        <w:t xml:space="preserve">Wskaźniki są wykorzystywane w zależności od dostępnych danych i informacji, w tym danych ilościowych lub jakościowych. </w:t>
      </w:r>
    </w:p>
    <w:p w:rsidR="00D41175" w:rsidRDefault="003D53EA">
      <w:pPr>
        <w:tabs>
          <w:tab w:val="num" w:pos="850"/>
        </w:tabs>
        <w:spacing w:before="0" w:after="200"/>
        <w:ind w:left="850" w:hanging="850"/>
        <w:rPr>
          <w:b/>
          <w:noProof/>
        </w:rPr>
      </w:pPr>
      <w:r>
        <w:rPr>
          <w:noProof/>
        </w:rPr>
        <w:tab/>
      </w:r>
      <w:r>
        <w:rPr>
          <w:b/>
          <w:noProof/>
        </w:rPr>
        <w:t>Wskaźniki produktu:</w:t>
      </w:r>
    </w:p>
    <w:p w:rsidR="00D41175" w:rsidRDefault="003D53EA">
      <w:pPr>
        <w:pStyle w:val="Point1"/>
        <w:rPr>
          <w:noProof/>
        </w:rPr>
      </w:pPr>
      <w:r>
        <w:rPr>
          <w:noProof/>
        </w:rPr>
        <w:t>a)</w:t>
      </w:r>
      <w:r>
        <w:rPr>
          <w:noProof/>
        </w:rPr>
        <w:tab/>
        <w:t>liczba planów odbudowy i zwiększenia odporności zatwierdzonych w akcie wykonawczym Komisji;</w:t>
      </w:r>
    </w:p>
    <w:p w:rsidR="00D41175" w:rsidRDefault="003D53EA">
      <w:pPr>
        <w:pStyle w:val="Point1"/>
        <w:rPr>
          <w:noProof/>
          <w:u w:val="single"/>
        </w:rPr>
      </w:pPr>
      <w:r>
        <w:rPr>
          <w:noProof/>
        </w:rPr>
        <w:t>b)</w:t>
      </w:r>
      <w:r>
        <w:rPr>
          <w:noProof/>
        </w:rPr>
        <w:tab/>
        <w:t>całkowity wkład finansowy przeznaczony na plan odbudowy i zwiększenia odporności.</w:t>
      </w:r>
    </w:p>
    <w:p w:rsidR="00D41175" w:rsidRDefault="003D53EA">
      <w:pPr>
        <w:tabs>
          <w:tab w:val="num" w:pos="850"/>
        </w:tabs>
        <w:spacing w:before="0" w:after="200"/>
        <w:ind w:left="850" w:hanging="850"/>
        <w:rPr>
          <w:noProof/>
          <w:u w:val="single"/>
        </w:rPr>
      </w:pPr>
      <w:r>
        <w:rPr>
          <w:noProof/>
        </w:rPr>
        <w:tab/>
      </w:r>
      <w:r>
        <w:rPr>
          <w:b/>
          <w:noProof/>
        </w:rPr>
        <w:t>Wskaźniki rezultatu</w:t>
      </w:r>
      <w:r>
        <w:rPr>
          <w:noProof/>
        </w:rPr>
        <w:t>:</w:t>
      </w:r>
      <w:r>
        <w:rPr>
          <w:noProof/>
          <w:u w:val="single"/>
        </w:rPr>
        <w:t xml:space="preserve"> </w:t>
      </w:r>
    </w:p>
    <w:p w:rsidR="00D41175" w:rsidRDefault="003D53EA">
      <w:pPr>
        <w:pStyle w:val="Point1"/>
        <w:rPr>
          <w:noProof/>
          <w:u w:val="single"/>
        </w:rPr>
      </w:pPr>
      <w:r>
        <w:rPr>
          <w:noProof/>
        </w:rPr>
        <w:t>c)</w:t>
      </w:r>
      <w:r>
        <w:rPr>
          <w:noProof/>
        </w:rPr>
        <w:tab/>
        <w:t>liczba wdrożonych planów odbudowy i zwiększenia odporności;</w:t>
      </w:r>
      <w:r>
        <w:rPr>
          <w:noProof/>
          <w:u w:val="single"/>
        </w:rPr>
        <w:t xml:space="preserve"> </w:t>
      </w:r>
    </w:p>
    <w:p w:rsidR="00D41175" w:rsidRDefault="003D53EA">
      <w:pPr>
        <w:spacing w:before="0" w:after="200"/>
        <w:rPr>
          <w:b/>
          <w:noProof/>
          <w:u w:val="single"/>
        </w:rPr>
      </w:pPr>
      <w:r>
        <w:rPr>
          <w:b/>
          <w:noProof/>
          <w:u w:val="single"/>
        </w:rPr>
        <w:t>Wskaźniki oddziaływania ustanowione niniejszym rozporządzeniem</w:t>
      </w:r>
    </w:p>
    <w:p w:rsidR="00D41175" w:rsidRDefault="003D53EA">
      <w:pPr>
        <w:pStyle w:val="Point1"/>
        <w:rPr>
          <w:noProof/>
        </w:rPr>
      </w:pPr>
      <w:r>
        <w:rPr>
          <w:noProof/>
        </w:rPr>
        <w:t>d)</w:t>
      </w:r>
      <w:r>
        <w:rPr>
          <w:noProof/>
        </w:rPr>
        <w:tab/>
        <w:t>cele określone w planie odbudowy i zwiększenia odporności, które zostały osiągnięte między innymi dzięki ogólnemu wsparciu finansowemu (w tym, w stosownych przypadkach, wsparciu w postaci pożyczki) otrzymanemu w ramach Instrumentu na rzecz Odbudowy i Zwiększania Odporności ustanowionego niniejszym rozporządzeniem;</w:t>
      </w:r>
    </w:p>
    <w:p w:rsidR="00D41175" w:rsidRDefault="003D53EA">
      <w:pPr>
        <w:spacing w:before="0" w:after="200"/>
        <w:rPr>
          <w:noProof/>
        </w:rPr>
      </w:pPr>
      <w:r>
        <w:rPr>
          <w:noProof/>
        </w:rPr>
        <w:t xml:space="preserve">Ocena </w:t>
      </w:r>
      <w:r>
        <w:rPr>
          <w:i/>
          <w:noProof/>
        </w:rPr>
        <w:t>ex post</w:t>
      </w:r>
      <w:r>
        <w:rPr>
          <w:noProof/>
        </w:rPr>
        <w:t>, o której mowa w art. 25, jest przeprowadzana przez Komisję również w celu ustalenia związku między ogólnym wsparciem finansowym (w tym, w stosownych przypadkach, wsparciem w postaci pożyczki) udzielanym w ramach Instrumentu na rzecz Odbudowy i Zwiększania Odporności i wdrażaniem stosownych środków w danym państwie członkowskim w celu wsparcia odbudowy, odporności, zrównoważonego wzrostu gospodarczego zatrudnienia i spójności.</w:t>
      </w:r>
    </w:p>
    <w:sectPr w:rsidR="00D4117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5F" w:rsidRDefault="008D265F">
      <w:pPr>
        <w:spacing w:before="0" w:after="0"/>
      </w:pPr>
      <w:r>
        <w:separator/>
      </w:r>
    </w:p>
  </w:endnote>
  <w:endnote w:type="continuationSeparator" w:id="0">
    <w:p w:rsidR="008D265F" w:rsidRDefault="008D26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D411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3D53EA">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D411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3D53EA">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E649E1">
      <w:rPr>
        <w:noProof/>
      </w:rPr>
      <w:t>1</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D411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5F" w:rsidRDefault="008D265F">
      <w:pPr>
        <w:spacing w:before="0" w:after="0"/>
      </w:pPr>
      <w:r>
        <w:separator/>
      </w:r>
    </w:p>
  </w:footnote>
  <w:footnote w:type="continuationSeparator" w:id="0">
    <w:p w:rsidR="008D265F" w:rsidRDefault="008D265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D411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D4117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75" w:rsidRDefault="00D411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062BA4"/>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5E22A098"/>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8CE83484"/>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0E9CFB9A"/>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29505536"/>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825C6FC6"/>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E1B09BDA"/>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EF9027A8"/>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5:21: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5"/>
    <w:docVar w:name="DQCResult_UnknownFonts" w:val="0;0"/>
    <w:docVar w:name="DQCResult_UnknownStyles" w:val="0;1"/>
    <w:docVar w:name="DQCStatus" w:val="Green"/>
    <w:docVar w:name="DQCVersion" w:val="3"/>
    <w:docVar w:name="DQCWithWarnings" w:val="0"/>
    <w:docVar w:name="LW_ACCOMPAGNANT" w:val="do wniosku w sprawie"/>
    <w:docVar w:name="LW_ACCOMPAGNANT.CP" w:val="do wniosku w sprawie"/>
    <w:docVar w:name="LW_ANNEX_NBR_FIRST" w:val="1"/>
    <w:docVar w:name="LW_ANNEX_NBR_LAST" w:val="3"/>
    <w:docVar w:name="LW_ANNEX_UNIQUE" w:val="0"/>
    <w:docVar w:name="LW_CORRIGENDUM" w:val="&lt;UNUSED&gt;"/>
    <w:docVar w:name="LW_COVERPAGE_EXISTS" w:val="True"/>
    <w:docVar w:name="LW_COVERPAGE_GUID" w:val="B856915E-24CB-4DA5-BB31-65AEF5920DF3"/>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ustanawiaj\u261?cego Instrument na rzecz Odbudowy i Zwi\u281?kszania Odporno\u347?ci"/>
    <w:docVar w:name="LW_OBJETACTEPRINCIPAL.CP" w:val="ustanawiaj\u261?cego Instrument na rzecz Odbudowy i Zwi\u281?kszania Odporno\u347?ci"/>
    <w:docVar w:name="LW_PART_NBR" w:val="&lt;UNUSED&gt;"/>
    <w:docVar w:name="LW_PART_NBR_TOTAL" w:val="&lt;UNUSED&gt;"/>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I"/>
    <w:docVar w:name="LW_TYPE.DOC.CP" w:val="ZA\u321?\u260?CZNIKI"/>
    <w:docVar w:name="LW_TYPEACTEPRINCIPAL" w:val="ROZPORZ\u260?DZENIA PARLAMENTU EUROPEJSKIEGO I RADY"/>
    <w:docVar w:name="LW_TYPEACTEPRINCIPAL.CP" w:val="ROZPORZ\u260?DZENIA PARLAMENTU EUROPEJSKIEGO I RADY"/>
  </w:docVars>
  <w:rsids>
    <w:rsidRoot w:val="00D41175"/>
    <w:rsid w:val="00222F5C"/>
    <w:rsid w:val="003D53EA"/>
    <w:rsid w:val="008D265F"/>
    <w:rsid w:val="00D41175"/>
    <w:rsid w:val="00E6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17"/>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7"/>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7"/>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7"/>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semiHidden/>
    <w:unhideWhenUsed/>
    <w:qFormat/>
    <w:pPr>
      <w:spacing w:before="0" w:after="200"/>
    </w:pPr>
    <w:rPr>
      <w:i/>
      <w:iCs/>
      <w:color w:val="1F497D" w:themeColor="text2"/>
      <w:sz w:val="18"/>
      <w:szCs w:val="18"/>
    </w:rPr>
  </w:style>
  <w:style w:type="paragraph" w:styleId="Spisilustracji">
    <w:name w:val="table of figures"/>
    <w:basedOn w:val="Normalny"/>
    <w:next w:val="Normalny"/>
    <w:uiPriority w:val="99"/>
    <w:semiHidden/>
    <w:unhideWhenUsed/>
    <w:pPr>
      <w:spacing w:after="0"/>
    </w:pPr>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paragraph" w:styleId="Listanumerowana">
    <w:name w:val="List Number"/>
    <w:basedOn w:val="Normalny"/>
    <w:uiPriority w:val="99"/>
    <w:semiHidden/>
    <w:unhideWhenUsed/>
    <w:pPr>
      <w:numPr>
        <w:numId w:val="5"/>
      </w:numPr>
      <w:contextualSpacing/>
    </w:pPr>
  </w:style>
  <w:style w:type="paragraph" w:styleId="Listanumerowana2">
    <w:name w:val="List Number 2"/>
    <w:basedOn w:val="Normalny"/>
    <w:uiPriority w:val="99"/>
    <w:semiHidden/>
    <w:unhideWhenUsed/>
    <w:pPr>
      <w:numPr>
        <w:numId w:val="6"/>
      </w:numPr>
      <w:contextualSpacing/>
    </w:pPr>
  </w:style>
  <w:style w:type="paragraph" w:styleId="Listanumerowana3">
    <w:name w:val="List Number 3"/>
    <w:basedOn w:val="Normalny"/>
    <w:uiPriority w:val="99"/>
    <w:semiHidden/>
    <w:unhideWhenUsed/>
    <w:pPr>
      <w:numPr>
        <w:numId w:val="7"/>
      </w:numPr>
      <w:contextualSpacing/>
    </w:pPr>
  </w:style>
  <w:style w:type="paragraph" w:styleId="Listanumerowana4">
    <w:name w:val="List Number 4"/>
    <w:basedOn w:val="Normalny"/>
    <w:uiPriority w:val="99"/>
    <w:semiHidden/>
    <w:unhideWhenUsed/>
    <w:pPr>
      <w:numPr>
        <w:numId w:val="8"/>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Tekstdymka">
    <w:name w:val="Balloon Text"/>
    <w:basedOn w:val="Normalny"/>
    <w:link w:val="TekstdymkaZnak"/>
    <w:uiPriority w:val="99"/>
    <w:semiHidden/>
    <w:unhideWhenUse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lang w:val="pl-PL"/>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Akapitzlist">
    <w:name w:val="List Paragraph"/>
    <w:basedOn w:val="Normalny"/>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nyWeb">
    <w:name w:val="Normal (Web)"/>
    <w:basedOn w:val="Normalny"/>
    <w:uiPriority w:val="99"/>
    <w:semiHidden/>
    <w:unhideWhenUsed/>
    <w:pPr>
      <w:spacing w:before="100" w:beforeAutospacing="1" w:after="100" w:afterAutospacing="1"/>
      <w:jc w:val="left"/>
    </w:pPr>
    <w:rPr>
      <w:rFonts w:eastAsia="Times New Roman"/>
      <w:szCs w:val="24"/>
      <w:lang w:eastAsia="fr-BE"/>
    </w:rPr>
  </w:style>
  <w:style w:type="paragraph" w:styleId="Nagwek">
    <w:name w:val="header"/>
    <w:basedOn w:val="Normalny"/>
    <w:link w:val="NagwekZnak"/>
    <w:uiPriority w:val="99"/>
    <w:unhideWhenUsed/>
    <w:pPr>
      <w:tabs>
        <w:tab w:val="center" w:pos="4535"/>
        <w:tab w:val="right" w:pos="9071"/>
      </w:tabs>
      <w:spacing w:before="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6"/>
      </w:numPr>
    </w:pPr>
  </w:style>
  <w:style w:type="paragraph" w:customStyle="1" w:styleId="NumPar2">
    <w:name w:val="NumPar 2"/>
    <w:basedOn w:val="Normalny"/>
    <w:next w:val="Text1"/>
    <w:pPr>
      <w:numPr>
        <w:ilvl w:val="1"/>
        <w:numId w:val="16"/>
      </w:numPr>
    </w:pPr>
  </w:style>
  <w:style w:type="paragraph" w:customStyle="1" w:styleId="NumPar3">
    <w:name w:val="NumPar 3"/>
    <w:basedOn w:val="Normalny"/>
    <w:next w:val="Text1"/>
    <w:pPr>
      <w:numPr>
        <w:ilvl w:val="2"/>
        <w:numId w:val="16"/>
      </w:numPr>
    </w:pPr>
  </w:style>
  <w:style w:type="paragraph" w:customStyle="1" w:styleId="NumPar4">
    <w:name w:val="NumPar 4"/>
    <w:basedOn w:val="Normalny"/>
    <w:next w:val="Text1"/>
    <w:pPr>
      <w:numPr>
        <w:ilvl w:val="3"/>
        <w:numId w:val="16"/>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8"/>
      </w:numPr>
    </w:pPr>
  </w:style>
  <w:style w:type="paragraph" w:customStyle="1" w:styleId="Point1number">
    <w:name w:val="Point 1 (number)"/>
    <w:basedOn w:val="Normalny"/>
    <w:pPr>
      <w:numPr>
        <w:ilvl w:val="2"/>
        <w:numId w:val="18"/>
      </w:numPr>
    </w:pPr>
  </w:style>
  <w:style w:type="paragraph" w:customStyle="1" w:styleId="Point2number">
    <w:name w:val="Point 2 (number)"/>
    <w:basedOn w:val="Normalny"/>
    <w:pPr>
      <w:numPr>
        <w:ilvl w:val="4"/>
        <w:numId w:val="18"/>
      </w:numPr>
    </w:pPr>
  </w:style>
  <w:style w:type="paragraph" w:customStyle="1" w:styleId="Point3number">
    <w:name w:val="Point 3 (number)"/>
    <w:basedOn w:val="Normalny"/>
    <w:pPr>
      <w:numPr>
        <w:ilvl w:val="6"/>
        <w:numId w:val="18"/>
      </w:numPr>
    </w:pPr>
  </w:style>
  <w:style w:type="paragraph" w:customStyle="1" w:styleId="Point0letter">
    <w:name w:val="Point 0 (letter)"/>
    <w:basedOn w:val="Normalny"/>
    <w:pPr>
      <w:numPr>
        <w:ilvl w:val="1"/>
        <w:numId w:val="18"/>
      </w:numPr>
    </w:pPr>
  </w:style>
  <w:style w:type="paragraph" w:customStyle="1" w:styleId="Point1letter">
    <w:name w:val="Point 1 (letter)"/>
    <w:basedOn w:val="Normalny"/>
    <w:pPr>
      <w:numPr>
        <w:ilvl w:val="3"/>
        <w:numId w:val="18"/>
      </w:numPr>
    </w:pPr>
  </w:style>
  <w:style w:type="paragraph" w:customStyle="1" w:styleId="Point2letter">
    <w:name w:val="Point 2 (letter)"/>
    <w:basedOn w:val="Normalny"/>
    <w:pPr>
      <w:numPr>
        <w:ilvl w:val="5"/>
        <w:numId w:val="18"/>
      </w:numPr>
    </w:pPr>
  </w:style>
  <w:style w:type="paragraph" w:customStyle="1" w:styleId="Point3letter">
    <w:name w:val="Point 3 (letter)"/>
    <w:basedOn w:val="Normalny"/>
    <w:pPr>
      <w:numPr>
        <w:ilvl w:val="7"/>
        <w:numId w:val="18"/>
      </w:numPr>
    </w:pPr>
  </w:style>
  <w:style w:type="paragraph" w:customStyle="1" w:styleId="Point4letter">
    <w:name w:val="Point 4 (letter)"/>
    <w:basedOn w:val="Normalny"/>
    <w:pPr>
      <w:numPr>
        <w:ilvl w:val="8"/>
        <w:numId w:val="18"/>
      </w:numPr>
    </w:pPr>
  </w:style>
  <w:style w:type="paragraph" w:customStyle="1" w:styleId="Bullet0">
    <w:name w:val="Bullet 0"/>
    <w:basedOn w:val="Normalny"/>
    <w:pPr>
      <w:numPr>
        <w:numId w:val="19"/>
      </w:numPr>
    </w:pPr>
  </w:style>
  <w:style w:type="paragraph" w:customStyle="1" w:styleId="Bullet1">
    <w:name w:val="Bullet 1"/>
    <w:basedOn w:val="Normalny"/>
    <w:pPr>
      <w:numPr>
        <w:numId w:val="20"/>
      </w:numPr>
    </w:pPr>
  </w:style>
  <w:style w:type="paragraph" w:customStyle="1" w:styleId="Bullet2">
    <w:name w:val="Bullet 2"/>
    <w:basedOn w:val="Normalny"/>
    <w:pPr>
      <w:numPr>
        <w:numId w:val="21"/>
      </w:numPr>
    </w:pPr>
  </w:style>
  <w:style w:type="paragraph" w:customStyle="1" w:styleId="Bullet3">
    <w:name w:val="Bullet 3"/>
    <w:basedOn w:val="Normalny"/>
    <w:pPr>
      <w:numPr>
        <w:numId w:val="22"/>
      </w:numPr>
    </w:pPr>
  </w:style>
  <w:style w:type="paragraph" w:customStyle="1" w:styleId="Bullet4">
    <w:name w:val="Bullet 4"/>
    <w:basedOn w:val="Normalny"/>
    <w:pPr>
      <w:numPr>
        <w:numId w:val="23"/>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4"/>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IntrtEEE"/>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0" w:after="240"/>
      <w:jc w:val="center"/>
    </w:pPr>
  </w:style>
  <w:style w:type="paragraph" w:customStyle="1" w:styleId="Titrearticle">
    <w:name w:val="Titre article"/>
    <w:basedOn w:val="Normalny"/>
    <w:next w:val="Normalny"/>
    <w:pPr>
      <w:keepNext/>
      <w:spacing w:before="360"/>
      <w:jc w:val="center"/>
    </w:pPr>
    <w:rPr>
      <w:i/>
    </w:rPr>
  </w:style>
  <w:style w:type="paragraph" w:customStyle="1" w:styleId="Typedudocument">
    <w:name w:val="Type du document"/>
    <w:basedOn w:val="Normalny"/>
    <w:next w:val="Accompagnant"/>
    <w:pPr>
      <w:spacing w:before="360" w:after="18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180" w:after="240"/>
      <w:jc w:val="center"/>
    </w:pPr>
    <w:rPr>
      <w:b/>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17"/>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7"/>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7"/>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7"/>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semiHidden/>
    <w:unhideWhenUsed/>
    <w:qFormat/>
    <w:pPr>
      <w:spacing w:before="0" w:after="200"/>
    </w:pPr>
    <w:rPr>
      <w:i/>
      <w:iCs/>
      <w:color w:val="1F497D" w:themeColor="text2"/>
      <w:sz w:val="18"/>
      <w:szCs w:val="18"/>
    </w:rPr>
  </w:style>
  <w:style w:type="paragraph" w:styleId="Spisilustracji">
    <w:name w:val="table of figures"/>
    <w:basedOn w:val="Normalny"/>
    <w:next w:val="Normalny"/>
    <w:uiPriority w:val="99"/>
    <w:semiHidden/>
    <w:unhideWhenUsed/>
    <w:pPr>
      <w:spacing w:after="0"/>
    </w:pPr>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paragraph" w:styleId="Listanumerowana">
    <w:name w:val="List Number"/>
    <w:basedOn w:val="Normalny"/>
    <w:uiPriority w:val="99"/>
    <w:semiHidden/>
    <w:unhideWhenUsed/>
    <w:pPr>
      <w:numPr>
        <w:numId w:val="5"/>
      </w:numPr>
      <w:contextualSpacing/>
    </w:pPr>
  </w:style>
  <w:style w:type="paragraph" w:styleId="Listanumerowana2">
    <w:name w:val="List Number 2"/>
    <w:basedOn w:val="Normalny"/>
    <w:uiPriority w:val="99"/>
    <w:semiHidden/>
    <w:unhideWhenUsed/>
    <w:pPr>
      <w:numPr>
        <w:numId w:val="6"/>
      </w:numPr>
      <w:contextualSpacing/>
    </w:pPr>
  </w:style>
  <w:style w:type="paragraph" w:styleId="Listanumerowana3">
    <w:name w:val="List Number 3"/>
    <w:basedOn w:val="Normalny"/>
    <w:uiPriority w:val="99"/>
    <w:semiHidden/>
    <w:unhideWhenUsed/>
    <w:pPr>
      <w:numPr>
        <w:numId w:val="7"/>
      </w:numPr>
      <w:contextualSpacing/>
    </w:pPr>
  </w:style>
  <w:style w:type="paragraph" w:styleId="Listanumerowana4">
    <w:name w:val="List Number 4"/>
    <w:basedOn w:val="Normalny"/>
    <w:uiPriority w:val="99"/>
    <w:semiHidden/>
    <w:unhideWhenUsed/>
    <w:pPr>
      <w:numPr>
        <w:numId w:val="8"/>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Tekstdymka">
    <w:name w:val="Balloon Text"/>
    <w:basedOn w:val="Normalny"/>
    <w:link w:val="TekstdymkaZnak"/>
    <w:uiPriority w:val="99"/>
    <w:semiHidden/>
    <w:unhideWhenUse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lang w:val="pl-PL"/>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Akapitzlist">
    <w:name w:val="List Paragraph"/>
    <w:basedOn w:val="Normalny"/>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nyWeb">
    <w:name w:val="Normal (Web)"/>
    <w:basedOn w:val="Normalny"/>
    <w:uiPriority w:val="99"/>
    <w:semiHidden/>
    <w:unhideWhenUsed/>
    <w:pPr>
      <w:spacing w:before="100" w:beforeAutospacing="1" w:after="100" w:afterAutospacing="1"/>
      <w:jc w:val="left"/>
    </w:pPr>
    <w:rPr>
      <w:rFonts w:eastAsia="Times New Roman"/>
      <w:szCs w:val="24"/>
      <w:lang w:eastAsia="fr-BE"/>
    </w:rPr>
  </w:style>
  <w:style w:type="paragraph" w:styleId="Nagwek">
    <w:name w:val="header"/>
    <w:basedOn w:val="Normalny"/>
    <w:link w:val="NagwekZnak"/>
    <w:uiPriority w:val="99"/>
    <w:unhideWhenUsed/>
    <w:pPr>
      <w:tabs>
        <w:tab w:val="center" w:pos="4535"/>
        <w:tab w:val="right" w:pos="9071"/>
      </w:tabs>
      <w:spacing w:before="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6"/>
      </w:numPr>
    </w:pPr>
  </w:style>
  <w:style w:type="paragraph" w:customStyle="1" w:styleId="NumPar2">
    <w:name w:val="NumPar 2"/>
    <w:basedOn w:val="Normalny"/>
    <w:next w:val="Text1"/>
    <w:pPr>
      <w:numPr>
        <w:ilvl w:val="1"/>
        <w:numId w:val="16"/>
      </w:numPr>
    </w:pPr>
  </w:style>
  <w:style w:type="paragraph" w:customStyle="1" w:styleId="NumPar3">
    <w:name w:val="NumPar 3"/>
    <w:basedOn w:val="Normalny"/>
    <w:next w:val="Text1"/>
    <w:pPr>
      <w:numPr>
        <w:ilvl w:val="2"/>
        <w:numId w:val="16"/>
      </w:numPr>
    </w:pPr>
  </w:style>
  <w:style w:type="paragraph" w:customStyle="1" w:styleId="NumPar4">
    <w:name w:val="NumPar 4"/>
    <w:basedOn w:val="Normalny"/>
    <w:next w:val="Text1"/>
    <w:pPr>
      <w:numPr>
        <w:ilvl w:val="3"/>
        <w:numId w:val="16"/>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8"/>
      </w:numPr>
    </w:pPr>
  </w:style>
  <w:style w:type="paragraph" w:customStyle="1" w:styleId="Point1number">
    <w:name w:val="Point 1 (number)"/>
    <w:basedOn w:val="Normalny"/>
    <w:pPr>
      <w:numPr>
        <w:ilvl w:val="2"/>
        <w:numId w:val="18"/>
      </w:numPr>
    </w:pPr>
  </w:style>
  <w:style w:type="paragraph" w:customStyle="1" w:styleId="Point2number">
    <w:name w:val="Point 2 (number)"/>
    <w:basedOn w:val="Normalny"/>
    <w:pPr>
      <w:numPr>
        <w:ilvl w:val="4"/>
        <w:numId w:val="18"/>
      </w:numPr>
    </w:pPr>
  </w:style>
  <w:style w:type="paragraph" w:customStyle="1" w:styleId="Point3number">
    <w:name w:val="Point 3 (number)"/>
    <w:basedOn w:val="Normalny"/>
    <w:pPr>
      <w:numPr>
        <w:ilvl w:val="6"/>
        <w:numId w:val="18"/>
      </w:numPr>
    </w:pPr>
  </w:style>
  <w:style w:type="paragraph" w:customStyle="1" w:styleId="Point0letter">
    <w:name w:val="Point 0 (letter)"/>
    <w:basedOn w:val="Normalny"/>
    <w:pPr>
      <w:numPr>
        <w:ilvl w:val="1"/>
        <w:numId w:val="18"/>
      </w:numPr>
    </w:pPr>
  </w:style>
  <w:style w:type="paragraph" w:customStyle="1" w:styleId="Point1letter">
    <w:name w:val="Point 1 (letter)"/>
    <w:basedOn w:val="Normalny"/>
    <w:pPr>
      <w:numPr>
        <w:ilvl w:val="3"/>
        <w:numId w:val="18"/>
      </w:numPr>
    </w:pPr>
  </w:style>
  <w:style w:type="paragraph" w:customStyle="1" w:styleId="Point2letter">
    <w:name w:val="Point 2 (letter)"/>
    <w:basedOn w:val="Normalny"/>
    <w:pPr>
      <w:numPr>
        <w:ilvl w:val="5"/>
        <w:numId w:val="18"/>
      </w:numPr>
    </w:pPr>
  </w:style>
  <w:style w:type="paragraph" w:customStyle="1" w:styleId="Point3letter">
    <w:name w:val="Point 3 (letter)"/>
    <w:basedOn w:val="Normalny"/>
    <w:pPr>
      <w:numPr>
        <w:ilvl w:val="7"/>
        <w:numId w:val="18"/>
      </w:numPr>
    </w:pPr>
  </w:style>
  <w:style w:type="paragraph" w:customStyle="1" w:styleId="Point4letter">
    <w:name w:val="Point 4 (letter)"/>
    <w:basedOn w:val="Normalny"/>
    <w:pPr>
      <w:numPr>
        <w:ilvl w:val="8"/>
        <w:numId w:val="18"/>
      </w:numPr>
    </w:pPr>
  </w:style>
  <w:style w:type="paragraph" w:customStyle="1" w:styleId="Bullet0">
    <w:name w:val="Bullet 0"/>
    <w:basedOn w:val="Normalny"/>
    <w:pPr>
      <w:numPr>
        <w:numId w:val="19"/>
      </w:numPr>
    </w:pPr>
  </w:style>
  <w:style w:type="paragraph" w:customStyle="1" w:styleId="Bullet1">
    <w:name w:val="Bullet 1"/>
    <w:basedOn w:val="Normalny"/>
    <w:pPr>
      <w:numPr>
        <w:numId w:val="20"/>
      </w:numPr>
    </w:pPr>
  </w:style>
  <w:style w:type="paragraph" w:customStyle="1" w:styleId="Bullet2">
    <w:name w:val="Bullet 2"/>
    <w:basedOn w:val="Normalny"/>
    <w:pPr>
      <w:numPr>
        <w:numId w:val="21"/>
      </w:numPr>
    </w:pPr>
  </w:style>
  <w:style w:type="paragraph" w:customStyle="1" w:styleId="Bullet3">
    <w:name w:val="Bullet 3"/>
    <w:basedOn w:val="Normalny"/>
    <w:pPr>
      <w:numPr>
        <w:numId w:val="22"/>
      </w:numPr>
    </w:pPr>
  </w:style>
  <w:style w:type="paragraph" w:customStyle="1" w:styleId="Bullet4">
    <w:name w:val="Bullet 4"/>
    <w:basedOn w:val="Normalny"/>
    <w:pPr>
      <w:numPr>
        <w:numId w:val="23"/>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4"/>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IntrtEEE"/>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0" w:after="240"/>
      <w:jc w:val="center"/>
    </w:pPr>
  </w:style>
  <w:style w:type="paragraph" w:customStyle="1" w:styleId="Titrearticle">
    <w:name w:val="Titre article"/>
    <w:basedOn w:val="Normalny"/>
    <w:next w:val="Normalny"/>
    <w:pPr>
      <w:keepNext/>
      <w:spacing w:before="360"/>
      <w:jc w:val="center"/>
    </w:pPr>
    <w:rPr>
      <w:i/>
    </w:rPr>
  </w:style>
  <w:style w:type="paragraph" w:customStyle="1" w:styleId="Typedudocument">
    <w:name w:val="Type du document"/>
    <w:basedOn w:val="Normalny"/>
    <w:next w:val="Accompagnant"/>
    <w:pPr>
      <w:spacing w:before="360" w:after="18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180" w:after="240"/>
      <w:jc w:val="center"/>
    </w:pPr>
    <w:rPr>
      <w:b/>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94">
      <w:bodyDiv w:val="1"/>
      <w:marLeft w:val="0"/>
      <w:marRight w:val="0"/>
      <w:marTop w:val="0"/>
      <w:marBottom w:val="0"/>
      <w:divBdr>
        <w:top w:val="none" w:sz="0" w:space="0" w:color="auto"/>
        <w:left w:val="none" w:sz="0" w:space="0" w:color="auto"/>
        <w:bottom w:val="none" w:sz="0" w:space="0" w:color="auto"/>
        <w:right w:val="none" w:sz="0" w:space="0" w:color="auto"/>
      </w:divBdr>
    </w:div>
    <w:div w:id="483357943">
      <w:bodyDiv w:val="1"/>
      <w:marLeft w:val="0"/>
      <w:marRight w:val="0"/>
      <w:marTop w:val="0"/>
      <w:marBottom w:val="0"/>
      <w:divBdr>
        <w:top w:val="none" w:sz="0" w:space="0" w:color="auto"/>
        <w:left w:val="none" w:sz="0" w:space="0" w:color="auto"/>
        <w:bottom w:val="none" w:sz="0" w:space="0" w:color="auto"/>
        <w:right w:val="none" w:sz="0" w:space="0" w:color="auto"/>
      </w:divBdr>
    </w:div>
    <w:div w:id="1079062625">
      <w:bodyDiv w:val="1"/>
      <w:marLeft w:val="0"/>
      <w:marRight w:val="0"/>
      <w:marTop w:val="0"/>
      <w:marBottom w:val="0"/>
      <w:divBdr>
        <w:top w:val="none" w:sz="0" w:space="0" w:color="auto"/>
        <w:left w:val="none" w:sz="0" w:space="0" w:color="auto"/>
        <w:bottom w:val="none" w:sz="0" w:space="0" w:color="auto"/>
        <w:right w:val="none" w:sz="0" w:space="0" w:color="auto"/>
      </w:divBdr>
    </w:div>
    <w:div w:id="1270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FCFF-014A-48DB-9D02-7168CE8B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13</Pages>
  <Words>2770</Words>
  <Characters>16623</Characters>
  <Application>Microsoft Office Word</Application>
  <DocSecurity>0</DocSecurity>
  <Lines>138</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AMUZAN Andreea Gabriela (REFORM)</dc:creator>
  <cp:lastModifiedBy>Michał Steć</cp:lastModifiedBy>
  <cp:revision>2</cp:revision>
  <dcterms:created xsi:type="dcterms:W3CDTF">2020-06-04T11:17:00Z</dcterms:created>
  <dcterms:modified xsi:type="dcterms:W3CDTF">2020-06-04T11:17:00Z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