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C1A02" w14:textId="03125F2D" w:rsidR="00171E6C" w:rsidRPr="0021617C" w:rsidRDefault="00171E6C" w:rsidP="00C24F93">
      <w:pPr>
        <w:spacing w:after="0" w:line="276" w:lineRule="auto"/>
        <w:ind w:left="426" w:right="282" w:firstLine="142"/>
        <w:jc w:val="center"/>
        <w:rPr>
          <w:rFonts w:ascii="Arial Narrow" w:hAnsi="Arial Narrow" w:cs="Arial"/>
          <w:b/>
          <w:bCs/>
          <w:sz w:val="24"/>
          <w:szCs w:val="24"/>
        </w:rPr>
      </w:pPr>
      <w:r w:rsidRPr="006F5B82">
        <w:rPr>
          <w:rFonts w:ascii="Arial Narrow" w:hAnsi="Arial Narrow" w:cs="Arial"/>
          <w:b/>
          <w:bCs/>
          <w:sz w:val="24"/>
          <w:szCs w:val="24"/>
        </w:rPr>
        <w:t>“</w:t>
      </w:r>
      <w:r w:rsidR="006F5B82" w:rsidRPr="0021617C">
        <w:rPr>
          <w:rFonts w:ascii="Arial Narrow" w:hAnsi="Arial Narrow"/>
          <w:b/>
          <w:bCs/>
          <w:color w:val="0D0D0D" w:themeColor="text1" w:themeTint="F2"/>
          <w:sz w:val="24"/>
          <w:szCs w:val="24"/>
        </w:rPr>
        <w:t>Европейските Работнически Съвети</w:t>
      </w:r>
      <w:r w:rsidR="006F5B82" w:rsidRPr="0021617C">
        <w:rPr>
          <w:rFonts w:ascii="Arial Narrow" w:hAnsi="Arial Narrow"/>
          <w:b/>
          <w:bCs/>
          <w:color w:val="0D0D0D" w:themeColor="text1" w:themeTint="F2"/>
          <w:sz w:val="24"/>
          <w:szCs w:val="24"/>
          <w:lang w:val="bg-BG"/>
        </w:rPr>
        <w:t>:</w:t>
      </w:r>
      <w:r w:rsidR="006F5B82" w:rsidRPr="0021617C">
        <w:rPr>
          <w:rFonts w:ascii="Arial Narrow" w:hAnsi="Arial Narrow"/>
          <w:b/>
          <w:bCs/>
          <w:color w:val="0D0D0D" w:themeColor="text1" w:themeTint="F2"/>
          <w:sz w:val="24"/>
          <w:szCs w:val="24"/>
        </w:rPr>
        <w:t xml:space="preserve"> правилната </w:t>
      </w:r>
      <w:r w:rsidR="006F5B82" w:rsidRPr="0021617C">
        <w:rPr>
          <w:rStyle w:val="tlid-translation"/>
          <w:rFonts w:ascii="Arial Narrow" w:hAnsi="Arial Narrow"/>
          <w:b/>
          <w:bCs/>
          <w:color w:val="0D0D0D" w:themeColor="text1" w:themeTint="F2"/>
          <w:sz w:val="24"/>
          <w:szCs w:val="24"/>
        </w:rPr>
        <w:t>обработка на финансовата информация като ключов фактор за ефективна комуникация</w:t>
      </w:r>
      <w:r w:rsidR="006F5B82" w:rsidRPr="0021617C">
        <w:rPr>
          <w:rStyle w:val="tlid-translation"/>
          <w:rFonts w:ascii="Arial Narrow" w:hAnsi="Arial Narrow"/>
          <w:b/>
          <w:bCs/>
          <w:color w:val="0D0D0D" w:themeColor="text1" w:themeTint="F2"/>
          <w:sz w:val="24"/>
          <w:szCs w:val="24"/>
          <w:lang w:val="bg-BG"/>
        </w:rPr>
        <w:t>“</w:t>
      </w:r>
    </w:p>
    <w:p w14:paraId="066E8AC8" w14:textId="151FEDE0" w:rsidR="00171E6C" w:rsidRPr="0021617C" w:rsidRDefault="006F5B82" w:rsidP="00C24F93">
      <w:pPr>
        <w:spacing w:after="0" w:line="276" w:lineRule="auto"/>
        <w:ind w:left="426" w:right="282" w:firstLine="142"/>
        <w:jc w:val="center"/>
        <w:rPr>
          <w:rFonts w:ascii="Arial Narrow" w:hAnsi="Arial Narrow" w:cs="Arial"/>
          <w:b/>
          <w:bCs/>
          <w:sz w:val="24"/>
          <w:szCs w:val="24"/>
        </w:rPr>
      </w:pPr>
      <w:r w:rsidRPr="0021617C">
        <w:rPr>
          <w:rFonts w:ascii="Arial Narrow" w:hAnsi="Arial Narrow" w:cs="Arial"/>
          <w:b/>
          <w:bCs/>
          <w:sz w:val="24"/>
          <w:szCs w:val="24"/>
          <w:lang w:val="bg-BG"/>
        </w:rPr>
        <w:t>Проект</w:t>
      </w:r>
      <w:r w:rsidR="00171E6C" w:rsidRPr="0021617C">
        <w:rPr>
          <w:rFonts w:ascii="Arial Narrow" w:hAnsi="Arial Narrow" w:cs="Arial"/>
          <w:b/>
          <w:bCs/>
          <w:sz w:val="24"/>
          <w:szCs w:val="24"/>
        </w:rPr>
        <w:t xml:space="preserve"> VS/2019/0025</w:t>
      </w:r>
    </w:p>
    <w:p w14:paraId="4C3379FF" w14:textId="77777777" w:rsidR="006F5B82" w:rsidRPr="0021617C" w:rsidRDefault="006F5B82" w:rsidP="00C24F93">
      <w:pPr>
        <w:spacing w:after="0" w:line="276" w:lineRule="auto"/>
        <w:ind w:left="426" w:firstLine="142"/>
        <w:jc w:val="center"/>
        <w:rPr>
          <w:rFonts w:ascii="Arial Narrow" w:hAnsi="Arial Narrow" w:cs="Arial"/>
          <w:sz w:val="24"/>
          <w:szCs w:val="24"/>
        </w:rPr>
      </w:pPr>
    </w:p>
    <w:p w14:paraId="59CEDC24" w14:textId="77777777" w:rsidR="000D4877" w:rsidRPr="0021617C" w:rsidRDefault="000D4877" w:rsidP="00C24F93">
      <w:pPr>
        <w:spacing w:after="0" w:line="276" w:lineRule="auto"/>
        <w:ind w:left="426" w:firstLine="142"/>
        <w:jc w:val="center"/>
        <w:rPr>
          <w:rFonts w:ascii="Arial Narrow" w:hAnsi="Arial Narrow" w:cs="Arial"/>
          <w:sz w:val="24"/>
          <w:szCs w:val="24"/>
        </w:rPr>
      </w:pPr>
    </w:p>
    <w:p w14:paraId="6FE047D6" w14:textId="77777777" w:rsidR="000D4877" w:rsidRPr="0021617C" w:rsidRDefault="000D4877" w:rsidP="00C24F93">
      <w:pPr>
        <w:spacing w:after="0" w:line="276" w:lineRule="auto"/>
        <w:ind w:left="426" w:firstLine="142"/>
        <w:jc w:val="right"/>
        <w:rPr>
          <w:rFonts w:ascii="Arial Narrow" w:hAnsi="Arial Narrow" w:cs="Arial"/>
          <w:sz w:val="24"/>
          <w:szCs w:val="24"/>
        </w:rPr>
      </w:pPr>
      <w:r w:rsidRPr="0021617C">
        <w:rPr>
          <w:rFonts w:ascii="Arial Narrow" w:hAnsi="Arial Narrow" w:cs="Arial"/>
          <w:sz w:val="24"/>
          <w:szCs w:val="24"/>
        </w:rPr>
        <w:t>Приложение 2</w:t>
      </w:r>
    </w:p>
    <w:p w14:paraId="0A30D920" w14:textId="77777777" w:rsidR="000D4877" w:rsidRPr="0021617C" w:rsidRDefault="000D4877" w:rsidP="00C24F93">
      <w:pPr>
        <w:spacing w:after="0" w:line="276" w:lineRule="auto"/>
        <w:ind w:left="426" w:firstLine="142"/>
        <w:jc w:val="both"/>
        <w:rPr>
          <w:rFonts w:ascii="Arial Narrow" w:hAnsi="Arial Narrow" w:cs="Arial"/>
          <w:sz w:val="24"/>
          <w:szCs w:val="24"/>
        </w:rPr>
      </w:pPr>
    </w:p>
    <w:p w14:paraId="178E8F7A" w14:textId="77777777" w:rsidR="009620CB" w:rsidRDefault="009620CB" w:rsidP="009620CB">
      <w:pPr>
        <w:spacing w:after="0" w:line="276" w:lineRule="auto"/>
        <w:jc w:val="both"/>
        <w:rPr>
          <w:rFonts w:ascii="Arial Narrow" w:hAnsi="Arial Narrow" w:cs="Arial"/>
          <w:b/>
          <w:bCs/>
          <w:sz w:val="24"/>
          <w:szCs w:val="24"/>
          <w:lang w:val="bg-BG"/>
        </w:rPr>
      </w:pPr>
    </w:p>
    <w:p w14:paraId="0F06682F" w14:textId="70913C8B" w:rsidR="000D4877" w:rsidRPr="00C24F93" w:rsidRDefault="009620CB" w:rsidP="009620CB">
      <w:pPr>
        <w:spacing w:after="0" w:line="276" w:lineRule="auto"/>
        <w:jc w:val="both"/>
        <w:rPr>
          <w:rFonts w:ascii="Arial Narrow" w:hAnsi="Arial Narrow" w:cs="Arial"/>
          <w:b/>
          <w:bCs/>
          <w:sz w:val="24"/>
          <w:szCs w:val="24"/>
        </w:rPr>
      </w:pPr>
      <w:r>
        <w:rPr>
          <w:rFonts w:ascii="Arial Narrow" w:hAnsi="Arial Narrow" w:cs="Arial"/>
          <w:b/>
          <w:bCs/>
          <w:sz w:val="24"/>
          <w:szCs w:val="24"/>
          <w:lang w:val="bg-BG"/>
        </w:rPr>
        <w:t xml:space="preserve">        </w:t>
      </w:r>
      <w:r w:rsidR="006F5B82" w:rsidRPr="00C24F93">
        <w:rPr>
          <w:rFonts w:ascii="Arial Narrow" w:hAnsi="Arial Narrow" w:cs="Arial"/>
          <w:b/>
          <w:bCs/>
          <w:sz w:val="24"/>
          <w:szCs w:val="24"/>
          <w:lang w:val="bg-BG"/>
        </w:rPr>
        <w:t>Европейското измерение на поверителността на</w:t>
      </w:r>
      <w:r w:rsidR="000D4877" w:rsidRPr="00C24F93">
        <w:rPr>
          <w:rFonts w:ascii="Arial Narrow" w:hAnsi="Arial Narrow" w:cs="Arial"/>
          <w:b/>
          <w:bCs/>
          <w:sz w:val="24"/>
          <w:szCs w:val="24"/>
        </w:rPr>
        <w:t xml:space="preserve"> информация</w:t>
      </w:r>
      <w:r w:rsidR="006F5B82" w:rsidRPr="00C24F93">
        <w:rPr>
          <w:rFonts w:ascii="Arial Narrow" w:hAnsi="Arial Narrow" w:cs="Arial"/>
          <w:b/>
          <w:bCs/>
          <w:sz w:val="24"/>
          <w:szCs w:val="24"/>
          <w:lang w:val="bg-BG"/>
        </w:rPr>
        <w:t>та</w:t>
      </w:r>
    </w:p>
    <w:p w14:paraId="03D79876" w14:textId="77777777" w:rsidR="000D4877" w:rsidRPr="0021617C" w:rsidRDefault="000D4877" w:rsidP="00C24F93">
      <w:pPr>
        <w:spacing w:after="0" w:line="276" w:lineRule="auto"/>
        <w:ind w:left="426" w:firstLine="142"/>
        <w:jc w:val="both"/>
        <w:rPr>
          <w:rFonts w:ascii="Arial Narrow" w:hAnsi="Arial Narrow" w:cs="Arial"/>
          <w:sz w:val="24"/>
          <w:szCs w:val="24"/>
        </w:rPr>
      </w:pPr>
    </w:p>
    <w:p w14:paraId="0100A1FD" w14:textId="013029DF" w:rsidR="000D4877" w:rsidRPr="0021617C" w:rsidRDefault="000D4877" w:rsidP="00C24F93">
      <w:pPr>
        <w:spacing w:after="0" w:line="276" w:lineRule="auto"/>
        <w:ind w:left="426"/>
        <w:jc w:val="both"/>
        <w:rPr>
          <w:rFonts w:ascii="Arial Narrow" w:hAnsi="Arial Narrow" w:cs="Arial"/>
          <w:sz w:val="24"/>
          <w:szCs w:val="24"/>
        </w:rPr>
      </w:pPr>
      <w:r w:rsidRPr="0021617C">
        <w:rPr>
          <w:rFonts w:ascii="Arial Narrow" w:hAnsi="Arial Narrow" w:cs="Arial"/>
          <w:sz w:val="24"/>
          <w:szCs w:val="24"/>
        </w:rPr>
        <w:t xml:space="preserve">Директива 2009/38/ЕО не </w:t>
      </w:r>
      <w:r w:rsidR="006C31F3">
        <w:rPr>
          <w:rFonts w:ascii="Arial Narrow" w:hAnsi="Arial Narrow" w:cs="Arial"/>
          <w:sz w:val="24"/>
          <w:szCs w:val="24"/>
          <w:lang w:val="bg-BG"/>
        </w:rPr>
        <w:t>съдържа подробна регламентация относно</w:t>
      </w:r>
      <w:r w:rsidRPr="0021617C">
        <w:rPr>
          <w:rFonts w:ascii="Arial Narrow" w:hAnsi="Arial Narrow" w:cs="Arial"/>
          <w:sz w:val="24"/>
          <w:szCs w:val="24"/>
        </w:rPr>
        <w:t xml:space="preserve"> поверителността на информацията. </w:t>
      </w:r>
      <w:r w:rsidR="006C31F3">
        <w:rPr>
          <w:rFonts w:ascii="Arial Narrow" w:hAnsi="Arial Narrow" w:cs="Arial"/>
          <w:sz w:val="24"/>
          <w:szCs w:val="24"/>
          <w:lang w:val="bg-BG"/>
        </w:rPr>
        <w:t>Директивата само</w:t>
      </w:r>
      <w:r w:rsidRPr="0021617C">
        <w:rPr>
          <w:rFonts w:ascii="Arial Narrow" w:hAnsi="Arial Narrow" w:cs="Arial"/>
          <w:sz w:val="24"/>
          <w:szCs w:val="24"/>
        </w:rPr>
        <w:t xml:space="preserve"> предоставя правна</w:t>
      </w:r>
      <w:r w:rsidR="006C31F3">
        <w:rPr>
          <w:rFonts w:ascii="Arial Narrow" w:hAnsi="Arial Narrow" w:cs="Arial"/>
          <w:sz w:val="24"/>
          <w:szCs w:val="24"/>
          <w:lang w:val="bg-BG"/>
        </w:rPr>
        <w:t>та</w:t>
      </w:r>
      <w:r w:rsidRPr="0021617C">
        <w:rPr>
          <w:rFonts w:ascii="Arial Narrow" w:hAnsi="Arial Narrow" w:cs="Arial"/>
          <w:sz w:val="24"/>
          <w:szCs w:val="24"/>
        </w:rPr>
        <w:t xml:space="preserve"> рамка, която </w:t>
      </w:r>
      <w:r w:rsidR="006F5B82" w:rsidRPr="0021617C">
        <w:rPr>
          <w:rFonts w:ascii="Arial Narrow" w:hAnsi="Arial Narrow" w:cs="Arial"/>
          <w:sz w:val="24"/>
          <w:szCs w:val="24"/>
          <w:lang w:val="bg-BG"/>
        </w:rPr>
        <w:t>следва</w:t>
      </w:r>
      <w:r w:rsidRPr="0021617C">
        <w:rPr>
          <w:rFonts w:ascii="Arial Narrow" w:hAnsi="Arial Narrow" w:cs="Arial"/>
          <w:sz w:val="24"/>
          <w:szCs w:val="24"/>
        </w:rPr>
        <w:t xml:space="preserve"> да бъде </w:t>
      </w:r>
      <w:r w:rsidR="006C31F3">
        <w:rPr>
          <w:rFonts w:ascii="Arial Narrow" w:hAnsi="Arial Narrow" w:cs="Arial"/>
          <w:sz w:val="24"/>
          <w:szCs w:val="24"/>
          <w:lang w:val="bg-BG"/>
        </w:rPr>
        <w:t>транспонирана</w:t>
      </w:r>
      <w:r w:rsidRPr="0021617C">
        <w:rPr>
          <w:rFonts w:ascii="Arial Narrow" w:hAnsi="Arial Narrow" w:cs="Arial"/>
          <w:sz w:val="24"/>
          <w:szCs w:val="24"/>
        </w:rPr>
        <w:t xml:space="preserve"> в </w:t>
      </w:r>
      <w:r w:rsidR="006F5B82" w:rsidRPr="0021617C">
        <w:rPr>
          <w:rFonts w:ascii="Arial Narrow" w:hAnsi="Arial Narrow" w:cs="Arial"/>
          <w:sz w:val="24"/>
          <w:szCs w:val="24"/>
          <w:lang w:val="bg-BG"/>
        </w:rPr>
        <w:t>законодателните разпоредби</w:t>
      </w:r>
      <w:r w:rsidRPr="0021617C">
        <w:rPr>
          <w:rFonts w:ascii="Arial Narrow" w:hAnsi="Arial Narrow" w:cs="Arial"/>
          <w:sz w:val="24"/>
          <w:szCs w:val="24"/>
        </w:rPr>
        <w:t xml:space="preserve"> на национално ниво. Приет в </w:t>
      </w:r>
      <w:r w:rsidR="006F5B82" w:rsidRPr="0021617C">
        <w:rPr>
          <w:rFonts w:ascii="Arial Narrow" w:hAnsi="Arial Narrow" w:cs="Arial"/>
          <w:sz w:val="24"/>
          <w:szCs w:val="24"/>
          <w:lang w:val="bg-BG"/>
        </w:rPr>
        <w:t>логиката на Член</w:t>
      </w:r>
      <w:r w:rsidRPr="0021617C">
        <w:rPr>
          <w:rFonts w:ascii="Arial Narrow" w:hAnsi="Arial Narrow" w:cs="Arial"/>
          <w:sz w:val="24"/>
          <w:szCs w:val="24"/>
        </w:rPr>
        <w:t xml:space="preserve"> 6 от </w:t>
      </w:r>
      <w:r w:rsidR="006F5B82" w:rsidRPr="0021617C">
        <w:rPr>
          <w:rFonts w:ascii="Arial Narrow" w:hAnsi="Arial Narrow" w:cs="Arial"/>
          <w:sz w:val="24"/>
          <w:szCs w:val="24"/>
          <w:lang w:val="bg-BG"/>
        </w:rPr>
        <w:t>Д</w:t>
      </w:r>
      <w:r w:rsidRPr="0021617C">
        <w:rPr>
          <w:rFonts w:ascii="Arial Narrow" w:hAnsi="Arial Narrow" w:cs="Arial"/>
          <w:sz w:val="24"/>
          <w:szCs w:val="24"/>
        </w:rPr>
        <w:t>ирективата</w:t>
      </w:r>
      <w:r w:rsidR="006F5B82" w:rsidRPr="0021617C">
        <w:rPr>
          <w:rFonts w:ascii="Arial Narrow" w:hAnsi="Arial Narrow" w:cs="Arial"/>
          <w:sz w:val="24"/>
          <w:szCs w:val="24"/>
          <w:lang w:val="bg-BG"/>
        </w:rPr>
        <w:t>,</w:t>
      </w:r>
      <w:r w:rsidRPr="0021617C">
        <w:rPr>
          <w:rFonts w:ascii="Arial Narrow" w:hAnsi="Arial Narrow" w:cs="Arial"/>
          <w:sz w:val="24"/>
          <w:szCs w:val="24"/>
        </w:rPr>
        <w:t xml:space="preserve"> принципът </w:t>
      </w:r>
      <w:r w:rsidR="006F5B82" w:rsidRPr="0021617C">
        <w:rPr>
          <w:rFonts w:ascii="Arial Narrow" w:hAnsi="Arial Narrow" w:cs="Arial"/>
          <w:sz w:val="24"/>
          <w:szCs w:val="24"/>
          <w:lang w:val="bg-BG"/>
        </w:rPr>
        <w:t>з</w:t>
      </w:r>
      <w:r w:rsidRPr="0021617C">
        <w:rPr>
          <w:rFonts w:ascii="Arial Narrow" w:hAnsi="Arial Narrow" w:cs="Arial"/>
          <w:sz w:val="24"/>
          <w:szCs w:val="24"/>
        </w:rPr>
        <w:t>а автономи</w:t>
      </w:r>
      <w:r w:rsidR="006C31F3">
        <w:rPr>
          <w:rFonts w:ascii="Arial Narrow" w:hAnsi="Arial Narrow" w:cs="Arial"/>
          <w:sz w:val="24"/>
          <w:szCs w:val="24"/>
          <w:lang w:val="bg-BG"/>
        </w:rPr>
        <w:t>я</w:t>
      </w:r>
      <w:r w:rsidR="006F5B82" w:rsidRPr="0021617C">
        <w:rPr>
          <w:rFonts w:ascii="Arial Narrow" w:hAnsi="Arial Narrow" w:cs="Arial"/>
          <w:sz w:val="24"/>
          <w:szCs w:val="24"/>
          <w:lang w:val="bg-BG"/>
        </w:rPr>
        <w:t xml:space="preserve"> </w:t>
      </w:r>
      <w:r w:rsidRPr="0021617C">
        <w:rPr>
          <w:rFonts w:ascii="Arial Narrow" w:hAnsi="Arial Narrow" w:cs="Arial"/>
          <w:sz w:val="24"/>
          <w:szCs w:val="24"/>
        </w:rPr>
        <w:t xml:space="preserve">на </w:t>
      </w:r>
      <w:r w:rsidR="006F5B82" w:rsidRPr="0021617C">
        <w:rPr>
          <w:rFonts w:ascii="Arial Narrow" w:hAnsi="Arial Narrow" w:cs="Arial"/>
          <w:sz w:val="24"/>
          <w:szCs w:val="24"/>
          <w:lang w:val="bg-BG"/>
        </w:rPr>
        <w:t xml:space="preserve">страните </w:t>
      </w:r>
      <w:r w:rsidR="006C31F3">
        <w:rPr>
          <w:rFonts w:ascii="Arial Narrow" w:hAnsi="Arial Narrow" w:cs="Arial"/>
          <w:sz w:val="24"/>
          <w:szCs w:val="24"/>
          <w:lang w:val="bg-BG"/>
        </w:rPr>
        <w:t xml:space="preserve">предоставя гаранция </w:t>
      </w:r>
      <w:r w:rsidRPr="0021617C">
        <w:rPr>
          <w:rFonts w:ascii="Arial Narrow" w:hAnsi="Arial Narrow" w:cs="Arial"/>
          <w:sz w:val="24"/>
          <w:szCs w:val="24"/>
        </w:rPr>
        <w:t xml:space="preserve">на социалните партньори </w:t>
      </w:r>
      <w:r w:rsidR="006C31F3">
        <w:rPr>
          <w:rFonts w:ascii="Arial Narrow" w:hAnsi="Arial Narrow" w:cs="Arial"/>
          <w:sz w:val="24"/>
          <w:szCs w:val="24"/>
          <w:lang w:val="bg-BG"/>
        </w:rPr>
        <w:t xml:space="preserve">да постигнат </w:t>
      </w:r>
      <w:r w:rsidRPr="0021617C">
        <w:rPr>
          <w:rFonts w:ascii="Arial Narrow" w:hAnsi="Arial Narrow" w:cs="Arial"/>
          <w:sz w:val="24"/>
          <w:szCs w:val="24"/>
        </w:rPr>
        <w:t xml:space="preserve">съвместни договорености в споразумението </w:t>
      </w:r>
      <w:r w:rsidR="006F5B82" w:rsidRPr="0021617C">
        <w:rPr>
          <w:rFonts w:ascii="Arial Narrow" w:hAnsi="Arial Narrow" w:cs="Arial"/>
          <w:sz w:val="24"/>
          <w:szCs w:val="24"/>
          <w:lang w:val="bg-BG"/>
        </w:rPr>
        <w:t>з</w:t>
      </w:r>
      <w:r w:rsidRPr="0021617C">
        <w:rPr>
          <w:rFonts w:ascii="Arial Narrow" w:hAnsi="Arial Narrow" w:cs="Arial"/>
          <w:sz w:val="24"/>
          <w:szCs w:val="24"/>
        </w:rPr>
        <w:t xml:space="preserve">а </w:t>
      </w:r>
      <w:r w:rsidR="006C31F3">
        <w:rPr>
          <w:rFonts w:ascii="Arial Narrow" w:hAnsi="Arial Narrow" w:cs="Arial"/>
          <w:sz w:val="24"/>
          <w:szCs w:val="24"/>
          <w:lang w:val="bg-BG"/>
        </w:rPr>
        <w:t xml:space="preserve">създаване на </w:t>
      </w:r>
      <w:r w:rsidRPr="0021617C">
        <w:rPr>
          <w:rFonts w:ascii="Arial Narrow" w:hAnsi="Arial Narrow" w:cs="Arial"/>
          <w:sz w:val="24"/>
          <w:szCs w:val="24"/>
        </w:rPr>
        <w:t>ЕРС, ко</w:t>
      </w:r>
      <w:r w:rsidR="006F5B82" w:rsidRPr="0021617C">
        <w:rPr>
          <w:rFonts w:ascii="Arial Narrow" w:hAnsi="Arial Narrow" w:cs="Arial"/>
          <w:sz w:val="24"/>
          <w:szCs w:val="24"/>
          <w:lang w:val="bg-BG"/>
        </w:rPr>
        <w:t>е</w:t>
      </w:r>
      <w:r w:rsidRPr="0021617C">
        <w:rPr>
          <w:rFonts w:ascii="Arial Narrow" w:hAnsi="Arial Narrow" w:cs="Arial"/>
          <w:sz w:val="24"/>
          <w:szCs w:val="24"/>
        </w:rPr>
        <w:t xml:space="preserve">то </w:t>
      </w:r>
      <w:r w:rsidR="006F5B82" w:rsidRPr="0021617C">
        <w:rPr>
          <w:rFonts w:ascii="Arial Narrow" w:hAnsi="Arial Narrow" w:cs="Arial"/>
          <w:sz w:val="24"/>
          <w:szCs w:val="24"/>
          <w:lang w:val="bg-BG"/>
        </w:rPr>
        <w:t>може да съдържа клаузи относно</w:t>
      </w:r>
      <w:r w:rsidRPr="0021617C">
        <w:rPr>
          <w:rFonts w:ascii="Arial Narrow" w:hAnsi="Arial Narrow" w:cs="Arial"/>
          <w:sz w:val="24"/>
          <w:szCs w:val="24"/>
        </w:rPr>
        <w:t xml:space="preserve"> поверителността. Това означава, че в конкретни</w:t>
      </w:r>
      <w:r w:rsidR="006F5B82" w:rsidRPr="0021617C">
        <w:rPr>
          <w:rFonts w:ascii="Arial Narrow" w:hAnsi="Arial Narrow" w:cs="Arial"/>
          <w:sz w:val="24"/>
          <w:szCs w:val="24"/>
          <w:lang w:val="bg-BG"/>
        </w:rPr>
        <w:t>те</w:t>
      </w:r>
      <w:r w:rsidRPr="0021617C">
        <w:rPr>
          <w:rFonts w:ascii="Arial Narrow" w:hAnsi="Arial Narrow" w:cs="Arial"/>
          <w:sz w:val="24"/>
          <w:szCs w:val="24"/>
        </w:rPr>
        <w:t xml:space="preserve"> ситуации и факти, </w:t>
      </w:r>
      <w:r w:rsidR="006F5B82" w:rsidRPr="0021617C">
        <w:rPr>
          <w:rFonts w:ascii="Arial Narrow" w:hAnsi="Arial Narrow" w:cs="Arial"/>
          <w:sz w:val="24"/>
          <w:szCs w:val="24"/>
          <w:lang w:val="bg-BG"/>
        </w:rPr>
        <w:t xml:space="preserve">прилагането </w:t>
      </w:r>
      <w:r w:rsidRPr="0021617C">
        <w:rPr>
          <w:rFonts w:ascii="Arial Narrow" w:hAnsi="Arial Narrow" w:cs="Arial"/>
          <w:sz w:val="24"/>
          <w:szCs w:val="24"/>
        </w:rPr>
        <w:t>на правилата</w:t>
      </w:r>
      <w:r w:rsidR="006C31F3">
        <w:rPr>
          <w:rFonts w:ascii="Arial Narrow" w:hAnsi="Arial Narrow" w:cs="Arial"/>
          <w:sz w:val="24"/>
          <w:szCs w:val="24"/>
          <w:lang w:val="bg-BG"/>
        </w:rPr>
        <w:t xml:space="preserve"> </w:t>
      </w:r>
      <w:r w:rsidR="006F5B82" w:rsidRPr="0021617C">
        <w:rPr>
          <w:rFonts w:ascii="Arial Narrow" w:hAnsi="Arial Narrow" w:cs="Arial"/>
          <w:sz w:val="24"/>
          <w:szCs w:val="24"/>
          <w:lang w:val="bg-BG"/>
        </w:rPr>
        <w:t>относно</w:t>
      </w:r>
      <w:r w:rsidRPr="0021617C">
        <w:rPr>
          <w:rFonts w:ascii="Arial Narrow" w:hAnsi="Arial Narrow" w:cs="Arial"/>
          <w:sz w:val="24"/>
          <w:szCs w:val="24"/>
        </w:rPr>
        <w:t xml:space="preserve"> работа</w:t>
      </w:r>
      <w:r w:rsidR="006F5B82" w:rsidRPr="0021617C">
        <w:rPr>
          <w:rFonts w:ascii="Arial Narrow" w:hAnsi="Arial Narrow" w:cs="Arial"/>
          <w:sz w:val="24"/>
          <w:szCs w:val="24"/>
          <w:lang w:val="bg-BG"/>
        </w:rPr>
        <w:t>та</w:t>
      </w:r>
      <w:r w:rsidRPr="0021617C">
        <w:rPr>
          <w:rFonts w:ascii="Arial Narrow" w:hAnsi="Arial Narrow" w:cs="Arial"/>
          <w:sz w:val="24"/>
          <w:szCs w:val="24"/>
        </w:rPr>
        <w:t xml:space="preserve"> с поверителна информация ще се състои от три правни режима: европейско право, национално законодателство и разпоредби</w:t>
      </w:r>
      <w:r w:rsidR="006F5B82" w:rsidRPr="0021617C">
        <w:rPr>
          <w:rFonts w:ascii="Arial Narrow" w:hAnsi="Arial Narrow" w:cs="Arial"/>
          <w:sz w:val="24"/>
          <w:szCs w:val="24"/>
          <w:lang w:val="bg-BG"/>
        </w:rPr>
        <w:t>те</w:t>
      </w:r>
      <w:r w:rsidRPr="0021617C">
        <w:rPr>
          <w:rFonts w:ascii="Arial Narrow" w:hAnsi="Arial Narrow" w:cs="Arial"/>
          <w:sz w:val="24"/>
          <w:szCs w:val="24"/>
        </w:rPr>
        <w:t xml:space="preserve"> на споразумението за ЕРС. Това определя, че това проучване няма и не може да представлява подробни насоки за работа с поверителна информация</w:t>
      </w:r>
      <w:r w:rsidR="006F5B82" w:rsidRPr="0021617C">
        <w:rPr>
          <w:rFonts w:ascii="Arial Narrow" w:hAnsi="Arial Narrow" w:cs="Arial"/>
          <w:sz w:val="24"/>
          <w:szCs w:val="24"/>
          <w:lang w:val="bg-BG"/>
        </w:rPr>
        <w:t xml:space="preserve">. То </w:t>
      </w:r>
      <w:r w:rsidRPr="0021617C">
        <w:rPr>
          <w:rFonts w:ascii="Arial Narrow" w:hAnsi="Arial Narrow" w:cs="Arial"/>
          <w:sz w:val="24"/>
          <w:szCs w:val="24"/>
        </w:rPr>
        <w:t xml:space="preserve">може да </w:t>
      </w:r>
      <w:r w:rsidR="006F5B82" w:rsidRPr="0021617C">
        <w:rPr>
          <w:rFonts w:ascii="Arial Narrow" w:hAnsi="Arial Narrow" w:cs="Arial"/>
          <w:sz w:val="24"/>
          <w:szCs w:val="24"/>
          <w:lang w:val="bg-BG"/>
        </w:rPr>
        <w:t xml:space="preserve">предостави </w:t>
      </w:r>
      <w:r w:rsidRPr="0021617C">
        <w:rPr>
          <w:rFonts w:ascii="Arial Narrow" w:hAnsi="Arial Narrow" w:cs="Arial"/>
          <w:sz w:val="24"/>
          <w:szCs w:val="24"/>
        </w:rPr>
        <w:t xml:space="preserve">само общи насоки и </w:t>
      </w:r>
      <w:r w:rsidR="006F5B82" w:rsidRPr="0021617C">
        <w:rPr>
          <w:rFonts w:ascii="Arial Narrow" w:hAnsi="Arial Narrow" w:cs="Arial"/>
          <w:sz w:val="24"/>
          <w:szCs w:val="24"/>
          <w:lang w:val="bg-BG"/>
        </w:rPr>
        <w:t>точни указание за това,</w:t>
      </w:r>
      <w:r w:rsidRPr="0021617C">
        <w:rPr>
          <w:rFonts w:ascii="Arial Narrow" w:hAnsi="Arial Narrow" w:cs="Arial"/>
          <w:sz w:val="24"/>
          <w:szCs w:val="24"/>
        </w:rPr>
        <w:t xml:space="preserve"> къде да се търси информация</w:t>
      </w:r>
      <w:r w:rsidR="006F5B82" w:rsidRPr="0021617C">
        <w:rPr>
          <w:rFonts w:ascii="Arial Narrow" w:hAnsi="Arial Narrow" w:cs="Arial"/>
          <w:sz w:val="24"/>
          <w:szCs w:val="24"/>
          <w:lang w:val="bg-BG"/>
        </w:rPr>
        <w:t xml:space="preserve"> - при</w:t>
      </w:r>
      <w:r w:rsidRPr="0021617C">
        <w:rPr>
          <w:rFonts w:ascii="Arial Narrow" w:hAnsi="Arial Narrow" w:cs="Arial"/>
          <w:sz w:val="24"/>
          <w:szCs w:val="24"/>
        </w:rPr>
        <w:t xml:space="preserve"> конкретен случай, регламентиращ подробно този въпрос.</w:t>
      </w:r>
    </w:p>
    <w:p w14:paraId="10532674" w14:textId="77777777" w:rsidR="00C9242E" w:rsidRPr="0021617C" w:rsidRDefault="00C9242E" w:rsidP="00C24F93">
      <w:pPr>
        <w:spacing w:after="0" w:line="276" w:lineRule="auto"/>
        <w:ind w:left="426" w:firstLine="142"/>
        <w:jc w:val="both"/>
        <w:rPr>
          <w:rFonts w:ascii="Arial Narrow" w:hAnsi="Arial Narrow" w:cs="Arial"/>
          <w:sz w:val="24"/>
          <w:szCs w:val="24"/>
        </w:rPr>
      </w:pPr>
    </w:p>
    <w:p w14:paraId="60F6E4D1" w14:textId="63BEADA2" w:rsidR="000D4877" w:rsidRPr="0021617C" w:rsidRDefault="000D4877" w:rsidP="00C24F93">
      <w:pPr>
        <w:spacing w:after="0" w:line="276" w:lineRule="auto"/>
        <w:ind w:left="426"/>
        <w:jc w:val="both"/>
        <w:rPr>
          <w:rFonts w:ascii="Arial Narrow" w:hAnsi="Arial Narrow" w:cs="Arial"/>
          <w:sz w:val="24"/>
          <w:szCs w:val="24"/>
          <w:shd w:val="clear" w:color="auto" w:fill="FFFFFF"/>
        </w:rPr>
      </w:pPr>
      <w:r w:rsidRPr="0021617C">
        <w:rPr>
          <w:rFonts w:ascii="Arial Narrow" w:hAnsi="Arial Narrow" w:cs="Arial"/>
          <w:sz w:val="24"/>
          <w:szCs w:val="24"/>
          <w:shd w:val="clear" w:color="auto" w:fill="FFFFFF"/>
        </w:rPr>
        <w:t xml:space="preserve">Целите на Директива 2009/38/ЕО на Европейския парламент и на Съвета от 6 май 2009 г. за създаване на Европейски работнически съвет или </w:t>
      </w:r>
      <w:r w:rsidR="006F5B82" w:rsidRPr="0021617C">
        <w:rPr>
          <w:rFonts w:ascii="Arial Narrow" w:hAnsi="Arial Narrow" w:cs="Arial"/>
          <w:sz w:val="24"/>
          <w:szCs w:val="24"/>
          <w:shd w:val="clear" w:color="auto" w:fill="FFFFFF"/>
          <w:lang w:val="bg-BG"/>
        </w:rPr>
        <w:t xml:space="preserve">на </w:t>
      </w:r>
      <w:r w:rsidRPr="0021617C">
        <w:rPr>
          <w:rFonts w:ascii="Arial Narrow" w:hAnsi="Arial Narrow" w:cs="Arial"/>
          <w:sz w:val="24"/>
          <w:szCs w:val="24"/>
          <w:shd w:val="clear" w:color="auto" w:fill="FFFFFF"/>
        </w:rPr>
        <w:t>процедура за информиране и консултиране на служители</w:t>
      </w:r>
      <w:r w:rsidR="006F5B82" w:rsidRPr="0021617C">
        <w:rPr>
          <w:rFonts w:ascii="Arial Narrow" w:hAnsi="Arial Narrow" w:cs="Arial"/>
          <w:sz w:val="24"/>
          <w:szCs w:val="24"/>
          <w:shd w:val="clear" w:color="auto" w:fill="FFFFFF"/>
          <w:lang w:val="bg-BG"/>
        </w:rPr>
        <w:t>те</w:t>
      </w:r>
      <w:r w:rsidRPr="0021617C">
        <w:rPr>
          <w:rFonts w:ascii="Arial Narrow" w:hAnsi="Arial Narrow" w:cs="Arial"/>
          <w:sz w:val="24"/>
          <w:szCs w:val="24"/>
          <w:shd w:val="clear" w:color="auto" w:fill="FFFFFF"/>
        </w:rPr>
        <w:t xml:space="preserve"> в предприятия или групи предприятия от обхвата на Общността, по-долу: </w:t>
      </w:r>
      <w:r w:rsidR="006F5B82" w:rsidRPr="0021617C">
        <w:rPr>
          <w:rFonts w:ascii="Arial Narrow" w:hAnsi="Arial Narrow" w:cs="Arial"/>
          <w:sz w:val="24"/>
          <w:szCs w:val="24"/>
          <w:shd w:val="clear" w:color="auto" w:fill="FFFFFF"/>
          <w:lang w:val="bg-BG"/>
        </w:rPr>
        <w:t xml:space="preserve">наричани за краткост </w:t>
      </w:r>
      <w:r w:rsidRPr="0021617C">
        <w:rPr>
          <w:rFonts w:ascii="Arial Narrow" w:hAnsi="Arial Narrow" w:cs="Arial"/>
          <w:sz w:val="24"/>
          <w:szCs w:val="24"/>
          <w:shd w:val="clear" w:color="auto" w:fill="FFFFFF"/>
        </w:rPr>
        <w:t>Директив</w:t>
      </w:r>
      <w:r w:rsidR="00C24F93">
        <w:rPr>
          <w:rFonts w:ascii="Arial Narrow" w:hAnsi="Arial Narrow" w:cs="Arial"/>
          <w:sz w:val="24"/>
          <w:szCs w:val="24"/>
          <w:shd w:val="clear" w:color="auto" w:fill="FFFFFF"/>
          <w:lang w:val="bg-BG"/>
        </w:rPr>
        <w:t>ата за</w:t>
      </w:r>
      <w:r w:rsidRPr="0021617C">
        <w:rPr>
          <w:rFonts w:ascii="Arial Narrow" w:hAnsi="Arial Narrow" w:cs="Arial"/>
          <w:sz w:val="24"/>
          <w:szCs w:val="24"/>
          <w:shd w:val="clear" w:color="auto" w:fill="FFFFFF"/>
        </w:rPr>
        <w:t xml:space="preserve"> ЕРС са посочени в </w:t>
      </w:r>
      <w:r w:rsidR="006C31F3">
        <w:rPr>
          <w:rFonts w:ascii="Arial Narrow" w:hAnsi="Arial Narrow" w:cs="Arial"/>
          <w:sz w:val="24"/>
          <w:szCs w:val="24"/>
          <w:shd w:val="clear" w:color="auto" w:fill="FFFFFF"/>
          <w:lang w:val="bg-BG"/>
        </w:rPr>
        <w:t>член</w:t>
      </w:r>
      <w:r w:rsidRPr="0021617C">
        <w:rPr>
          <w:rFonts w:ascii="Arial Narrow" w:hAnsi="Arial Narrow" w:cs="Arial"/>
          <w:sz w:val="24"/>
          <w:szCs w:val="24"/>
          <w:shd w:val="clear" w:color="auto" w:fill="FFFFFF"/>
        </w:rPr>
        <w:t xml:space="preserve"> 1. Съгласно </w:t>
      </w:r>
      <w:r w:rsidR="006C31F3">
        <w:rPr>
          <w:rFonts w:ascii="Arial Narrow" w:hAnsi="Arial Narrow" w:cs="Arial"/>
          <w:sz w:val="24"/>
          <w:szCs w:val="24"/>
          <w:shd w:val="clear" w:color="auto" w:fill="FFFFFF"/>
          <w:lang w:val="bg-BG"/>
        </w:rPr>
        <w:t>неговият текст,</w:t>
      </w:r>
      <w:r w:rsidRPr="0021617C">
        <w:rPr>
          <w:rFonts w:ascii="Arial Narrow" w:hAnsi="Arial Narrow" w:cs="Arial"/>
          <w:sz w:val="24"/>
          <w:szCs w:val="24"/>
          <w:shd w:val="clear" w:color="auto" w:fill="FFFFFF"/>
        </w:rPr>
        <w:t xml:space="preserve"> целта на Директивата за ЕРС е да</w:t>
      </w:r>
      <w:r w:rsidR="006F5B82" w:rsidRPr="0021617C">
        <w:rPr>
          <w:rFonts w:ascii="Arial Narrow" w:hAnsi="Arial Narrow" w:cs="Arial"/>
          <w:sz w:val="24"/>
          <w:szCs w:val="24"/>
          <w:shd w:val="clear" w:color="auto" w:fill="FFFFFF"/>
          <w:lang w:val="bg-BG"/>
        </w:rPr>
        <w:t xml:space="preserve"> се гарантира</w:t>
      </w:r>
      <w:r w:rsidRPr="0021617C">
        <w:rPr>
          <w:rFonts w:ascii="Arial Narrow" w:hAnsi="Arial Narrow" w:cs="Arial"/>
          <w:sz w:val="24"/>
          <w:szCs w:val="24"/>
          <w:shd w:val="clear" w:color="auto" w:fill="FFFFFF"/>
        </w:rPr>
        <w:t xml:space="preserve"> правото </w:t>
      </w:r>
      <w:r w:rsidR="006C31F3">
        <w:rPr>
          <w:rFonts w:ascii="Arial Narrow" w:hAnsi="Arial Narrow" w:cs="Arial"/>
          <w:sz w:val="24"/>
          <w:szCs w:val="24"/>
          <w:shd w:val="clear" w:color="auto" w:fill="FFFFFF"/>
          <w:lang w:val="bg-BG"/>
        </w:rPr>
        <w:t>на</w:t>
      </w:r>
      <w:r w:rsidRPr="0021617C">
        <w:rPr>
          <w:rFonts w:ascii="Arial Narrow" w:hAnsi="Arial Narrow" w:cs="Arial"/>
          <w:sz w:val="24"/>
          <w:szCs w:val="24"/>
          <w:shd w:val="clear" w:color="auto" w:fill="FFFFFF"/>
        </w:rPr>
        <w:t xml:space="preserve"> информира</w:t>
      </w:r>
      <w:r w:rsidR="006C31F3">
        <w:rPr>
          <w:rFonts w:ascii="Arial Narrow" w:hAnsi="Arial Narrow" w:cs="Arial"/>
          <w:sz w:val="24"/>
          <w:szCs w:val="24"/>
          <w:shd w:val="clear" w:color="auto" w:fill="FFFFFF"/>
          <w:lang w:val="bg-BG"/>
        </w:rPr>
        <w:t>не и</w:t>
      </w:r>
      <w:r w:rsidRPr="0021617C">
        <w:rPr>
          <w:rFonts w:ascii="Arial Narrow" w:hAnsi="Arial Narrow" w:cs="Arial"/>
          <w:sz w:val="24"/>
          <w:szCs w:val="24"/>
          <w:shd w:val="clear" w:color="auto" w:fill="FFFFFF"/>
        </w:rPr>
        <w:t xml:space="preserve"> консултира</w:t>
      </w:r>
      <w:r w:rsidR="006C31F3">
        <w:rPr>
          <w:rFonts w:ascii="Arial Narrow" w:hAnsi="Arial Narrow" w:cs="Arial"/>
          <w:sz w:val="24"/>
          <w:szCs w:val="24"/>
          <w:shd w:val="clear" w:color="auto" w:fill="FFFFFF"/>
          <w:lang w:val="bg-BG"/>
        </w:rPr>
        <w:t>не със</w:t>
      </w:r>
      <w:r w:rsidRPr="0021617C">
        <w:rPr>
          <w:rFonts w:ascii="Arial Narrow" w:hAnsi="Arial Narrow" w:cs="Arial"/>
          <w:sz w:val="24"/>
          <w:szCs w:val="24"/>
          <w:shd w:val="clear" w:color="auto" w:fill="FFFFFF"/>
        </w:rPr>
        <w:t xml:space="preserve"> служители</w:t>
      </w:r>
      <w:r w:rsidR="006F5B82" w:rsidRPr="0021617C">
        <w:rPr>
          <w:rFonts w:ascii="Arial Narrow" w:hAnsi="Arial Narrow" w:cs="Arial"/>
          <w:sz w:val="24"/>
          <w:szCs w:val="24"/>
          <w:shd w:val="clear" w:color="auto" w:fill="FFFFFF"/>
          <w:lang w:val="bg-BG"/>
        </w:rPr>
        <w:t>те</w:t>
      </w:r>
      <w:r w:rsidRPr="0021617C">
        <w:rPr>
          <w:rFonts w:ascii="Arial Narrow" w:hAnsi="Arial Narrow" w:cs="Arial"/>
          <w:sz w:val="24"/>
          <w:szCs w:val="24"/>
          <w:shd w:val="clear" w:color="auto" w:fill="FFFFFF"/>
        </w:rPr>
        <w:t xml:space="preserve"> на предприятия или групи дружества от обхвата на Общността. Условията за информиране и консултиране на служителите трябва да се определят и прилагат по такъв начин, че да се гарантира тяхната ефективност и да се даде възможност на предприятието или групата предприятия да вземат ефективни решения. Информацията и консултациите със служителите се извършват на подходящо ниво на управление и представителство, в зависимост от разглеждания въпрос. За тази цел компетентността на Европейския съвет за работа и обхватът на процедурата за информиране и консултиране на служители, обхванати от Директивата за ЕРС, са ограничени до транснационални въпроси.</w:t>
      </w:r>
    </w:p>
    <w:p w14:paraId="286D57F3" w14:textId="77777777" w:rsidR="00C24F93" w:rsidRDefault="00C24F93" w:rsidP="00C24F93">
      <w:pPr>
        <w:spacing w:after="0" w:line="276" w:lineRule="auto"/>
        <w:ind w:left="426"/>
        <w:jc w:val="both"/>
        <w:rPr>
          <w:rFonts w:ascii="Arial Narrow" w:hAnsi="Arial Narrow" w:cs="Arial"/>
          <w:sz w:val="24"/>
          <w:szCs w:val="24"/>
          <w:shd w:val="clear" w:color="auto" w:fill="FFFFFF"/>
        </w:rPr>
      </w:pPr>
    </w:p>
    <w:p w14:paraId="7AB4FF80" w14:textId="2518186A" w:rsidR="000D4877" w:rsidRPr="0021617C" w:rsidRDefault="000D4877" w:rsidP="00C24F93">
      <w:pPr>
        <w:spacing w:after="0" w:line="276" w:lineRule="auto"/>
        <w:ind w:left="426"/>
        <w:jc w:val="both"/>
        <w:rPr>
          <w:rFonts w:ascii="Arial Narrow" w:hAnsi="Arial Narrow" w:cs="Arial"/>
          <w:sz w:val="24"/>
          <w:szCs w:val="24"/>
          <w:shd w:val="clear" w:color="auto" w:fill="FFFFFF"/>
        </w:rPr>
      </w:pPr>
      <w:r w:rsidRPr="0021617C">
        <w:rPr>
          <w:rFonts w:ascii="Arial Narrow" w:hAnsi="Arial Narrow" w:cs="Arial"/>
          <w:sz w:val="24"/>
          <w:szCs w:val="24"/>
          <w:shd w:val="clear" w:color="auto" w:fill="FFFFFF"/>
        </w:rPr>
        <w:t xml:space="preserve">С други думи, изпълнението на тези цели се постига чрез уточняване на условията за </w:t>
      </w:r>
      <w:r w:rsidR="006F5B82" w:rsidRPr="0021617C">
        <w:rPr>
          <w:rFonts w:ascii="Arial Narrow" w:hAnsi="Arial Narrow" w:cs="Arial"/>
          <w:sz w:val="24"/>
          <w:szCs w:val="24"/>
          <w:shd w:val="clear" w:color="auto" w:fill="FFFFFF"/>
          <w:lang w:val="bg-BG"/>
        </w:rPr>
        <w:t xml:space="preserve">предоставяне </w:t>
      </w:r>
      <w:r w:rsidRPr="0021617C">
        <w:rPr>
          <w:rFonts w:ascii="Arial Narrow" w:hAnsi="Arial Narrow" w:cs="Arial"/>
          <w:sz w:val="24"/>
          <w:szCs w:val="24"/>
          <w:shd w:val="clear" w:color="auto" w:fill="FFFFFF"/>
        </w:rPr>
        <w:t xml:space="preserve">на наднационална информация </w:t>
      </w:r>
      <w:r w:rsidR="006F5B82" w:rsidRPr="0021617C">
        <w:rPr>
          <w:rFonts w:ascii="Arial Narrow" w:hAnsi="Arial Narrow" w:cs="Arial"/>
          <w:sz w:val="24"/>
          <w:szCs w:val="24"/>
          <w:shd w:val="clear" w:color="auto" w:fill="FFFFFF"/>
          <w:lang w:val="bg-BG"/>
        </w:rPr>
        <w:t>на членовете на</w:t>
      </w:r>
      <w:r w:rsidRPr="0021617C">
        <w:rPr>
          <w:rFonts w:ascii="Arial Narrow" w:hAnsi="Arial Narrow" w:cs="Arial"/>
          <w:sz w:val="24"/>
          <w:szCs w:val="24"/>
          <w:shd w:val="clear" w:color="auto" w:fill="FFFFFF"/>
        </w:rPr>
        <w:t xml:space="preserve"> Европейския съвет </w:t>
      </w:r>
      <w:r w:rsidR="006F5B82" w:rsidRPr="0021617C">
        <w:rPr>
          <w:rFonts w:ascii="Arial Narrow" w:hAnsi="Arial Narrow" w:cs="Arial"/>
          <w:sz w:val="24"/>
          <w:szCs w:val="24"/>
          <w:shd w:val="clear" w:color="auto" w:fill="FFFFFF"/>
          <w:lang w:val="bg-BG"/>
        </w:rPr>
        <w:t xml:space="preserve">от </w:t>
      </w:r>
      <w:r w:rsidRPr="0021617C">
        <w:rPr>
          <w:rFonts w:ascii="Arial Narrow" w:hAnsi="Arial Narrow" w:cs="Arial"/>
          <w:sz w:val="24"/>
          <w:szCs w:val="24"/>
          <w:shd w:val="clear" w:color="auto" w:fill="FFFFFF"/>
        </w:rPr>
        <w:t>централното ръководство.</w:t>
      </w:r>
    </w:p>
    <w:p w14:paraId="0CBAC44B" w14:textId="77777777" w:rsidR="00C77833" w:rsidRPr="0021617C" w:rsidRDefault="00C77833" w:rsidP="00C24F93">
      <w:pPr>
        <w:spacing w:after="0" w:line="276" w:lineRule="auto"/>
        <w:ind w:left="426" w:firstLine="142"/>
        <w:jc w:val="both"/>
        <w:rPr>
          <w:rFonts w:ascii="Arial Narrow" w:hAnsi="Arial Narrow" w:cs="Arial"/>
          <w:sz w:val="24"/>
          <w:szCs w:val="24"/>
          <w:shd w:val="clear" w:color="auto" w:fill="FFFFFF"/>
        </w:rPr>
      </w:pPr>
    </w:p>
    <w:p w14:paraId="74092F35" w14:textId="086C9063" w:rsidR="000D4877" w:rsidRPr="0021617C" w:rsidRDefault="000D4877" w:rsidP="00C24F93">
      <w:pPr>
        <w:spacing w:after="0" w:line="276" w:lineRule="auto"/>
        <w:ind w:left="426"/>
        <w:jc w:val="both"/>
        <w:rPr>
          <w:rFonts w:ascii="Arial Narrow" w:hAnsi="Arial Narrow" w:cs="Arial"/>
          <w:sz w:val="24"/>
          <w:szCs w:val="24"/>
          <w:shd w:val="clear" w:color="auto" w:fill="FFFFFF"/>
        </w:rPr>
      </w:pPr>
      <w:r w:rsidRPr="0021617C">
        <w:rPr>
          <w:rFonts w:ascii="Arial Narrow" w:hAnsi="Arial Narrow" w:cs="Arial"/>
          <w:sz w:val="24"/>
          <w:szCs w:val="24"/>
          <w:shd w:val="clear" w:color="auto" w:fill="FFFFFF"/>
        </w:rPr>
        <w:t>Информацията се изпраща на представители</w:t>
      </w:r>
      <w:r w:rsidR="006F5B82" w:rsidRPr="0021617C">
        <w:rPr>
          <w:rFonts w:ascii="Arial Narrow" w:hAnsi="Arial Narrow" w:cs="Arial"/>
          <w:sz w:val="24"/>
          <w:szCs w:val="24"/>
          <w:shd w:val="clear" w:color="auto" w:fill="FFFFFF"/>
          <w:lang w:val="bg-BG"/>
        </w:rPr>
        <w:t>те</w:t>
      </w:r>
      <w:r w:rsidRPr="0021617C">
        <w:rPr>
          <w:rFonts w:ascii="Arial Narrow" w:hAnsi="Arial Narrow" w:cs="Arial"/>
          <w:sz w:val="24"/>
          <w:szCs w:val="24"/>
          <w:shd w:val="clear" w:color="auto" w:fill="FFFFFF"/>
        </w:rPr>
        <w:t xml:space="preserve"> на </w:t>
      </w:r>
      <w:r w:rsidR="006F5B82" w:rsidRPr="0021617C">
        <w:rPr>
          <w:rFonts w:ascii="Arial Narrow" w:hAnsi="Arial Narrow" w:cs="Arial"/>
          <w:sz w:val="24"/>
          <w:szCs w:val="24"/>
          <w:shd w:val="clear" w:color="auto" w:fill="FFFFFF"/>
          <w:lang w:val="bg-BG"/>
        </w:rPr>
        <w:t>онези</w:t>
      </w:r>
      <w:r w:rsidRPr="0021617C">
        <w:rPr>
          <w:rFonts w:ascii="Arial Narrow" w:hAnsi="Arial Narrow" w:cs="Arial"/>
          <w:sz w:val="24"/>
          <w:szCs w:val="24"/>
          <w:shd w:val="clear" w:color="auto" w:fill="FFFFFF"/>
        </w:rPr>
        <w:t xml:space="preserve"> служители, които ще бъдат засегнати от решения</w:t>
      </w:r>
      <w:r w:rsidR="006F5B82" w:rsidRPr="0021617C">
        <w:rPr>
          <w:rFonts w:ascii="Arial Narrow" w:hAnsi="Arial Narrow" w:cs="Arial"/>
          <w:sz w:val="24"/>
          <w:szCs w:val="24"/>
          <w:shd w:val="clear" w:color="auto" w:fill="FFFFFF"/>
          <w:lang w:val="bg-BG"/>
        </w:rPr>
        <w:t>та</w:t>
      </w:r>
      <w:r w:rsidRPr="0021617C">
        <w:rPr>
          <w:rFonts w:ascii="Arial Narrow" w:hAnsi="Arial Narrow" w:cs="Arial"/>
          <w:sz w:val="24"/>
          <w:szCs w:val="24"/>
          <w:shd w:val="clear" w:color="auto" w:fill="FFFFFF"/>
        </w:rPr>
        <w:t xml:space="preserve"> и консултации</w:t>
      </w:r>
      <w:r w:rsidR="006F5B82" w:rsidRPr="0021617C">
        <w:rPr>
          <w:rFonts w:ascii="Arial Narrow" w:hAnsi="Arial Narrow" w:cs="Arial"/>
          <w:sz w:val="24"/>
          <w:szCs w:val="24"/>
          <w:shd w:val="clear" w:color="auto" w:fill="FFFFFF"/>
          <w:lang w:val="bg-BG"/>
        </w:rPr>
        <w:t>те</w:t>
      </w:r>
      <w:r w:rsidRPr="0021617C">
        <w:rPr>
          <w:rFonts w:ascii="Arial Narrow" w:hAnsi="Arial Narrow" w:cs="Arial"/>
          <w:sz w:val="24"/>
          <w:szCs w:val="24"/>
          <w:shd w:val="clear" w:color="auto" w:fill="FFFFFF"/>
        </w:rPr>
        <w:t xml:space="preserve">. Тази информация има общ знаменател - трябва да бъде информация от наднационален характер. В съответствие с чл. 1 </w:t>
      </w:r>
      <w:r w:rsidR="00ED7492" w:rsidRPr="0021617C">
        <w:rPr>
          <w:rFonts w:ascii="Arial Narrow" w:hAnsi="Arial Narrow" w:cs="Arial"/>
          <w:sz w:val="24"/>
          <w:szCs w:val="24"/>
          <w:shd w:val="clear" w:color="auto" w:fill="FFFFFF"/>
          <w:lang w:val="bg-BG"/>
        </w:rPr>
        <w:t>алинея</w:t>
      </w:r>
      <w:r w:rsidRPr="0021617C">
        <w:rPr>
          <w:rFonts w:ascii="Arial Narrow" w:hAnsi="Arial Narrow" w:cs="Arial"/>
          <w:sz w:val="24"/>
          <w:szCs w:val="24"/>
          <w:shd w:val="clear" w:color="auto" w:fill="FFFFFF"/>
        </w:rPr>
        <w:t xml:space="preserve"> 4. </w:t>
      </w:r>
      <w:r w:rsidR="00C24F93">
        <w:rPr>
          <w:rFonts w:ascii="Arial Narrow" w:hAnsi="Arial Narrow" w:cs="Arial"/>
          <w:sz w:val="24"/>
          <w:szCs w:val="24"/>
          <w:shd w:val="clear" w:color="auto" w:fill="FFFFFF"/>
          <w:lang w:val="bg-BG"/>
        </w:rPr>
        <w:t>на</w:t>
      </w:r>
      <w:r w:rsidR="00ED7492" w:rsidRPr="0021617C">
        <w:rPr>
          <w:rFonts w:ascii="Arial Narrow" w:hAnsi="Arial Narrow" w:cs="Arial"/>
          <w:sz w:val="24"/>
          <w:szCs w:val="24"/>
          <w:shd w:val="clear" w:color="auto" w:fill="FFFFFF"/>
          <w:lang w:val="bg-BG"/>
        </w:rPr>
        <w:t xml:space="preserve"> </w:t>
      </w:r>
      <w:r w:rsidRPr="0021617C">
        <w:rPr>
          <w:rFonts w:ascii="Arial Narrow" w:hAnsi="Arial Narrow" w:cs="Arial"/>
          <w:sz w:val="24"/>
          <w:szCs w:val="24"/>
          <w:shd w:val="clear" w:color="auto" w:fill="FFFFFF"/>
        </w:rPr>
        <w:t xml:space="preserve">Директив ЕРС се считат за наднационални по отношение на цялото предприятие или група предприятия с обхват на Общността </w:t>
      </w:r>
      <w:r w:rsidRPr="0021617C">
        <w:rPr>
          <w:rFonts w:ascii="Arial Narrow" w:hAnsi="Arial Narrow" w:cs="Arial"/>
          <w:sz w:val="24"/>
          <w:szCs w:val="24"/>
          <w:shd w:val="clear" w:color="auto" w:fill="FFFFFF"/>
        </w:rPr>
        <w:lastRenderedPageBreak/>
        <w:t>или поне две предприятия или работни места на предприятия или група, създадена в две различни държави-членки.</w:t>
      </w:r>
    </w:p>
    <w:p w14:paraId="1F650CC7" w14:textId="6839AB1F" w:rsidR="00AE322E" w:rsidRPr="0021617C" w:rsidRDefault="000D4877" w:rsidP="00C24F93">
      <w:pPr>
        <w:spacing w:after="0" w:line="276" w:lineRule="auto"/>
        <w:ind w:left="426"/>
        <w:jc w:val="both"/>
        <w:rPr>
          <w:rFonts w:ascii="Arial Narrow" w:hAnsi="Arial Narrow" w:cs="Arial"/>
          <w:sz w:val="24"/>
          <w:szCs w:val="24"/>
          <w:shd w:val="clear" w:color="auto" w:fill="FFFFFF"/>
        </w:rPr>
      </w:pPr>
      <w:r w:rsidRPr="0021617C">
        <w:rPr>
          <w:rFonts w:ascii="Arial Narrow" w:hAnsi="Arial Narrow" w:cs="Arial"/>
          <w:sz w:val="24"/>
          <w:szCs w:val="24"/>
          <w:shd w:val="clear" w:color="auto" w:fill="FFFFFF"/>
        </w:rPr>
        <w:t>Съображение 10 посочва пример</w:t>
      </w:r>
      <w:r w:rsidR="00ED7492" w:rsidRPr="0021617C">
        <w:rPr>
          <w:rFonts w:ascii="Arial Narrow" w:hAnsi="Arial Narrow" w:cs="Arial"/>
          <w:sz w:val="24"/>
          <w:szCs w:val="24"/>
          <w:shd w:val="clear" w:color="auto" w:fill="FFFFFF"/>
          <w:lang w:val="bg-BG"/>
        </w:rPr>
        <w:t>и за</w:t>
      </w:r>
      <w:r w:rsidRPr="0021617C">
        <w:rPr>
          <w:rFonts w:ascii="Arial Narrow" w:hAnsi="Arial Narrow" w:cs="Arial"/>
          <w:sz w:val="24"/>
          <w:szCs w:val="24"/>
          <w:shd w:val="clear" w:color="auto" w:fill="FFFFFF"/>
        </w:rPr>
        <w:t xml:space="preserve"> информация, попадаща в приложното поле на </w:t>
      </w:r>
      <w:r w:rsidR="00ED7492" w:rsidRPr="0021617C">
        <w:rPr>
          <w:rFonts w:ascii="Arial Narrow" w:hAnsi="Arial Narrow" w:cs="Arial"/>
          <w:sz w:val="24"/>
          <w:szCs w:val="24"/>
          <w:shd w:val="clear" w:color="auto" w:fill="FFFFFF"/>
          <w:lang w:val="bg-BG"/>
        </w:rPr>
        <w:t>Д</w:t>
      </w:r>
      <w:r w:rsidRPr="0021617C">
        <w:rPr>
          <w:rFonts w:ascii="Arial Narrow" w:hAnsi="Arial Narrow" w:cs="Arial"/>
          <w:sz w:val="24"/>
          <w:szCs w:val="24"/>
          <w:shd w:val="clear" w:color="auto" w:fill="FFFFFF"/>
        </w:rPr>
        <w:t>рективата и следователно информация, до която Европейския</w:t>
      </w:r>
      <w:r w:rsidR="00ED7492" w:rsidRPr="0021617C">
        <w:rPr>
          <w:rFonts w:ascii="Arial Narrow" w:hAnsi="Arial Narrow" w:cs="Arial"/>
          <w:sz w:val="24"/>
          <w:szCs w:val="24"/>
          <w:shd w:val="clear" w:color="auto" w:fill="FFFFFF"/>
          <w:lang w:val="bg-BG"/>
        </w:rPr>
        <w:t xml:space="preserve"> </w:t>
      </w:r>
      <w:r w:rsidRPr="0021617C">
        <w:rPr>
          <w:rFonts w:ascii="Arial Narrow" w:hAnsi="Arial Narrow" w:cs="Arial"/>
          <w:sz w:val="24"/>
          <w:szCs w:val="24"/>
          <w:shd w:val="clear" w:color="auto" w:fill="FFFFFF"/>
        </w:rPr>
        <w:t xml:space="preserve">работнически съвет трябва да има достъп. Това са: </w:t>
      </w:r>
      <w:r w:rsidR="006C31F3">
        <w:rPr>
          <w:rFonts w:ascii="Arial Narrow" w:hAnsi="Arial Narrow" w:cs="Arial"/>
          <w:sz w:val="24"/>
          <w:szCs w:val="24"/>
          <w:shd w:val="clear" w:color="auto" w:fill="FFFFFF"/>
          <w:lang w:val="bg-BG"/>
        </w:rPr>
        <w:t>процесите</w:t>
      </w:r>
      <w:r w:rsidRPr="0021617C">
        <w:rPr>
          <w:rFonts w:ascii="Arial Narrow" w:hAnsi="Arial Narrow" w:cs="Arial"/>
          <w:sz w:val="24"/>
          <w:szCs w:val="24"/>
          <w:shd w:val="clear" w:color="auto" w:fill="FFFFFF"/>
        </w:rPr>
        <w:t xml:space="preserve"> на сливане на предприятия, трансгранични</w:t>
      </w:r>
      <w:r w:rsidR="00ED7492" w:rsidRPr="0021617C">
        <w:rPr>
          <w:rFonts w:ascii="Arial Narrow" w:hAnsi="Arial Narrow" w:cs="Arial"/>
          <w:sz w:val="24"/>
          <w:szCs w:val="24"/>
          <w:shd w:val="clear" w:color="auto" w:fill="FFFFFF"/>
          <w:lang w:val="bg-BG"/>
        </w:rPr>
        <w:t>те</w:t>
      </w:r>
      <w:r w:rsidRPr="0021617C">
        <w:rPr>
          <w:rFonts w:ascii="Arial Narrow" w:hAnsi="Arial Narrow" w:cs="Arial"/>
          <w:sz w:val="24"/>
          <w:szCs w:val="24"/>
          <w:shd w:val="clear" w:color="auto" w:fill="FFFFFF"/>
        </w:rPr>
        <w:t xml:space="preserve"> сливания, придобивания на предприятия, предприемане на съвместни предприятия. и по този начин интернационализацията на предприятията и групите предприятия.</w:t>
      </w:r>
      <w:r w:rsidR="00C77833" w:rsidRPr="0021617C">
        <w:rPr>
          <w:rFonts w:ascii="Arial Narrow" w:hAnsi="Arial Narrow" w:cs="Arial"/>
          <w:sz w:val="24"/>
          <w:szCs w:val="24"/>
          <w:shd w:val="clear" w:color="auto" w:fill="FFFFFF"/>
        </w:rPr>
        <w:t xml:space="preserve"> </w:t>
      </w:r>
      <w:r w:rsidR="00AE322E" w:rsidRPr="0021617C">
        <w:rPr>
          <w:rFonts w:ascii="Arial Narrow" w:hAnsi="Arial Narrow" w:cs="Arial"/>
          <w:sz w:val="24"/>
          <w:szCs w:val="24"/>
          <w:shd w:val="clear" w:color="auto" w:fill="FFFFFF"/>
        </w:rPr>
        <w:t xml:space="preserve"> </w:t>
      </w:r>
    </w:p>
    <w:p w14:paraId="02A7DFF9" w14:textId="77777777" w:rsidR="004F0200" w:rsidRPr="0021617C" w:rsidRDefault="004F0200" w:rsidP="00C24F93">
      <w:pPr>
        <w:spacing w:after="0" w:line="276" w:lineRule="auto"/>
        <w:ind w:left="426" w:firstLine="142"/>
        <w:jc w:val="both"/>
        <w:rPr>
          <w:rFonts w:ascii="Arial Narrow" w:hAnsi="Arial Narrow" w:cs="Arial"/>
          <w:sz w:val="24"/>
          <w:szCs w:val="24"/>
          <w:shd w:val="clear" w:color="auto" w:fill="FFFFFF"/>
        </w:rPr>
      </w:pPr>
    </w:p>
    <w:p w14:paraId="7D481757" w14:textId="634E77DB" w:rsidR="00953814" w:rsidRPr="0021617C" w:rsidRDefault="00953814" w:rsidP="00C24F93">
      <w:pPr>
        <w:spacing w:after="0"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 xml:space="preserve">Член 2 от Директивата за ЕРС съдържа определенията на „информация“ и „консултация“. Важен аспект на тези дефиниции е времето или действително крайният срок за предоставяне на информация. </w:t>
      </w:r>
      <w:r w:rsidR="00ED7492" w:rsidRPr="0021617C">
        <w:rPr>
          <w:rFonts w:ascii="Arial Narrow" w:eastAsia="Times New Roman" w:hAnsi="Arial Narrow" w:cs="Arial"/>
          <w:sz w:val="24"/>
          <w:szCs w:val="24"/>
          <w:lang w:val="bg-BG" w:eastAsia="pl-PL"/>
        </w:rPr>
        <w:t>С този случай</w:t>
      </w:r>
      <w:r w:rsidRPr="0021617C">
        <w:rPr>
          <w:rFonts w:ascii="Arial Narrow" w:eastAsia="Times New Roman" w:hAnsi="Arial Narrow" w:cs="Arial"/>
          <w:sz w:val="24"/>
          <w:szCs w:val="24"/>
          <w:lang w:eastAsia="pl-PL"/>
        </w:rPr>
        <w:t>, информацията трябва да бъде предоставена своевременно, за да може обектът да бъде запознат и проучен. Информацията трябва да бъде предоставена по подходящ начин и да съдържа подходящо съдържание, за да се даде възможност за задълбочена оценка на възможното въздействие и ако е необходимо, да се подготвят консултации с компетентния орган на предприятието или група предприятия с общностно покритие.</w:t>
      </w:r>
    </w:p>
    <w:p w14:paraId="51B4542D" w14:textId="0695CE51" w:rsidR="00953814" w:rsidRPr="0021617C" w:rsidRDefault="00953814" w:rsidP="00C24F93">
      <w:pPr>
        <w:spacing w:after="0"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Също така в случа</w:t>
      </w:r>
      <w:r w:rsidR="00ED7492" w:rsidRPr="0021617C">
        <w:rPr>
          <w:rFonts w:ascii="Arial Narrow" w:eastAsia="Times New Roman" w:hAnsi="Arial Narrow" w:cs="Arial"/>
          <w:sz w:val="24"/>
          <w:szCs w:val="24"/>
          <w:lang w:val="bg-BG" w:eastAsia="pl-PL"/>
        </w:rPr>
        <w:t>я</w:t>
      </w:r>
      <w:r w:rsidRPr="0021617C">
        <w:rPr>
          <w:rFonts w:ascii="Arial Narrow" w:eastAsia="Times New Roman" w:hAnsi="Arial Narrow" w:cs="Arial"/>
          <w:sz w:val="24"/>
          <w:szCs w:val="24"/>
          <w:lang w:eastAsia="pl-PL"/>
        </w:rPr>
        <w:t xml:space="preserve"> на консултация</w:t>
      </w:r>
      <w:r w:rsidR="00ED7492" w:rsidRPr="0021617C">
        <w:rPr>
          <w:rFonts w:ascii="Arial Narrow" w:eastAsia="Times New Roman" w:hAnsi="Arial Narrow" w:cs="Arial"/>
          <w:sz w:val="24"/>
          <w:szCs w:val="24"/>
          <w:lang w:val="bg-BG" w:eastAsia="pl-PL"/>
        </w:rPr>
        <w:t>та</w:t>
      </w:r>
      <w:r w:rsidRPr="0021617C">
        <w:rPr>
          <w:rFonts w:ascii="Arial Narrow" w:eastAsia="Times New Roman" w:hAnsi="Arial Narrow" w:cs="Arial"/>
          <w:sz w:val="24"/>
          <w:szCs w:val="24"/>
          <w:lang w:eastAsia="pl-PL"/>
        </w:rPr>
        <w:t xml:space="preserve"> е </w:t>
      </w:r>
      <w:r w:rsidR="00ED7492" w:rsidRPr="0021617C">
        <w:rPr>
          <w:rFonts w:ascii="Arial Narrow" w:eastAsia="Times New Roman" w:hAnsi="Arial Narrow" w:cs="Arial"/>
          <w:sz w:val="24"/>
          <w:szCs w:val="24"/>
          <w:lang w:val="bg-BG" w:eastAsia="pl-PL"/>
        </w:rPr>
        <w:t xml:space="preserve">много </w:t>
      </w:r>
      <w:r w:rsidRPr="0021617C">
        <w:rPr>
          <w:rFonts w:ascii="Arial Narrow" w:eastAsia="Times New Roman" w:hAnsi="Arial Narrow" w:cs="Arial"/>
          <w:sz w:val="24"/>
          <w:szCs w:val="24"/>
          <w:lang w:eastAsia="pl-PL"/>
        </w:rPr>
        <w:t>важен времевият фактор, т.е. моментът, в който ЕРС получава информация</w:t>
      </w:r>
      <w:r w:rsidR="00ED7492" w:rsidRPr="0021617C">
        <w:rPr>
          <w:rFonts w:ascii="Arial Narrow" w:eastAsia="Times New Roman" w:hAnsi="Arial Narrow" w:cs="Arial"/>
          <w:sz w:val="24"/>
          <w:szCs w:val="24"/>
          <w:lang w:val="bg-BG" w:eastAsia="pl-PL"/>
        </w:rPr>
        <w:t>та</w:t>
      </w:r>
      <w:r w:rsidRPr="0021617C">
        <w:rPr>
          <w:rFonts w:ascii="Arial Narrow" w:eastAsia="Times New Roman" w:hAnsi="Arial Narrow" w:cs="Arial"/>
          <w:sz w:val="24"/>
          <w:szCs w:val="24"/>
          <w:lang w:eastAsia="pl-PL"/>
        </w:rPr>
        <w:t>. Консултациите трябва да бъдат организирани по такъв начин, че представителите на служителите да могат да изразят мнението си въз основа на предоставената информация за предложените дейности, за които се отнасят консултациите; без да се засягат задачите на ръководството и в разумен срок, така че тези дейности да бъдат взети под внимание от предприятия или групи предприятия.</w:t>
      </w:r>
    </w:p>
    <w:p w14:paraId="4EB82AF8" w14:textId="77777777" w:rsidR="00953814" w:rsidRPr="0021617C" w:rsidRDefault="00953814" w:rsidP="00C24F93">
      <w:pPr>
        <w:spacing w:after="0" w:line="276" w:lineRule="auto"/>
        <w:ind w:left="426"/>
        <w:jc w:val="both"/>
        <w:rPr>
          <w:rFonts w:ascii="Arial Narrow" w:hAnsi="Arial Narrow" w:cs="Arial"/>
          <w:sz w:val="24"/>
          <w:szCs w:val="24"/>
          <w:shd w:val="clear" w:color="auto" w:fill="FFFFFF"/>
        </w:rPr>
      </w:pPr>
      <w:r w:rsidRPr="0021617C">
        <w:rPr>
          <w:rFonts w:ascii="Arial Narrow" w:hAnsi="Arial Narrow" w:cs="Arial"/>
          <w:sz w:val="24"/>
          <w:szCs w:val="24"/>
          <w:shd w:val="clear" w:color="auto" w:fill="FFFFFF"/>
        </w:rPr>
        <w:t>Факторът време е важен елемент не само по отношение на постигането на целите на Директивата за ЕРС, но и в контекста на поверителността на информацията. Това, което е поверителна информация днес, може да бъде обществена информация утре.</w:t>
      </w:r>
    </w:p>
    <w:tbl>
      <w:tblPr>
        <w:tblW w:w="5000" w:type="pct"/>
        <w:shd w:val="clear" w:color="auto" w:fill="FFFFFF"/>
        <w:tblCellMar>
          <w:left w:w="0" w:type="dxa"/>
          <w:right w:w="0" w:type="dxa"/>
        </w:tblCellMar>
        <w:tblLook w:val="04A0" w:firstRow="1" w:lastRow="0" w:firstColumn="1" w:lastColumn="0" w:noHBand="0" w:noVBand="1"/>
      </w:tblPr>
      <w:tblGrid>
        <w:gridCol w:w="4819"/>
        <w:gridCol w:w="4819"/>
      </w:tblGrid>
      <w:tr w:rsidR="00FC50F9" w:rsidRPr="0021617C" w14:paraId="394B8DB2" w14:textId="77777777" w:rsidTr="00BA3361">
        <w:tc>
          <w:tcPr>
            <w:tcW w:w="0" w:type="auto"/>
            <w:shd w:val="clear" w:color="auto" w:fill="FFFFFF"/>
            <w:hideMark/>
          </w:tcPr>
          <w:p w14:paraId="0A555B11" w14:textId="77777777" w:rsidR="00AE322E" w:rsidRPr="0021617C" w:rsidRDefault="00AE322E" w:rsidP="00C24F93">
            <w:pPr>
              <w:spacing w:after="0" w:line="276" w:lineRule="auto"/>
              <w:ind w:left="426" w:firstLine="142"/>
              <w:jc w:val="both"/>
              <w:rPr>
                <w:rFonts w:ascii="Arial Narrow" w:eastAsia="Times New Roman" w:hAnsi="Arial Narrow" w:cs="Arial"/>
                <w:sz w:val="24"/>
                <w:szCs w:val="24"/>
                <w:lang w:eastAsia="pl-PL"/>
              </w:rPr>
            </w:pPr>
          </w:p>
        </w:tc>
        <w:tc>
          <w:tcPr>
            <w:tcW w:w="0" w:type="auto"/>
            <w:shd w:val="clear" w:color="auto" w:fill="FFFFFF"/>
            <w:hideMark/>
          </w:tcPr>
          <w:p w14:paraId="07934F08" w14:textId="77777777" w:rsidR="00AE322E" w:rsidRPr="0021617C" w:rsidRDefault="00AE322E" w:rsidP="00C24F93">
            <w:pPr>
              <w:spacing w:after="0" w:line="276" w:lineRule="auto"/>
              <w:ind w:left="426" w:firstLine="142"/>
              <w:jc w:val="both"/>
              <w:rPr>
                <w:rFonts w:ascii="Arial Narrow" w:eastAsia="Times New Roman" w:hAnsi="Arial Narrow" w:cs="Arial"/>
                <w:sz w:val="24"/>
                <w:szCs w:val="24"/>
                <w:lang w:eastAsia="pl-PL"/>
              </w:rPr>
            </w:pPr>
          </w:p>
        </w:tc>
      </w:tr>
    </w:tbl>
    <w:p w14:paraId="2287AA73" w14:textId="77777777" w:rsidR="00AE322E" w:rsidRPr="0021617C" w:rsidRDefault="00AE322E" w:rsidP="00C24F93">
      <w:pPr>
        <w:spacing w:after="0" w:line="276" w:lineRule="auto"/>
        <w:ind w:left="426" w:firstLine="142"/>
        <w:jc w:val="both"/>
        <w:rPr>
          <w:rFonts w:ascii="Arial Narrow" w:eastAsia="Times New Roman" w:hAnsi="Arial Narrow" w:cs="Arial"/>
          <w:vanish/>
          <w:sz w:val="24"/>
          <w:szCs w:val="24"/>
          <w:lang w:eastAsia="pl-PL"/>
        </w:rPr>
      </w:pPr>
    </w:p>
    <w:p w14:paraId="49A2CDE0" w14:textId="77777777" w:rsidR="00AE322E" w:rsidRPr="0021617C" w:rsidRDefault="00AE322E" w:rsidP="00C24F93">
      <w:pPr>
        <w:spacing w:after="0" w:line="276" w:lineRule="auto"/>
        <w:ind w:left="426" w:firstLine="142"/>
        <w:jc w:val="both"/>
        <w:rPr>
          <w:rFonts w:ascii="Arial Narrow" w:hAnsi="Arial Narrow" w:cs="Arial"/>
          <w:sz w:val="24"/>
          <w:szCs w:val="24"/>
          <w:shd w:val="clear" w:color="auto" w:fill="FFFFFF"/>
        </w:rPr>
      </w:pPr>
    </w:p>
    <w:p w14:paraId="05C0EAE3" w14:textId="77777777" w:rsidR="00953814" w:rsidRPr="0021617C" w:rsidRDefault="00953814" w:rsidP="00C24F93">
      <w:pPr>
        <w:spacing w:after="0" w:line="276" w:lineRule="auto"/>
        <w:ind w:left="426" w:hanging="142"/>
        <w:jc w:val="both"/>
        <w:rPr>
          <w:rFonts w:ascii="Arial Narrow" w:hAnsi="Arial Narrow" w:cs="Arial"/>
          <w:sz w:val="24"/>
          <w:szCs w:val="24"/>
          <w:shd w:val="clear" w:color="auto" w:fill="FFFFFF"/>
        </w:rPr>
      </w:pPr>
      <w:r w:rsidRPr="0021617C">
        <w:rPr>
          <w:rFonts w:ascii="Arial Narrow" w:hAnsi="Arial Narrow" w:cs="Arial"/>
          <w:sz w:val="24"/>
          <w:szCs w:val="24"/>
          <w:shd w:val="clear" w:color="auto" w:fill="FFFFFF"/>
        </w:rPr>
        <w:t>Информацията, предоставена на Европейския работнически съвет, се отнася по-специално до:</w:t>
      </w:r>
    </w:p>
    <w:p w14:paraId="54FFB824" w14:textId="6E47A984" w:rsidR="00953814" w:rsidRPr="0021617C" w:rsidRDefault="00953814" w:rsidP="00C24F93">
      <w:pPr>
        <w:spacing w:after="0" w:line="276" w:lineRule="auto"/>
        <w:ind w:left="426" w:hanging="142"/>
        <w:jc w:val="both"/>
        <w:rPr>
          <w:rFonts w:ascii="Arial Narrow" w:hAnsi="Arial Narrow" w:cs="Arial"/>
          <w:sz w:val="24"/>
          <w:szCs w:val="24"/>
          <w:shd w:val="clear" w:color="auto" w:fill="FFFFFF"/>
        </w:rPr>
      </w:pPr>
      <w:r w:rsidRPr="0021617C">
        <w:rPr>
          <w:rFonts w:ascii="Arial Narrow" w:hAnsi="Arial Narrow" w:cs="Arial"/>
          <w:sz w:val="24"/>
          <w:szCs w:val="24"/>
          <w:shd w:val="clear" w:color="auto" w:fill="FFFFFF"/>
        </w:rPr>
        <w:t>• структурата</w:t>
      </w:r>
      <w:r w:rsidR="00ED7492" w:rsidRPr="0021617C">
        <w:rPr>
          <w:rFonts w:ascii="Arial Narrow" w:hAnsi="Arial Narrow" w:cs="Arial"/>
          <w:sz w:val="24"/>
          <w:szCs w:val="24"/>
          <w:shd w:val="clear" w:color="auto" w:fill="FFFFFF"/>
          <w:lang w:val="bg-BG"/>
        </w:rPr>
        <w:t xml:space="preserve"> на МНК</w:t>
      </w:r>
      <w:r w:rsidRPr="0021617C">
        <w:rPr>
          <w:rFonts w:ascii="Arial Narrow" w:hAnsi="Arial Narrow" w:cs="Arial"/>
          <w:sz w:val="24"/>
          <w:szCs w:val="24"/>
          <w:shd w:val="clear" w:color="auto" w:fill="FFFFFF"/>
        </w:rPr>
        <w:t>,</w:t>
      </w:r>
    </w:p>
    <w:p w14:paraId="71482753" w14:textId="77777777" w:rsidR="00953814" w:rsidRPr="0021617C" w:rsidRDefault="00953814" w:rsidP="00C24F93">
      <w:pPr>
        <w:spacing w:after="0" w:line="276" w:lineRule="auto"/>
        <w:ind w:left="426" w:hanging="142"/>
        <w:jc w:val="both"/>
        <w:rPr>
          <w:rFonts w:ascii="Arial Narrow" w:hAnsi="Arial Narrow" w:cs="Arial"/>
          <w:sz w:val="24"/>
          <w:szCs w:val="24"/>
          <w:shd w:val="clear" w:color="auto" w:fill="FFFFFF"/>
        </w:rPr>
      </w:pPr>
      <w:r w:rsidRPr="0021617C">
        <w:rPr>
          <w:rFonts w:ascii="Arial Narrow" w:hAnsi="Arial Narrow" w:cs="Arial"/>
          <w:sz w:val="24"/>
          <w:szCs w:val="24"/>
          <w:shd w:val="clear" w:color="auto" w:fill="FFFFFF"/>
        </w:rPr>
        <w:t>• икономическо и финансово състояние,</w:t>
      </w:r>
    </w:p>
    <w:p w14:paraId="78198AB8" w14:textId="7D12BA4A" w:rsidR="00953814" w:rsidRPr="0021617C" w:rsidRDefault="00953814" w:rsidP="00C24F93">
      <w:pPr>
        <w:spacing w:after="0" w:line="276" w:lineRule="auto"/>
        <w:ind w:left="426" w:hanging="142"/>
        <w:jc w:val="both"/>
        <w:rPr>
          <w:rFonts w:ascii="Arial Narrow" w:hAnsi="Arial Narrow" w:cs="Arial"/>
          <w:sz w:val="24"/>
          <w:szCs w:val="24"/>
          <w:shd w:val="clear" w:color="auto" w:fill="FFFFFF"/>
        </w:rPr>
      </w:pPr>
      <w:r w:rsidRPr="0021617C">
        <w:rPr>
          <w:rFonts w:ascii="Arial Narrow" w:hAnsi="Arial Narrow" w:cs="Arial"/>
          <w:sz w:val="24"/>
          <w:szCs w:val="24"/>
          <w:shd w:val="clear" w:color="auto" w:fill="FFFFFF"/>
        </w:rPr>
        <w:t>• възможно</w:t>
      </w:r>
      <w:proofErr w:type="spellStart"/>
      <w:r w:rsidR="00ED7492" w:rsidRPr="0021617C">
        <w:rPr>
          <w:rFonts w:ascii="Arial Narrow" w:hAnsi="Arial Narrow" w:cs="Arial"/>
          <w:sz w:val="24"/>
          <w:szCs w:val="24"/>
          <w:shd w:val="clear" w:color="auto" w:fill="FFFFFF"/>
          <w:lang w:val="bg-BG"/>
        </w:rPr>
        <w:t>стите</w:t>
      </w:r>
      <w:proofErr w:type="spellEnd"/>
      <w:r w:rsidR="00ED7492" w:rsidRPr="0021617C">
        <w:rPr>
          <w:rFonts w:ascii="Arial Narrow" w:hAnsi="Arial Narrow" w:cs="Arial"/>
          <w:sz w:val="24"/>
          <w:szCs w:val="24"/>
          <w:shd w:val="clear" w:color="auto" w:fill="FFFFFF"/>
          <w:lang w:val="bg-BG"/>
        </w:rPr>
        <w:t xml:space="preserve"> за</w:t>
      </w:r>
      <w:r w:rsidRPr="0021617C">
        <w:rPr>
          <w:rFonts w:ascii="Arial Narrow" w:hAnsi="Arial Narrow" w:cs="Arial"/>
          <w:sz w:val="24"/>
          <w:szCs w:val="24"/>
          <w:shd w:val="clear" w:color="auto" w:fill="FFFFFF"/>
        </w:rPr>
        <w:t xml:space="preserve"> развитие на бизнеса,</w:t>
      </w:r>
    </w:p>
    <w:p w14:paraId="06EBA085" w14:textId="77777777" w:rsidR="00953814" w:rsidRPr="0021617C" w:rsidRDefault="00953814" w:rsidP="00C24F93">
      <w:pPr>
        <w:spacing w:after="0" w:line="276" w:lineRule="auto"/>
        <w:ind w:left="426" w:hanging="142"/>
        <w:jc w:val="both"/>
        <w:rPr>
          <w:rFonts w:ascii="Arial Narrow" w:hAnsi="Arial Narrow" w:cs="Arial"/>
          <w:sz w:val="24"/>
          <w:szCs w:val="24"/>
          <w:shd w:val="clear" w:color="auto" w:fill="FFFFFF"/>
        </w:rPr>
      </w:pPr>
      <w:r w:rsidRPr="0021617C">
        <w:rPr>
          <w:rFonts w:ascii="Arial Narrow" w:hAnsi="Arial Narrow" w:cs="Arial"/>
          <w:sz w:val="24"/>
          <w:szCs w:val="24"/>
          <w:shd w:val="clear" w:color="auto" w:fill="FFFFFF"/>
        </w:rPr>
        <w:t>• производството и продажбата на продуктите на предприятие или група предприятия в Общността.</w:t>
      </w:r>
    </w:p>
    <w:p w14:paraId="5E0BCA9C" w14:textId="77777777" w:rsidR="00C24F93" w:rsidRDefault="00C24F93" w:rsidP="00C24F93">
      <w:pPr>
        <w:spacing w:after="0" w:line="276" w:lineRule="auto"/>
        <w:ind w:left="426" w:firstLine="142"/>
        <w:jc w:val="both"/>
        <w:rPr>
          <w:rFonts w:ascii="Arial Narrow" w:hAnsi="Arial Narrow" w:cs="Arial"/>
          <w:sz w:val="24"/>
          <w:szCs w:val="24"/>
          <w:shd w:val="clear" w:color="auto" w:fill="FFFFFF"/>
        </w:rPr>
      </w:pPr>
    </w:p>
    <w:p w14:paraId="1879C28B" w14:textId="2F6F5B3C" w:rsidR="00953814" w:rsidRPr="0021617C" w:rsidRDefault="00953814" w:rsidP="00C24F93">
      <w:pPr>
        <w:spacing w:after="0" w:line="276" w:lineRule="auto"/>
        <w:ind w:left="426" w:hanging="142"/>
        <w:jc w:val="both"/>
        <w:rPr>
          <w:rFonts w:ascii="Arial Narrow" w:hAnsi="Arial Narrow" w:cs="Arial"/>
          <w:sz w:val="24"/>
          <w:szCs w:val="24"/>
          <w:shd w:val="clear" w:color="auto" w:fill="FFFFFF"/>
        </w:rPr>
      </w:pPr>
      <w:r w:rsidRPr="0021617C">
        <w:rPr>
          <w:rFonts w:ascii="Arial Narrow" w:hAnsi="Arial Narrow" w:cs="Arial"/>
          <w:sz w:val="24"/>
          <w:szCs w:val="24"/>
          <w:shd w:val="clear" w:color="auto" w:fill="FFFFFF"/>
        </w:rPr>
        <w:t>Информацията и консултациите с Европейския съвет за работниците се отнасят по-специално до:</w:t>
      </w:r>
    </w:p>
    <w:p w14:paraId="12291921" w14:textId="77777777" w:rsidR="00953814" w:rsidRPr="0021617C" w:rsidRDefault="00953814" w:rsidP="00C24F93">
      <w:pPr>
        <w:spacing w:after="0" w:line="276" w:lineRule="auto"/>
        <w:ind w:left="426" w:firstLine="142"/>
        <w:jc w:val="both"/>
        <w:rPr>
          <w:rFonts w:ascii="Arial Narrow" w:hAnsi="Arial Narrow" w:cs="Arial"/>
          <w:sz w:val="24"/>
          <w:szCs w:val="24"/>
          <w:shd w:val="clear" w:color="auto" w:fill="FFFFFF"/>
        </w:rPr>
      </w:pPr>
      <w:r w:rsidRPr="0021617C">
        <w:rPr>
          <w:rFonts w:ascii="Arial Narrow" w:hAnsi="Arial Narrow" w:cs="Arial"/>
          <w:sz w:val="24"/>
          <w:szCs w:val="24"/>
          <w:shd w:val="clear" w:color="auto" w:fill="FFFFFF"/>
        </w:rPr>
        <w:t>• ситуацията и тенденциите в заетостта,</w:t>
      </w:r>
    </w:p>
    <w:p w14:paraId="4DB5B72B" w14:textId="77777777" w:rsidR="00953814" w:rsidRPr="0021617C" w:rsidRDefault="00953814" w:rsidP="00C24F93">
      <w:pPr>
        <w:spacing w:after="0" w:line="276" w:lineRule="auto"/>
        <w:ind w:left="426" w:firstLine="142"/>
        <w:jc w:val="both"/>
        <w:rPr>
          <w:rFonts w:ascii="Arial Narrow" w:hAnsi="Arial Narrow" w:cs="Arial"/>
          <w:sz w:val="24"/>
          <w:szCs w:val="24"/>
          <w:shd w:val="clear" w:color="auto" w:fill="FFFFFF"/>
        </w:rPr>
      </w:pPr>
      <w:r w:rsidRPr="0021617C">
        <w:rPr>
          <w:rFonts w:ascii="Arial Narrow" w:hAnsi="Arial Narrow" w:cs="Arial"/>
          <w:sz w:val="24"/>
          <w:szCs w:val="24"/>
          <w:shd w:val="clear" w:color="auto" w:fill="FFFFFF"/>
        </w:rPr>
        <w:t>• инвестиционна ситуация и тенденции;</w:t>
      </w:r>
    </w:p>
    <w:p w14:paraId="4F40BE98" w14:textId="77777777" w:rsidR="00953814" w:rsidRPr="0021617C" w:rsidRDefault="00953814" w:rsidP="00C24F93">
      <w:pPr>
        <w:spacing w:after="0" w:line="276" w:lineRule="auto"/>
        <w:ind w:left="426" w:firstLine="142"/>
        <w:jc w:val="both"/>
        <w:rPr>
          <w:rFonts w:ascii="Arial Narrow" w:hAnsi="Arial Narrow" w:cs="Arial"/>
          <w:sz w:val="24"/>
          <w:szCs w:val="24"/>
          <w:shd w:val="clear" w:color="auto" w:fill="FFFFFF"/>
        </w:rPr>
      </w:pPr>
      <w:r w:rsidRPr="0021617C">
        <w:rPr>
          <w:rFonts w:ascii="Arial Narrow" w:hAnsi="Arial Narrow" w:cs="Arial"/>
          <w:sz w:val="24"/>
          <w:szCs w:val="24"/>
          <w:shd w:val="clear" w:color="auto" w:fill="FFFFFF"/>
        </w:rPr>
        <w:t>• значителни промени, свързани с организацията,</w:t>
      </w:r>
    </w:p>
    <w:p w14:paraId="01DC9C1F" w14:textId="77777777" w:rsidR="00953814" w:rsidRPr="0021617C" w:rsidRDefault="00953814" w:rsidP="00C24F93">
      <w:pPr>
        <w:spacing w:after="0" w:line="276" w:lineRule="auto"/>
        <w:ind w:left="426" w:firstLine="142"/>
        <w:jc w:val="both"/>
        <w:rPr>
          <w:rFonts w:ascii="Arial Narrow" w:hAnsi="Arial Narrow" w:cs="Arial"/>
          <w:sz w:val="24"/>
          <w:szCs w:val="24"/>
          <w:shd w:val="clear" w:color="auto" w:fill="FFFFFF"/>
        </w:rPr>
      </w:pPr>
      <w:r w:rsidRPr="0021617C">
        <w:rPr>
          <w:rFonts w:ascii="Arial Narrow" w:hAnsi="Arial Narrow" w:cs="Arial"/>
          <w:sz w:val="24"/>
          <w:szCs w:val="24"/>
          <w:shd w:val="clear" w:color="auto" w:fill="FFFFFF"/>
        </w:rPr>
        <w:t>• значителни промени, свързани с въвеждането на нови работни методи или нови производствени процеси,</w:t>
      </w:r>
    </w:p>
    <w:p w14:paraId="075E0F02" w14:textId="77777777" w:rsidR="00953814" w:rsidRPr="0021617C" w:rsidRDefault="00953814" w:rsidP="00C24F93">
      <w:pPr>
        <w:spacing w:after="0" w:line="276" w:lineRule="auto"/>
        <w:ind w:left="426" w:firstLine="142"/>
        <w:jc w:val="both"/>
        <w:rPr>
          <w:rFonts w:ascii="Arial Narrow" w:hAnsi="Arial Narrow" w:cs="Arial"/>
          <w:sz w:val="24"/>
          <w:szCs w:val="24"/>
          <w:shd w:val="clear" w:color="auto" w:fill="FFFFFF"/>
        </w:rPr>
      </w:pPr>
      <w:r w:rsidRPr="0021617C">
        <w:rPr>
          <w:rFonts w:ascii="Arial Narrow" w:hAnsi="Arial Narrow" w:cs="Arial"/>
          <w:sz w:val="24"/>
          <w:szCs w:val="24"/>
          <w:shd w:val="clear" w:color="auto" w:fill="FFFFFF"/>
        </w:rPr>
        <w:t>• значителни промени, свързани с преместването на производството,</w:t>
      </w:r>
    </w:p>
    <w:p w14:paraId="3E72669E" w14:textId="77777777" w:rsidR="00953814" w:rsidRPr="0021617C" w:rsidRDefault="00953814" w:rsidP="00C24F93">
      <w:pPr>
        <w:spacing w:after="0" w:line="276" w:lineRule="auto"/>
        <w:ind w:left="426" w:firstLine="142"/>
        <w:jc w:val="both"/>
        <w:rPr>
          <w:rFonts w:ascii="Arial Narrow" w:hAnsi="Arial Narrow" w:cs="Arial"/>
          <w:sz w:val="24"/>
          <w:szCs w:val="24"/>
          <w:shd w:val="clear" w:color="auto" w:fill="FFFFFF"/>
        </w:rPr>
      </w:pPr>
      <w:r w:rsidRPr="0021617C">
        <w:rPr>
          <w:rFonts w:ascii="Arial Narrow" w:hAnsi="Arial Narrow" w:cs="Arial"/>
          <w:sz w:val="24"/>
          <w:szCs w:val="24"/>
          <w:shd w:val="clear" w:color="auto" w:fill="FFFFFF"/>
        </w:rPr>
        <w:t>• значителни промени, свързани със сливането на предприятията,</w:t>
      </w:r>
    </w:p>
    <w:p w14:paraId="45D79048" w14:textId="300E2127" w:rsidR="00AE322E" w:rsidRPr="0021617C" w:rsidRDefault="00953814" w:rsidP="00C24F93">
      <w:pPr>
        <w:spacing w:after="0" w:line="276" w:lineRule="auto"/>
        <w:ind w:left="426" w:firstLine="142"/>
        <w:jc w:val="both"/>
        <w:rPr>
          <w:rFonts w:ascii="Arial Narrow" w:hAnsi="Arial Narrow" w:cs="Arial"/>
          <w:sz w:val="24"/>
          <w:szCs w:val="24"/>
          <w:shd w:val="clear" w:color="auto" w:fill="FFFFFF"/>
        </w:rPr>
      </w:pPr>
      <w:r w:rsidRPr="0021617C">
        <w:rPr>
          <w:rFonts w:ascii="Arial Narrow" w:hAnsi="Arial Narrow" w:cs="Arial"/>
          <w:sz w:val="24"/>
          <w:szCs w:val="24"/>
          <w:shd w:val="clear" w:color="auto" w:fill="FFFFFF"/>
        </w:rPr>
        <w:t xml:space="preserve">• значителни промени, свързани с намаляването или закриването на предприятия, работни места или важни части от работните места, както и с </w:t>
      </w:r>
      <w:r w:rsidR="00ED7492" w:rsidRPr="0021617C">
        <w:rPr>
          <w:rFonts w:ascii="Arial Narrow" w:hAnsi="Arial Narrow" w:cs="Arial"/>
          <w:sz w:val="24"/>
          <w:szCs w:val="24"/>
          <w:shd w:val="clear" w:color="auto" w:fill="FFFFFF"/>
          <w:lang w:val="bg-BG"/>
        </w:rPr>
        <w:t>масови</w:t>
      </w:r>
      <w:r w:rsidRPr="0021617C">
        <w:rPr>
          <w:rFonts w:ascii="Arial Narrow" w:hAnsi="Arial Narrow" w:cs="Arial"/>
          <w:sz w:val="24"/>
          <w:szCs w:val="24"/>
          <w:shd w:val="clear" w:color="auto" w:fill="FFFFFF"/>
        </w:rPr>
        <w:t xml:space="preserve"> съкращения.</w:t>
      </w:r>
    </w:p>
    <w:p w14:paraId="79C7035A" w14:textId="77777777" w:rsidR="00953814" w:rsidRPr="0021617C" w:rsidRDefault="00953814" w:rsidP="00C24F93">
      <w:pPr>
        <w:spacing w:after="0" w:line="276" w:lineRule="auto"/>
        <w:ind w:left="426" w:firstLine="142"/>
        <w:jc w:val="both"/>
        <w:rPr>
          <w:rFonts w:ascii="Arial Narrow" w:hAnsi="Arial Narrow" w:cs="Arial"/>
          <w:sz w:val="24"/>
          <w:szCs w:val="24"/>
          <w:shd w:val="clear" w:color="auto" w:fill="FFFFFF"/>
        </w:rPr>
      </w:pPr>
    </w:p>
    <w:p w14:paraId="62D894CC" w14:textId="1D23DEAA" w:rsidR="00953814" w:rsidRPr="0021617C" w:rsidRDefault="00953814" w:rsidP="00C24F93">
      <w:pPr>
        <w:spacing w:after="0" w:line="276" w:lineRule="auto"/>
        <w:ind w:left="426" w:firstLine="141"/>
        <w:jc w:val="both"/>
        <w:rPr>
          <w:rFonts w:ascii="Arial Narrow" w:hAnsi="Arial Narrow" w:cs="Arial"/>
          <w:sz w:val="24"/>
          <w:szCs w:val="24"/>
          <w:shd w:val="clear" w:color="auto" w:fill="FFFFFF"/>
        </w:rPr>
      </w:pPr>
      <w:r w:rsidRPr="0021617C">
        <w:rPr>
          <w:rFonts w:ascii="Arial Narrow" w:hAnsi="Arial Narrow" w:cs="Arial"/>
          <w:sz w:val="24"/>
          <w:szCs w:val="24"/>
          <w:shd w:val="clear" w:color="auto" w:fill="FFFFFF"/>
        </w:rPr>
        <w:lastRenderedPageBreak/>
        <w:t xml:space="preserve">Регламентирайки основните принципи на работа на ЕРС и достъпа до информация от тях, разпоредбите на Директивата за ЕРС вземат предвид факта, че известна </w:t>
      </w:r>
      <w:r w:rsidR="003F75EC" w:rsidRPr="0021617C">
        <w:rPr>
          <w:rFonts w:ascii="Arial Narrow" w:hAnsi="Arial Narrow" w:cs="Arial"/>
          <w:sz w:val="24"/>
          <w:szCs w:val="24"/>
          <w:shd w:val="clear" w:color="auto" w:fill="FFFFFF"/>
          <w:lang w:val="bg-BG"/>
        </w:rPr>
        <w:t xml:space="preserve">част от </w:t>
      </w:r>
      <w:r w:rsidRPr="0021617C">
        <w:rPr>
          <w:rFonts w:ascii="Arial Narrow" w:hAnsi="Arial Narrow" w:cs="Arial"/>
          <w:sz w:val="24"/>
          <w:szCs w:val="24"/>
          <w:shd w:val="clear" w:color="auto" w:fill="FFFFFF"/>
        </w:rPr>
        <w:t>информация</w:t>
      </w:r>
      <w:r w:rsidR="003F75EC" w:rsidRPr="0021617C">
        <w:rPr>
          <w:rFonts w:ascii="Arial Narrow" w:hAnsi="Arial Narrow" w:cs="Arial"/>
          <w:sz w:val="24"/>
          <w:szCs w:val="24"/>
          <w:shd w:val="clear" w:color="auto" w:fill="FFFFFF"/>
          <w:lang w:val="bg-BG"/>
        </w:rPr>
        <w:t>та</w:t>
      </w:r>
      <w:r w:rsidRPr="0021617C">
        <w:rPr>
          <w:rFonts w:ascii="Arial Narrow" w:hAnsi="Arial Narrow" w:cs="Arial"/>
          <w:sz w:val="24"/>
          <w:szCs w:val="24"/>
          <w:shd w:val="clear" w:color="auto" w:fill="FFFFFF"/>
        </w:rPr>
        <w:t>, предоставяна на ЕРС, може да бъде поверителна.</w:t>
      </w:r>
    </w:p>
    <w:p w14:paraId="29D12EC0" w14:textId="77777777" w:rsidR="00A86F9F" w:rsidRPr="0021617C" w:rsidRDefault="00A86F9F" w:rsidP="00C24F93">
      <w:pPr>
        <w:spacing w:after="0" w:line="276" w:lineRule="auto"/>
        <w:ind w:left="426" w:firstLine="142"/>
        <w:jc w:val="both"/>
        <w:rPr>
          <w:rFonts w:ascii="Arial Narrow" w:hAnsi="Arial Narrow" w:cs="Arial"/>
          <w:sz w:val="24"/>
          <w:szCs w:val="24"/>
          <w:shd w:val="clear" w:color="auto" w:fill="FFFFFF"/>
        </w:rPr>
      </w:pPr>
    </w:p>
    <w:p w14:paraId="58FB5104" w14:textId="62E6F7E5" w:rsidR="00FF7F0C" w:rsidRPr="0021617C" w:rsidRDefault="00FF7F0C" w:rsidP="00C24F93">
      <w:pPr>
        <w:spacing w:after="0" w:line="276" w:lineRule="auto"/>
        <w:ind w:left="426"/>
        <w:jc w:val="both"/>
        <w:rPr>
          <w:rFonts w:ascii="Arial Narrow" w:hAnsi="Arial Narrow" w:cs="Arial"/>
          <w:sz w:val="24"/>
          <w:szCs w:val="24"/>
          <w:shd w:val="clear" w:color="auto" w:fill="FFFFFF"/>
        </w:rPr>
      </w:pPr>
      <w:r w:rsidRPr="0021617C">
        <w:rPr>
          <w:rFonts w:ascii="Arial Narrow" w:hAnsi="Arial Narrow" w:cs="Arial"/>
          <w:sz w:val="24"/>
          <w:szCs w:val="24"/>
          <w:shd w:val="clear" w:color="auto" w:fill="FFFFFF"/>
        </w:rPr>
        <w:t xml:space="preserve">Самата </w:t>
      </w:r>
      <w:r w:rsidR="003F75EC" w:rsidRPr="0021617C">
        <w:rPr>
          <w:rFonts w:ascii="Arial Narrow" w:hAnsi="Arial Narrow" w:cs="Arial"/>
          <w:sz w:val="24"/>
          <w:szCs w:val="24"/>
          <w:shd w:val="clear" w:color="auto" w:fill="FFFFFF"/>
          <w:lang w:val="bg-BG"/>
        </w:rPr>
        <w:t>Д</w:t>
      </w:r>
      <w:r w:rsidRPr="0021617C">
        <w:rPr>
          <w:rFonts w:ascii="Arial Narrow" w:hAnsi="Arial Narrow" w:cs="Arial"/>
          <w:sz w:val="24"/>
          <w:szCs w:val="24"/>
          <w:shd w:val="clear" w:color="auto" w:fill="FFFFFF"/>
        </w:rPr>
        <w:t xml:space="preserve">иректива за ЕРС не съдържа дефиниция на поверителна информация. Въпросите за справяне с информация относно поверителността обаче се съдържат в няколко </w:t>
      </w:r>
      <w:r w:rsidR="003F75EC" w:rsidRPr="0021617C">
        <w:rPr>
          <w:rFonts w:ascii="Arial Narrow" w:hAnsi="Arial Narrow" w:cs="Arial"/>
          <w:sz w:val="24"/>
          <w:szCs w:val="24"/>
          <w:shd w:val="clear" w:color="auto" w:fill="FFFFFF"/>
          <w:lang w:val="bg-BG"/>
        </w:rPr>
        <w:t xml:space="preserve">от преходните и допълнителните </w:t>
      </w:r>
      <w:r w:rsidRPr="0021617C">
        <w:rPr>
          <w:rFonts w:ascii="Arial Narrow" w:hAnsi="Arial Narrow" w:cs="Arial"/>
          <w:sz w:val="24"/>
          <w:szCs w:val="24"/>
          <w:shd w:val="clear" w:color="auto" w:fill="FFFFFF"/>
        </w:rPr>
        <w:t>разпоредби на Директивата за ЕРС.</w:t>
      </w:r>
    </w:p>
    <w:p w14:paraId="3C5FFB6B" w14:textId="77777777" w:rsidR="001B1CBD" w:rsidRPr="0021617C" w:rsidRDefault="001B1CBD" w:rsidP="00C24F93">
      <w:pPr>
        <w:spacing w:after="0" w:line="276" w:lineRule="auto"/>
        <w:ind w:left="426" w:firstLine="142"/>
        <w:jc w:val="both"/>
        <w:rPr>
          <w:rFonts w:ascii="Arial Narrow" w:hAnsi="Arial Narrow" w:cs="Arial"/>
          <w:sz w:val="24"/>
          <w:szCs w:val="24"/>
          <w:shd w:val="clear" w:color="auto" w:fill="FFFFFF"/>
        </w:rPr>
      </w:pPr>
    </w:p>
    <w:p w14:paraId="493D001A" w14:textId="378812EC" w:rsidR="00FF7F0C" w:rsidRPr="0021617C" w:rsidRDefault="00FF7F0C" w:rsidP="00C24F93">
      <w:pPr>
        <w:spacing w:after="0" w:line="276" w:lineRule="auto"/>
        <w:ind w:left="426"/>
        <w:jc w:val="both"/>
        <w:rPr>
          <w:rFonts w:ascii="Arial Narrow" w:hAnsi="Arial Narrow" w:cs="Arial"/>
          <w:sz w:val="24"/>
          <w:szCs w:val="24"/>
        </w:rPr>
      </w:pPr>
      <w:r w:rsidRPr="0021617C">
        <w:rPr>
          <w:rFonts w:ascii="Arial Narrow" w:hAnsi="Arial Narrow" w:cs="Arial"/>
          <w:sz w:val="24"/>
          <w:szCs w:val="24"/>
        </w:rPr>
        <w:t xml:space="preserve">Конфиденциалността е </w:t>
      </w:r>
      <w:r w:rsidR="003F75EC" w:rsidRPr="0021617C">
        <w:rPr>
          <w:rFonts w:ascii="Arial Narrow" w:hAnsi="Arial Narrow" w:cs="Arial"/>
          <w:sz w:val="24"/>
          <w:szCs w:val="24"/>
          <w:lang w:val="bg-BG"/>
        </w:rPr>
        <w:t>разгледана в Член</w:t>
      </w:r>
      <w:r w:rsidRPr="0021617C">
        <w:rPr>
          <w:rFonts w:ascii="Arial Narrow" w:hAnsi="Arial Narrow" w:cs="Arial"/>
          <w:sz w:val="24"/>
          <w:szCs w:val="24"/>
          <w:lang w:val="bg-BG"/>
        </w:rPr>
        <w:t xml:space="preserve"> </w:t>
      </w:r>
      <w:r w:rsidRPr="0021617C">
        <w:rPr>
          <w:rFonts w:ascii="Arial Narrow" w:hAnsi="Arial Narrow" w:cs="Arial"/>
          <w:sz w:val="24"/>
          <w:szCs w:val="24"/>
        </w:rPr>
        <w:t xml:space="preserve">8 </w:t>
      </w:r>
      <w:r w:rsidRPr="0021617C">
        <w:rPr>
          <w:rFonts w:ascii="Arial Narrow" w:hAnsi="Arial Narrow" w:cs="Arial"/>
          <w:sz w:val="24"/>
          <w:szCs w:val="24"/>
          <w:lang w:val="bg-BG"/>
        </w:rPr>
        <w:t xml:space="preserve">от </w:t>
      </w:r>
      <w:r w:rsidR="003F75EC" w:rsidRPr="0021617C">
        <w:rPr>
          <w:rFonts w:ascii="Arial Narrow" w:hAnsi="Arial Narrow" w:cs="Arial"/>
          <w:sz w:val="24"/>
          <w:szCs w:val="24"/>
          <w:lang w:val="bg-BG"/>
        </w:rPr>
        <w:t>Д</w:t>
      </w:r>
      <w:r w:rsidRPr="0021617C">
        <w:rPr>
          <w:rFonts w:ascii="Arial Narrow" w:hAnsi="Arial Narrow" w:cs="Arial"/>
          <w:sz w:val="24"/>
          <w:szCs w:val="24"/>
        </w:rPr>
        <w:t>иректив</w:t>
      </w:r>
      <w:r w:rsidRPr="0021617C">
        <w:rPr>
          <w:rFonts w:ascii="Arial Narrow" w:hAnsi="Arial Narrow" w:cs="Arial"/>
          <w:sz w:val="24"/>
          <w:szCs w:val="24"/>
          <w:lang w:val="bg-BG"/>
        </w:rPr>
        <w:t>а</w:t>
      </w:r>
      <w:r w:rsidRPr="0021617C">
        <w:rPr>
          <w:rFonts w:ascii="Arial Narrow" w:hAnsi="Arial Narrow" w:cs="Arial"/>
          <w:sz w:val="24"/>
          <w:szCs w:val="24"/>
        </w:rPr>
        <w:t xml:space="preserve"> </w:t>
      </w:r>
      <w:r w:rsidR="00C24F93">
        <w:rPr>
          <w:rFonts w:ascii="Arial Narrow" w:hAnsi="Arial Narrow" w:cs="Arial"/>
          <w:sz w:val="24"/>
          <w:szCs w:val="24"/>
          <w:lang w:val="bg-BG"/>
        </w:rPr>
        <w:t>з</w:t>
      </w:r>
      <w:r w:rsidRPr="0021617C">
        <w:rPr>
          <w:rFonts w:ascii="Arial Narrow" w:hAnsi="Arial Narrow" w:cs="Arial"/>
          <w:sz w:val="24"/>
          <w:szCs w:val="24"/>
        </w:rPr>
        <w:t xml:space="preserve">а ЕРС, </w:t>
      </w:r>
      <w:r w:rsidR="003F75EC" w:rsidRPr="0021617C">
        <w:rPr>
          <w:rFonts w:ascii="Arial Narrow" w:hAnsi="Arial Narrow" w:cs="Arial"/>
          <w:sz w:val="24"/>
          <w:szCs w:val="24"/>
          <w:lang w:val="bg-BG"/>
        </w:rPr>
        <w:t>като се</w:t>
      </w:r>
      <w:r w:rsidRPr="0021617C">
        <w:rPr>
          <w:rFonts w:ascii="Arial Narrow" w:hAnsi="Arial Narrow" w:cs="Arial"/>
          <w:sz w:val="24"/>
          <w:szCs w:val="24"/>
        </w:rPr>
        <w:t xml:space="preserve"> налага на държавите-членки задължението да приемат специфични законодателни разпоредби, за да гарантират, че членовете на специален преговарящ екип или Европейския съвет за работниците, представителите на работниците, работещи по процедурата на информиране и консултиране на служители, и подкрепящи експерти не са упълномощени да разкриват информация</w:t>
      </w:r>
      <w:r w:rsidR="003F75EC" w:rsidRPr="0021617C">
        <w:rPr>
          <w:rFonts w:ascii="Arial Narrow" w:hAnsi="Arial Narrow" w:cs="Arial"/>
          <w:sz w:val="24"/>
          <w:szCs w:val="24"/>
          <w:lang w:val="bg-BG"/>
        </w:rPr>
        <w:t xml:space="preserve"> която им е</w:t>
      </w:r>
      <w:r w:rsidRPr="0021617C">
        <w:rPr>
          <w:rFonts w:ascii="Arial Narrow" w:hAnsi="Arial Narrow" w:cs="Arial"/>
          <w:sz w:val="24"/>
          <w:szCs w:val="24"/>
        </w:rPr>
        <w:t>, предоставена</w:t>
      </w:r>
      <w:r w:rsidR="003F75EC" w:rsidRPr="0021617C">
        <w:rPr>
          <w:rFonts w:ascii="Arial Narrow" w:hAnsi="Arial Narrow" w:cs="Arial"/>
          <w:sz w:val="24"/>
          <w:szCs w:val="24"/>
          <w:lang w:val="bg-BG"/>
        </w:rPr>
        <w:t xml:space="preserve"> – тя е</w:t>
      </w:r>
      <w:r w:rsidRPr="0021617C">
        <w:rPr>
          <w:rFonts w:ascii="Arial Narrow" w:hAnsi="Arial Narrow" w:cs="Arial"/>
          <w:sz w:val="24"/>
          <w:szCs w:val="24"/>
        </w:rPr>
        <w:t xml:space="preserve"> запазена като поверителна, т.нар клауза за конфиденциалност.</w:t>
      </w:r>
    </w:p>
    <w:p w14:paraId="4439C32E" w14:textId="77777777" w:rsidR="00D92062" w:rsidRPr="0021617C" w:rsidRDefault="00D92062" w:rsidP="00C24F93">
      <w:pPr>
        <w:spacing w:after="0" w:line="276" w:lineRule="auto"/>
        <w:ind w:left="426" w:firstLine="142"/>
        <w:jc w:val="both"/>
        <w:rPr>
          <w:rFonts w:ascii="Arial Narrow" w:hAnsi="Arial Narrow" w:cs="Arial"/>
          <w:sz w:val="24"/>
          <w:szCs w:val="24"/>
          <w:shd w:val="clear" w:color="auto" w:fill="FFFFFF"/>
        </w:rPr>
      </w:pPr>
    </w:p>
    <w:p w14:paraId="77019E77" w14:textId="097D3898" w:rsidR="00AE2181" w:rsidRPr="0021617C" w:rsidRDefault="00AE2181" w:rsidP="00C24F93">
      <w:pPr>
        <w:pStyle w:val="Normalny1"/>
        <w:shd w:val="clear" w:color="auto" w:fill="FFFFFF"/>
        <w:spacing w:before="0" w:beforeAutospacing="0" w:after="0" w:afterAutospacing="0" w:line="276" w:lineRule="auto"/>
        <w:ind w:left="426"/>
        <w:jc w:val="both"/>
        <w:rPr>
          <w:rFonts w:ascii="Arial Narrow" w:hAnsi="Arial Narrow" w:cs="Arial"/>
        </w:rPr>
      </w:pPr>
      <w:r w:rsidRPr="0021617C">
        <w:rPr>
          <w:rFonts w:ascii="Arial Narrow" w:hAnsi="Arial Narrow" w:cs="Arial"/>
        </w:rPr>
        <w:t xml:space="preserve">Това задължение се прилага независимо от това къде се намират, дори след изтичане на мандата им. Централното </w:t>
      </w:r>
      <w:r w:rsidR="003F75EC" w:rsidRPr="0021617C">
        <w:rPr>
          <w:rFonts w:ascii="Arial Narrow" w:hAnsi="Arial Narrow" w:cs="Arial"/>
          <w:lang w:val="bg-BG"/>
        </w:rPr>
        <w:t>ръководство</w:t>
      </w:r>
      <w:r w:rsidRPr="0021617C">
        <w:rPr>
          <w:rFonts w:ascii="Arial Narrow" w:hAnsi="Arial Narrow" w:cs="Arial"/>
        </w:rPr>
        <w:t xml:space="preserve"> може да съкрати периода на поверителност.</w:t>
      </w:r>
    </w:p>
    <w:p w14:paraId="14292482" w14:textId="6794C1E1" w:rsidR="00AE2181" w:rsidRPr="0021617C" w:rsidRDefault="00AE2181" w:rsidP="00C24F93">
      <w:pPr>
        <w:pStyle w:val="Normalny1"/>
        <w:shd w:val="clear" w:color="auto" w:fill="FFFFFF"/>
        <w:spacing w:after="0" w:line="276" w:lineRule="auto"/>
        <w:ind w:left="426"/>
        <w:jc w:val="both"/>
        <w:rPr>
          <w:rFonts w:ascii="Arial Narrow" w:hAnsi="Arial Narrow" w:cs="Arial"/>
        </w:rPr>
      </w:pPr>
      <w:r w:rsidRPr="0021617C">
        <w:rPr>
          <w:rFonts w:ascii="Arial Narrow" w:hAnsi="Arial Narrow" w:cs="Arial"/>
        </w:rPr>
        <w:t>Буквалното формулиране на разпоредбата може да доведе до заключението, че задължението за поверителност може да се прилага за цялата информация</w:t>
      </w:r>
      <w:r w:rsidR="003F75EC" w:rsidRPr="0021617C">
        <w:rPr>
          <w:rFonts w:ascii="Arial Narrow" w:hAnsi="Arial Narrow" w:cs="Arial"/>
          <w:lang w:val="bg-BG"/>
        </w:rPr>
        <w:t xml:space="preserve">,предоставяна </w:t>
      </w:r>
      <w:r w:rsidRPr="0021617C">
        <w:rPr>
          <w:rFonts w:ascii="Arial Narrow" w:hAnsi="Arial Narrow" w:cs="Arial"/>
        </w:rPr>
        <w:t>на ЕРС</w:t>
      </w:r>
      <w:r w:rsidR="003F75EC" w:rsidRPr="0021617C">
        <w:rPr>
          <w:rFonts w:ascii="Arial Narrow" w:hAnsi="Arial Narrow" w:cs="Arial"/>
          <w:lang w:val="bg-BG"/>
        </w:rPr>
        <w:t xml:space="preserve">. На практика може да </w:t>
      </w:r>
      <w:r w:rsidRPr="0021617C">
        <w:rPr>
          <w:rFonts w:ascii="Arial Narrow" w:hAnsi="Arial Narrow" w:cs="Arial"/>
        </w:rPr>
        <w:t xml:space="preserve">се твърди, че е поверителна, независимо от </w:t>
      </w:r>
      <w:r w:rsidR="003F75EC" w:rsidRPr="0021617C">
        <w:rPr>
          <w:rFonts w:ascii="Arial Narrow" w:hAnsi="Arial Narrow" w:cs="Arial"/>
          <w:lang w:val="bg-BG"/>
        </w:rPr>
        <w:t xml:space="preserve">нейното </w:t>
      </w:r>
      <w:r w:rsidRPr="0021617C">
        <w:rPr>
          <w:rFonts w:ascii="Arial Narrow" w:hAnsi="Arial Narrow" w:cs="Arial"/>
        </w:rPr>
        <w:t>естество.</w:t>
      </w:r>
    </w:p>
    <w:p w14:paraId="096A4AA6" w14:textId="78FC063F" w:rsidR="00AE2181" w:rsidRPr="0021617C" w:rsidRDefault="00AE2181" w:rsidP="00C24F93">
      <w:pPr>
        <w:pStyle w:val="Normalny1"/>
        <w:shd w:val="clear" w:color="auto" w:fill="FFFFFF"/>
        <w:spacing w:after="0" w:line="276" w:lineRule="auto"/>
        <w:ind w:left="426"/>
        <w:jc w:val="both"/>
        <w:rPr>
          <w:rFonts w:ascii="Arial Narrow" w:hAnsi="Arial Narrow" w:cs="Arial"/>
        </w:rPr>
      </w:pPr>
      <w:r w:rsidRPr="0021617C">
        <w:rPr>
          <w:rFonts w:ascii="Arial Narrow" w:hAnsi="Arial Narrow" w:cs="Arial"/>
        </w:rPr>
        <w:t xml:space="preserve">Съдържанието на.параграф 3 </w:t>
      </w:r>
      <w:r w:rsidR="003F75EC" w:rsidRPr="0021617C">
        <w:rPr>
          <w:rFonts w:ascii="Arial Narrow" w:hAnsi="Arial Narrow" w:cs="Arial"/>
          <w:lang w:val="bg-BG"/>
        </w:rPr>
        <w:t xml:space="preserve">от </w:t>
      </w:r>
      <w:r w:rsidRPr="0021617C">
        <w:rPr>
          <w:rFonts w:ascii="Arial Narrow" w:hAnsi="Arial Narrow" w:cs="Arial"/>
        </w:rPr>
        <w:t>Директи</w:t>
      </w:r>
      <w:r w:rsidR="00C24F93">
        <w:rPr>
          <w:rFonts w:ascii="Arial Narrow" w:hAnsi="Arial Narrow" w:cs="Arial"/>
          <w:lang w:val="bg-BG"/>
        </w:rPr>
        <w:t>ата за</w:t>
      </w:r>
      <w:r w:rsidRPr="0021617C">
        <w:rPr>
          <w:rFonts w:ascii="Arial Narrow" w:hAnsi="Arial Narrow" w:cs="Arial"/>
        </w:rPr>
        <w:t xml:space="preserve"> ЕРС, налага задължение на държавите-членки да определят административната или съдебната процедура, която да се следва от представителите на служителите, в случаите, когато централното управление разчита на поверителността на информацията. Целта на тази разпоредба е да предотврати ситуаци</w:t>
      </w:r>
      <w:r w:rsidR="003F75EC" w:rsidRPr="0021617C">
        <w:rPr>
          <w:rFonts w:ascii="Arial Narrow" w:hAnsi="Arial Narrow" w:cs="Arial"/>
          <w:lang w:val="bg-BG"/>
        </w:rPr>
        <w:t>я</w:t>
      </w:r>
      <w:r w:rsidRPr="0021617C">
        <w:rPr>
          <w:rFonts w:ascii="Arial Narrow" w:hAnsi="Arial Narrow" w:cs="Arial"/>
        </w:rPr>
        <w:t>, при която централното управление запазва цялата информация или голяма част от нея, без действителна нужда, с клауза за конфиденциалност.</w:t>
      </w:r>
    </w:p>
    <w:p w14:paraId="4DBE775A" w14:textId="4701B2E3" w:rsidR="00AE2181" w:rsidRPr="0021617C" w:rsidRDefault="00AE2181" w:rsidP="00326637">
      <w:pPr>
        <w:pStyle w:val="Normalny1"/>
        <w:shd w:val="clear" w:color="auto" w:fill="FFFFFF"/>
        <w:spacing w:before="0" w:beforeAutospacing="0" w:after="0" w:afterAutospacing="0" w:line="276" w:lineRule="auto"/>
        <w:ind w:left="426"/>
        <w:jc w:val="both"/>
        <w:rPr>
          <w:rFonts w:ascii="Arial Narrow" w:hAnsi="Arial Narrow" w:cs="Arial"/>
        </w:rPr>
      </w:pPr>
      <w:r w:rsidRPr="0021617C">
        <w:rPr>
          <w:rFonts w:ascii="Arial Narrow" w:hAnsi="Arial Narrow" w:cs="Arial"/>
        </w:rPr>
        <w:t>Съдържанието на двете цитирани разпоредби позволява да се направи изводът, че информацията, която може да бъде обхваната от клаузата за поверителност</w:t>
      </w:r>
      <w:r w:rsidR="003F75EC" w:rsidRPr="0021617C">
        <w:rPr>
          <w:rFonts w:ascii="Arial Narrow" w:hAnsi="Arial Narrow" w:cs="Arial"/>
          <w:lang w:val="bg-BG"/>
        </w:rPr>
        <w:t xml:space="preserve"> е</w:t>
      </w:r>
      <w:r w:rsidRPr="0021617C">
        <w:rPr>
          <w:rFonts w:ascii="Arial Narrow" w:hAnsi="Arial Narrow" w:cs="Arial"/>
        </w:rPr>
        <w:t xml:space="preserve"> информация, която едновременно отговаря на две условия: тя ще бъде поверителна и ще бъде допълнително предоставена на членовете на ЕРС при спазване на нейната поверителност.</w:t>
      </w:r>
    </w:p>
    <w:p w14:paraId="1EF5A89D" w14:textId="77777777" w:rsidR="00D92062" w:rsidRPr="0021617C" w:rsidRDefault="00D92062" w:rsidP="00C24F93">
      <w:pPr>
        <w:pStyle w:val="Normalny1"/>
        <w:shd w:val="clear" w:color="auto" w:fill="FFFFFF"/>
        <w:spacing w:before="0" w:beforeAutospacing="0" w:after="0" w:afterAutospacing="0" w:line="276" w:lineRule="auto"/>
        <w:ind w:left="426" w:firstLine="142"/>
        <w:jc w:val="both"/>
        <w:rPr>
          <w:rFonts w:ascii="Arial Narrow" w:hAnsi="Arial Narrow" w:cs="Arial"/>
        </w:rPr>
      </w:pPr>
    </w:p>
    <w:p w14:paraId="51525E9C" w14:textId="761E6287" w:rsidR="00E945A4" w:rsidRPr="0021617C" w:rsidRDefault="003F75EC" w:rsidP="00326637">
      <w:pPr>
        <w:pStyle w:val="Normalny1"/>
        <w:shd w:val="clear" w:color="auto" w:fill="FFFFFF"/>
        <w:spacing w:after="0" w:line="276" w:lineRule="auto"/>
        <w:ind w:left="426"/>
        <w:jc w:val="both"/>
        <w:rPr>
          <w:rFonts w:ascii="Arial Narrow" w:hAnsi="Arial Narrow" w:cs="Arial"/>
        </w:rPr>
      </w:pPr>
      <w:r w:rsidRPr="0021617C">
        <w:rPr>
          <w:rFonts w:ascii="Arial Narrow" w:hAnsi="Arial Narrow" w:cs="Arial"/>
          <w:lang w:val="bg-BG"/>
        </w:rPr>
        <w:t>Член</w:t>
      </w:r>
      <w:r w:rsidR="00E945A4" w:rsidRPr="0021617C">
        <w:rPr>
          <w:rFonts w:ascii="Arial Narrow" w:hAnsi="Arial Narrow" w:cs="Arial"/>
          <w:lang w:val="bg-BG"/>
        </w:rPr>
        <w:t>.</w:t>
      </w:r>
      <w:r w:rsidR="00E945A4" w:rsidRPr="0021617C">
        <w:rPr>
          <w:rFonts w:ascii="Arial Narrow" w:hAnsi="Arial Narrow" w:cs="Arial"/>
        </w:rPr>
        <w:t>8</w:t>
      </w:r>
      <w:r w:rsidR="00326637">
        <w:rPr>
          <w:rFonts w:ascii="Arial Narrow" w:hAnsi="Arial Narrow" w:cs="Arial"/>
          <w:lang w:val="bg-BG"/>
        </w:rPr>
        <w:t xml:space="preserve"> точка </w:t>
      </w:r>
      <w:r w:rsidR="00E945A4" w:rsidRPr="0021617C">
        <w:rPr>
          <w:rFonts w:ascii="Arial Narrow" w:hAnsi="Arial Narrow" w:cs="Arial"/>
        </w:rPr>
        <w:t>2 Директивата също така налага на държавите-членки задължението да гарантират, че в специфични случаи и в съответствие с условията и ограниченията, установени в националното законодателство, централното управление, разположено на нейната територия, не се изисква да предоставя информация от специфично естество, т.е. такава, че според обективни критерии, те биха нарушили или биха били вредни за съответните предприятия. Държава</w:t>
      </w:r>
      <w:r w:rsidRPr="0021617C">
        <w:rPr>
          <w:rFonts w:ascii="Arial Narrow" w:hAnsi="Arial Narrow" w:cs="Arial"/>
          <w:lang w:val="bg-BG"/>
        </w:rPr>
        <w:t>та</w:t>
      </w:r>
      <w:r w:rsidR="00E945A4" w:rsidRPr="0021617C">
        <w:rPr>
          <w:rFonts w:ascii="Arial Narrow" w:hAnsi="Arial Narrow" w:cs="Arial"/>
        </w:rPr>
        <w:t xml:space="preserve">-членка може да направи </w:t>
      </w:r>
      <w:r w:rsidRPr="0021617C">
        <w:rPr>
          <w:rFonts w:ascii="Arial Narrow" w:hAnsi="Arial Narrow" w:cs="Arial"/>
          <w:lang w:val="bg-BG"/>
        </w:rPr>
        <w:t>подобно</w:t>
      </w:r>
      <w:r w:rsidR="00E945A4" w:rsidRPr="0021617C">
        <w:rPr>
          <w:rFonts w:ascii="Arial Narrow" w:hAnsi="Arial Narrow" w:cs="Arial"/>
        </w:rPr>
        <w:t xml:space="preserve"> освобождаване да подлежи на предварително административно или съдебно разрешение. Важно е да се подчертае, че Директивата </w:t>
      </w:r>
      <w:r w:rsidR="00326637">
        <w:rPr>
          <w:rFonts w:ascii="Arial Narrow" w:hAnsi="Arial Narrow" w:cs="Arial"/>
          <w:lang w:val="bg-BG"/>
        </w:rPr>
        <w:t>з</w:t>
      </w:r>
      <w:r w:rsidR="00E945A4" w:rsidRPr="0021617C">
        <w:rPr>
          <w:rFonts w:ascii="Arial Narrow" w:hAnsi="Arial Narrow" w:cs="Arial"/>
        </w:rPr>
        <w:t>а ЕРС пред</w:t>
      </w:r>
      <w:r w:rsidRPr="0021617C">
        <w:rPr>
          <w:rFonts w:ascii="Arial Narrow" w:hAnsi="Arial Narrow" w:cs="Arial"/>
          <w:lang w:val="bg-BG"/>
        </w:rPr>
        <w:t>полага</w:t>
      </w:r>
      <w:r w:rsidR="00E945A4" w:rsidRPr="0021617C">
        <w:rPr>
          <w:rFonts w:ascii="Arial Narrow" w:hAnsi="Arial Narrow" w:cs="Arial"/>
        </w:rPr>
        <w:t>, че непредставянето на горната информация трябва да се обуславя от получаването на съответното разрешение, но тази държава трябва да приеме това условие.</w:t>
      </w:r>
    </w:p>
    <w:p w14:paraId="60045CC3" w14:textId="3CFF3F82" w:rsidR="00E945A4" w:rsidRPr="0021617C" w:rsidRDefault="00E945A4" w:rsidP="00326637">
      <w:pPr>
        <w:pStyle w:val="Normalny1"/>
        <w:shd w:val="clear" w:color="auto" w:fill="FFFFFF"/>
        <w:spacing w:before="0" w:beforeAutospacing="0" w:after="0" w:afterAutospacing="0" w:line="276" w:lineRule="auto"/>
        <w:ind w:left="426"/>
        <w:jc w:val="both"/>
        <w:rPr>
          <w:rFonts w:ascii="Arial Narrow" w:hAnsi="Arial Narrow" w:cs="Arial"/>
        </w:rPr>
      </w:pPr>
      <w:r w:rsidRPr="0021617C">
        <w:rPr>
          <w:rFonts w:ascii="Arial Narrow" w:hAnsi="Arial Narrow" w:cs="Arial"/>
        </w:rPr>
        <w:lastRenderedPageBreak/>
        <w:t xml:space="preserve">Също в случай на информация от особен характер, </w:t>
      </w:r>
      <w:r w:rsidR="0021617C" w:rsidRPr="0021617C">
        <w:rPr>
          <w:rFonts w:ascii="Arial Narrow" w:hAnsi="Arial Narrow" w:cs="Arial"/>
          <w:lang w:val="bg-BG"/>
        </w:rPr>
        <w:t xml:space="preserve">Член </w:t>
      </w:r>
      <w:r w:rsidRPr="0021617C">
        <w:rPr>
          <w:rFonts w:ascii="Arial Narrow" w:hAnsi="Arial Narrow" w:cs="Arial"/>
        </w:rPr>
        <w:t>11 параграф 2 от Директивата за ЕРС предвижда механизъм за контрол, който налага на държавите-членки задължението да установят административна или съдебна процедура, която да им позволи да изпълняват задълженията, произтичащи от Директивата за ЕРС. С други думи, процедура, позволяваща на съда или разпореждащия орган да получи решение, с което разпорежда несъобщавана информация в случай, че няма действителни основания централният управителен съвет да се откаже от задължението си за предоставяне на информация.</w:t>
      </w:r>
    </w:p>
    <w:p w14:paraId="226799BB" w14:textId="77777777" w:rsidR="00AC6A88" w:rsidRPr="0021617C" w:rsidRDefault="00AC6A88" w:rsidP="00C24F93">
      <w:pPr>
        <w:pStyle w:val="Normalny1"/>
        <w:shd w:val="clear" w:color="auto" w:fill="FFFFFF"/>
        <w:spacing w:before="0" w:beforeAutospacing="0" w:after="0" w:afterAutospacing="0" w:line="276" w:lineRule="auto"/>
        <w:ind w:left="426" w:firstLine="142"/>
        <w:jc w:val="both"/>
        <w:rPr>
          <w:rFonts w:ascii="Arial Narrow" w:hAnsi="Arial Narrow" w:cs="Arial"/>
        </w:rPr>
      </w:pPr>
    </w:p>
    <w:p w14:paraId="7B815C31" w14:textId="0F1F518A" w:rsidR="00922B2A" w:rsidRPr="0021617C" w:rsidRDefault="005C4B4E" w:rsidP="00326637">
      <w:pPr>
        <w:pStyle w:val="Normalny1"/>
        <w:shd w:val="clear" w:color="auto" w:fill="FFFFFF"/>
        <w:spacing w:before="0" w:beforeAutospacing="0" w:after="0" w:afterAutospacing="0" w:line="276" w:lineRule="auto"/>
        <w:ind w:left="426"/>
        <w:jc w:val="both"/>
        <w:rPr>
          <w:rFonts w:ascii="Arial Narrow" w:hAnsi="Arial Narrow" w:cs="Arial"/>
        </w:rPr>
      </w:pPr>
      <w:r w:rsidRPr="0021617C">
        <w:rPr>
          <w:rFonts w:ascii="Arial Narrow" w:hAnsi="Arial Narrow" w:cs="Arial"/>
        </w:rPr>
        <w:t xml:space="preserve">Директивата </w:t>
      </w:r>
      <w:r w:rsidR="00326637">
        <w:rPr>
          <w:rFonts w:ascii="Arial Narrow" w:hAnsi="Arial Narrow" w:cs="Arial"/>
          <w:lang w:val="bg-BG"/>
        </w:rPr>
        <w:t>з</w:t>
      </w:r>
      <w:r w:rsidRPr="0021617C">
        <w:rPr>
          <w:rFonts w:ascii="Arial Narrow" w:hAnsi="Arial Narrow" w:cs="Arial"/>
        </w:rPr>
        <w:t>а ЕРС, като европейски акт, който не се прилага пряко, е внедрена в индивидуални правни разпореждания от националните разпоредби. Следователно начинът на прилагане на горните разпоредби на Директивата за ЕРС може да се различава в отделните държави. Например, разпоредбите на полския акт от 5 април 2002 г. относно европейските работнически съвети (консолидиран текст, сп. „Закон на 2012 г.“, точка 1146, изменен), по-нататък: Законът за ЕРС, не предвиждат механизъм, който прави предоставянето на информация от специален характер зависи от предварително получаване от централното ръководство на съответното съгласие. Със сигурност липсата на такова решение значително отслабва достъпа на EWC до информация.</w:t>
      </w:r>
      <w:r w:rsidR="00922B2A" w:rsidRPr="0021617C">
        <w:rPr>
          <w:rFonts w:ascii="Arial Narrow" w:hAnsi="Arial Narrow" w:cs="Arial"/>
        </w:rPr>
        <w:t xml:space="preserve"> </w:t>
      </w:r>
    </w:p>
    <w:p w14:paraId="2CBACC06" w14:textId="77777777" w:rsidR="00922B2A" w:rsidRPr="0021617C" w:rsidRDefault="00922B2A" w:rsidP="00C24F93">
      <w:pPr>
        <w:pStyle w:val="Normalny1"/>
        <w:shd w:val="clear" w:color="auto" w:fill="FFFFFF"/>
        <w:spacing w:before="0" w:beforeAutospacing="0" w:after="0" w:afterAutospacing="0" w:line="276" w:lineRule="auto"/>
        <w:ind w:left="426" w:firstLine="142"/>
        <w:jc w:val="both"/>
        <w:rPr>
          <w:rFonts w:ascii="Arial Narrow" w:hAnsi="Arial Narrow" w:cs="Arial"/>
        </w:rPr>
      </w:pPr>
    </w:p>
    <w:p w14:paraId="7D535F7E" w14:textId="77777777" w:rsidR="00326637" w:rsidRDefault="001D3001" w:rsidP="00326637">
      <w:pPr>
        <w:pStyle w:val="Normalny1"/>
        <w:shd w:val="clear" w:color="auto" w:fill="FFFFFF"/>
        <w:spacing w:before="0" w:beforeAutospacing="0" w:after="0" w:afterAutospacing="0" w:line="276" w:lineRule="auto"/>
        <w:ind w:left="426" w:hanging="142"/>
        <w:jc w:val="center"/>
        <w:rPr>
          <w:rFonts w:ascii="Arial Narrow" w:hAnsi="Arial Narrow" w:cs="Arial"/>
          <w:b/>
          <w:bCs/>
        </w:rPr>
      </w:pPr>
      <w:r w:rsidRPr="00326637">
        <w:rPr>
          <w:rFonts w:ascii="Arial Narrow" w:hAnsi="Arial Narrow" w:cs="Arial"/>
          <w:b/>
          <w:bCs/>
        </w:rPr>
        <w:t xml:space="preserve">Информация, която не е обхваната от клаузата за поверителност </w:t>
      </w:r>
    </w:p>
    <w:p w14:paraId="1531BE5A" w14:textId="17F06B5C" w:rsidR="001D3001" w:rsidRPr="00326637" w:rsidRDefault="001D3001" w:rsidP="00326637">
      <w:pPr>
        <w:pStyle w:val="Normalny1"/>
        <w:shd w:val="clear" w:color="auto" w:fill="FFFFFF"/>
        <w:spacing w:before="0" w:beforeAutospacing="0" w:after="0" w:afterAutospacing="0" w:line="276" w:lineRule="auto"/>
        <w:ind w:left="426" w:hanging="142"/>
        <w:jc w:val="center"/>
        <w:rPr>
          <w:rFonts w:ascii="Arial Narrow" w:hAnsi="Arial Narrow" w:cs="Arial"/>
          <w:b/>
          <w:bCs/>
        </w:rPr>
      </w:pPr>
      <w:r w:rsidRPr="00326637">
        <w:rPr>
          <w:rFonts w:ascii="Arial Narrow" w:hAnsi="Arial Narrow" w:cs="Arial"/>
          <w:b/>
          <w:bCs/>
        </w:rPr>
        <w:t>по смисъла на Директивата за ЕРС</w:t>
      </w:r>
    </w:p>
    <w:p w14:paraId="306030B4" w14:textId="77777777" w:rsidR="001D3001" w:rsidRPr="0021617C" w:rsidRDefault="001D3001" w:rsidP="00326637">
      <w:pPr>
        <w:pStyle w:val="Normalny1"/>
        <w:shd w:val="clear" w:color="auto" w:fill="FFFFFF"/>
        <w:spacing w:after="0" w:line="276" w:lineRule="auto"/>
        <w:ind w:left="426"/>
        <w:jc w:val="both"/>
        <w:rPr>
          <w:rFonts w:ascii="Arial Narrow" w:hAnsi="Arial Narrow" w:cs="Arial"/>
        </w:rPr>
      </w:pPr>
      <w:r w:rsidRPr="0021617C">
        <w:rPr>
          <w:rFonts w:ascii="Arial Narrow" w:hAnsi="Arial Narrow" w:cs="Arial"/>
        </w:rPr>
        <w:t>Директивата предоставя редица насоки за определяне каква информация е обхваната от клаузата за конфиденциалност. Следвайки ги, ще се опитаме да определим каква информация не е или не трябва да бъде обхваната от клаузата за конфиденциалност.</w:t>
      </w:r>
    </w:p>
    <w:p w14:paraId="75393118" w14:textId="77777777" w:rsidR="001D3001" w:rsidRPr="0021617C" w:rsidRDefault="001D3001" w:rsidP="00326637">
      <w:pPr>
        <w:pStyle w:val="Normalny1"/>
        <w:shd w:val="clear" w:color="auto" w:fill="FFFFFF"/>
        <w:spacing w:after="0" w:line="276" w:lineRule="auto"/>
        <w:ind w:left="426"/>
        <w:jc w:val="both"/>
        <w:rPr>
          <w:rFonts w:ascii="Arial Narrow" w:hAnsi="Arial Narrow" w:cs="Arial"/>
        </w:rPr>
      </w:pPr>
      <w:r w:rsidRPr="0021617C">
        <w:rPr>
          <w:rFonts w:ascii="Arial Narrow" w:hAnsi="Arial Narrow" w:cs="Arial"/>
        </w:rPr>
        <w:t>Тъй като забраната за оповестяване обхваща информация, предоставена на ЕРС, която е поверителна и е запазена като поверителна,</w:t>
      </w:r>
      <w:r w:rsidR="0086374A" w:rsidRPr="0021617C">
        <w:rPr>
          <w:rFonts w:ascii="Arial Narrow" w:hAnsi="Arial Narrow" w:cs="Arial"/>
          <w:lang w:val="bg-BG"/>
        </w:rPr>
        <w:t xml:space="preserve"> </w:t>
      </w:r>
      <w:r w:rsidRPr="0021617C">
        <w:rPr>
          <w:rFonts w:ascii="Arial Narrow" w:hAnsi="Arial Narrow" w:cs="Arial"/>
        </w:rPr>
        <w:t>информация, за която членовете на ЕРС не са били съобщени и която членовете на ЕРС са получили по друг законен начин, няма да бъде забранена.</w:t>
      </w:r>
    </w:p>
    <w:p w14:paraId="37E1CBA9" w14:textId="046AC3CA" w:rsidR="001D3001" w:rsidRPr="0021617C" w:rsidRDefault="001D3001" w:rsidP="00326637">
      <w:pPr>
        <w:pStyle w:val="Normalny1"/>
        <w:shd w:val="clear" w:color="auto" w:fill="FFFFFF"/>
        <w:spacing w:after="0" w:line="276" w:lineRule="auto"/>
        <w:ind w:left="426"/>
        <w:jc w:val="both"/>
        <w:rPr>
          <w:rFonts w:ascii="Arial Narrow" w:hAnsi="Arial Narrow" w:cs="Arial"/>
        </w:rPr>
      </w:pPr>
      <w:r w:rsidRPr="0021617C">
        <w:rPr>
          <w:rFonts w:ascii="Arial Narrow" w:hAnsi="Arial Narrow" w:cs="Arial"/>
        </w:rPr>
        <w:t>Клаузата за поверителност също няма да се прилага за данни</w:t>
      </w:r>
      <w:r w:rsidR="001E7A9D">
        <w:rPr>
          <w:rFonts w:ascii="Arial Narrow" w:hAnsi="Arial Narrow" w:cs="Arial"/>
          <w:lang w:val="bg-BG"/>
        </w:rPr>
        <w:t>те</w:t>
      </w:r>
      <w:r w:rsidRPr="0021617C">
        <w:rPr>
          <w:rFonts w:ascii="Arial Narrow" w:hAnsi="Arial Narrow" w:cs="Arial"/>
        </w:rPr>
        <w:t xml:space="preserve">, които са поверителни, но за които не е </w:t>
      </w:r>
      <w:r w:rsidR="001E7A9D">
        <w:rPr>
          <w:rFonts w:ascii="Arial Narrow" w:hAnsi="Arial Narrow" w:cs="Arial"/>
          <w:lang w:val="bg-BG"/>
        </w:rPr>
        <w:t>посочена</w:t>
      </w:r>
      <w:r w:rsidRPr="0021617C">
        <w:rPr>
          <w:rFonts w:ascii="Arial Narrow" w:hAnsi="Arial Narrow" w:cs="Arial"/>
        </w:rPr>
        <w:t xml:space="preserve"> клауза за конфиденциалност. Трябва обаче да се помни, че забраната за разкриване на тази информация може да произтича от </w:t>
      </w:r>
      <w:r w:rsidR="001E7A9D">
        <w:rPr>
          <w:rFonts w:ascii="Arial Narrow" w:hAnsi="Arial Narrow" w:cs="Arial"/>
          <w:lang w:val="bg-BG"/>
        </w:rPr>
        <w:t>някои други</w:t>
      </w:r>
      <w:r w:rsidRPr="0021617C">
        <w:rPr>
          <w:rFonts w:ascii="Arial Narrow" w:hAnsi="Arial Narrow" w:cs="Arial"/>
        </w:rPr>
        <w:t xml:space="preserve"> разпоредби.</w:t>
      </w:r>
    </w:p>
    <w:p w14:paraId="6C4ED2AE" w14:textId="77777777" w:rsidR="001D3001" w:rsidRPr="0021617C" w:rsidRDefault="001D3001" w:rsidP="00326637">
      <w:pPr>
        <w:pStyle w:val="Normalny1"/>
        <w:shd w:val="clear" w:color="auto" w:fill="FFFFFF"/>
        <w:spacing w:after="0" w:line="276" w:lineRule="auto"/>
        <w:ind w:left="426"/>
        <w:jc w:val="both"/>
        <w:rPr>
          <w:rFonts w:ascii="Arial Narrow" w:hAnsi="Arial Narrow" w:cs="Arial"/>
        </w:rPr>
      </w:pPr>
      <w:r w:rsidRPr="0021617C">
        <w:rPr>
          <w:rFonts w:ascii="Arial Narrow" w:hAnsi="Arial Narrow" w:cs="Arial"/>
        </w:rPr>
        <w:t>Разкриването не трябва да се разширява до информация, която е предоставена на членовете на ЕРС с клауза за поверителност, която обаче не е поверителна информация, например обществено достъпна или която е загубила статуса на поверителност. В този случай обаче решението на компетентния орган или съд може да бъде решаващо, освобождаващо от задължението за запазване на поверителна информация.</w:t>
      </w:r>
    </w:p>
    <w:p w14:paraId="26F55792" w14:textId="77777777" w:rsidR="001D3001" w:rsidRPr="0021617C" w:rsidRDefault="001D3001" w:rsidP="00326637">
      <w:pPr>
        <w:pStyle w:val="Normalny1"/>
        <w:shd w:val="clear" w:color="auto" w:fill="FFFFFF"/>
        <w:spacing w:after="0" w:line="276" w:lineRule="auto"/>
        <w:ind w:left="426"/>
        <w:jc w:val="both"/>
        <w:rPr>
          <w:rFonts w:ascii="Arial Narrow" w:hAnsi="Arial Narrow" w:cs="Arial"/>
        </w:rPr>
      </w:pPr>
      <w:r w:rsidRPr="0021617C">
        <w:rPr>
          <w:rFonts w:ascii="Arial Narrow" w:hAnsi="Arial Narrow" w:cs="Arial"/>
        </w:rPr>
        <w:t>Националното законодателство играе важна роля за определяне на обхвата на поверителната информация, което може да въведе допълнителни условия, при които информацията трябва да бъде предмет на клаузата за конфиденциалност.</w:t>
      </w:r>
    </w:p>
    <w:p w14:paraId="2D2D4758" w14:textId="16D884C5" w:rsidR="001D3001" w:rsidRPr="0021617C" w:rsidRDefault="001D3001" w:rsidP="00326637">
      <w:pPr>
        <w:pStyle w:val="Normalny1"/>
        <w:shd w:val="clear" w:color="auto" w:fill="FFFFFF"/>
        <w:spacing w:after="0" w:line="276" w:lineRule="auto"/>
        <w:ind w:left="426"/>
        <w:jc w:val="both"/>
        <w:rPr>
          <w:rFonts w:ascii="Arial Narrow" w:hAnsi="Arial Narrow" w:cs="Arial"/>
        </w:rPr>
      </w:pPr>
      <w:r w:rsidRPr="0021617C">
        <w:rPr>
          <w:rFonts w:ascii="Arial Narrow" w:hAnsi="Arial Narrow" w:cs="Arial"/>
        </w:rPr>
        <w:t xml:space="preserve">Например полският закон за </w:t>
      </w:r>
      <w:r w:rsidR="00326637">
        <w:rPr>
          <w:rFonts w:ascii="Arial Narrow" w:hAnsi="Arial Narrow" w:cs="Arial"/>
          <w:lang w:val="bg-BG"/>
        </w:rPr>
        <w:t xml:space="preserve">учредяване на </w:t>
      </w:r>
      <w:r w:rsidRPr="0021617C">
        <w:rPr>
          <w:rFonts w:ascii="Arial Narrow" w:hAnsi="Arial Narrow" w:cs="Arial"/>
        </w:rPr>
        <w:t>ЕРС предвижда, че клаузата за конфиденциалност може да обхваща само информация, получена във връзка с изпълняваната функция, съставляваща търговска тайна, за която централното ръководство е запазило задължение за поверителност.</w:t>
      </w:r>
    </w:p>
    <w:p w14:paraId="3D16C380" w14:textId="77777777" w:rsidR="001D3001" w:rsidRPr="0021617C" w:rsidRDefault="001D3001" w:rsidP="00326637">
      <w:pPr>
        <w:pStyle w:val="Normalny1"/>
        <w:shd w:val="clear" w:color="auto" w:fill="FFFFFF"/>
        <w:spacing w:before="0" w:beforeAutospacing="0" w:after="0" w:afterAutospacing="0" w:line="276" w:lineRule="auto"/>
        <w:ind w:left="426"/>
        <w:jc w:val="both"/>
        <w:rPr>
          <w:rFonts w:ascii="Arial Narrow" w:hAnsi="Arial Narrow" w:cs="Arial"/>
        </w:rPr>
      </w:pPr>
      <w:r w:rsidRPr="0021617C">
        <w:rPr>
          <w:rFonts w:ascii="Arial Narrow" w:hAnsi="Arial Narrow" w:cs="Arial"/>
        </w:rPr>
        <w:lastRenderedPageBreak/>
        <w:t>В този случай клаузата за поверителност не може да бъде разширена до информация, която е законно получена по друг начин, без никаква връзка с участието в ЕРС. Поверителността може също да не се прилага за информация, която не е бизнес тайна.</w:t>
      </w:r>
    </w:p>
    <w:p w14:paraId="2D56D8BF" w14:textId="77777777" w:rsidR="00156171" w:rsidRPr="0021617C" w:rsidRDefault="00156171" w:rsidP="00C24F93">
      <w:pPr>
        <w:pStyle w:val="Normalny1"/>
        <w:shd w:val="clear" w:color="auto" w:fill="FFFFFF"/>
        <w:spacing w:before="0" w:beforeAutospacing="0" w:after="0" w:afterAutospacing="0" w:line="276" w:lineRule="auto"/>
        <w:ind w:left="426" w:firstLine="142"/>
        <w:jc w:val="both"/>
        <w:rPr>
          <w:rFonts w:ascii="Arial Narrow" w:hAnsi="Arial Narrow" w:cs="Arial"/>
        </w:rPr>
      </w:pPr>
    </w:p>
    <w:p w14:paraId="77C5E9A8" w14:textId="77777777" w:rsidR="001D3001" w:rsidRPr="001E7A9D" w:rsidRDefault="001D3001" w:rsidP="00C24F93">
      <w:pPr>
        <w:pStyle w:val="ti-art"/>
        <w:shd w:val="clear" w:color="auto" w:fill="FFFFFF"/>
        <w:spacing w:before="0" w:beforeAutospacing="0" w:after="0" w:afterAutospacing="0" w:line="276" w:lineRule="auto"/>
        <w:ind w:left="426" w:firstLine="142"/>
        <w:jc w:val="center"/>
        <w:rPr>
          <w:rFonts w:ascii="Arial Narrow" w:hAnsi="Arial Narrow" w:cs="Arial"/>
          <w:b/>
          <w:bCs/>
        </w:rPr>
      </w:pPr>
      <w:r w:rsidRPr="001E7A9D">
        <w:rPr>
          <w:rFonts w:ascii="Arial Narrow" w:hAnsi="Arial Narrow" w:cs="Arial"/>
          <w:b/>
          <w:bCs/>
        </w:rPr>
        <w:t>Предоставяне на информация на националните организации</w:t>
      </w:r>
    </w:p>
    <w:p w14:paraId="7EA1BCCD" w14:textId="77777777" w:rsidR="00E10D79" w:rsidRPr="0021617C" w:rsidRDefault="00E10D79" w:rsidP="00C24F93">
      <w:pPr>
        <w:pStyle w:val="ti-art"/>
        <w:shd w:val="clear" w:color="auto" w:fill="FFFFFF"/>
        <w:spacing w:before="0" w:beforeAutospacing="0" w:after="0" w:afterAutospacing="0" w:line="276" w:lineRule="auto"/>
        <w:ind w:left="426" w:firstLine="142"/>
        <w:jc w:val="both"/>
        <w:rPr>
          <w:rFonts w:ascii="Arial Narrow" w:hAnsi="Arial Narrow" w:cs="Arial"/>
        </w:rPr>
      </w:pPr>
    </w:p>
    <w:p w14:paraId="1DD4FE89" w14:textId="20961228" w:rsidR="001D3001" w:rsidRPr="0021617C" w:rsidRDefault="001D3001" w:rsidP="00326637">
      <w:pPr>
        <w:shd w:val="clear" w:color="auto" w:fill="FFFFFF"/>
        <w:spacing w:after="0"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Член 10 2 от Директивата за ЕРС, упълномощава членовете на Европейския съвет да информират представителите на служителите на работните места или предприятията, принадлежащи към групата дружества с общностен обхват, или - при липса на представители - цялото количество служители относно съдържанието и резултатите от режима на информация и консултации, използван в съответствие с разпоредбите на Директивата за ЕРС. Тази разпоредба следва да се чете в светлината на съображение 33, че за да могат да упражняват изцяло своите представителни функции и да гарантират пригодността на Европейския работнически съвет, представителите на работниците трябва да докладват на служителите, които представляват.</w:t>
      </w:r>
      <w:r w:rsidR="0086374A" w:rsidRPr="0021617C">
        <w:rPr>
          <w:rFonts w:ascii="Arial Narrow" w:eastAsia="Times New Roman" w:hAnsi="Arial Narrow" w:cs="Arial"/>
          <w:sz w:val="24"/>
          <w:szCs w:val="24"/>
          <w:lang w:val="bg-BG" w:eastAsia="pl-PL"/>
        </w:rPr>
        <w:t xml:space="preserve"> </w:t>
      </w:r>
      <w:r w:rsidRPr="0021617C">
        <w:rPr>
          <w:rFonts w:ascii="Arial Narrow" w:eastAsia="Times New Roman" w:hAnsi="Arial Narrow" w:cs="Arial"/>
          <w:sz w:val="24"/>
          <w:szCs w:val="24"/>
          <w:lang w:eastAsia="pl-PL"/>
        </w:rPr>
        <w:t xml:space="preserve">Разпоредбата на </w:t>
      </w:r>
      <w:r w:rsidR="001E7A9D">
        <w:rPr>
          <w:rFonts w:ascii="Arial Narrow" w:eastAsia="Times New Roman" w:hAnsi="Arial Narrow" w:cs="Arial"/>
          <w:sz w:val="24"/>
          <w:szCs w:val="24"/>
          <w:lang w:val="bg-BG" w:eastAsia="pl-PL"/>
        </w:rPr>
        <w:t>Член</w:t>
      </w:r>
      <w:r w:rsidRPr="0021617C">
        <w:rPr>
          <w:rFonts w:ascii="Arial Narrow" w:eastAsia="Times New Roman" w:hAnsi="Arial Narrow" w:cs="Arial"/>
          <w:sz w:val="24"/>
          <w:szCs w:val="24"/>
          <w:lang w:eastAsia="pl-PL"/>
        </w:rPr>
        <w:t xml:space="preserve">. 10 </w:t>
      </w:r>
      <w:r w:rsidR="00326637">
        <w:rPr>
          <w:rFonts w:ascii="Arial Narrow" w:eastAsia="Times New Roman" w:hAnsi="Arial Narrow" w:cs="Arial"/>
          <w:sz w:val="24"/>
          <w:szCs w:val="24"/>
          <w:lang w:val="bg-BG" w:eastAsia="pl-PL"/>
        </w:rPr>
        <w:t>точка</w:t>
      </w:r>
      <w:r w:rsidRPr="0021617C">
        <w:rPr>
          <w:rFonts w:ascii="Arial Narrow" w:eastAsia="Times New Roman" w:hAnsi="Arial Narrow" w:cs="Arial"/>
          <w:sz w:val="24"/>
          <w:szCs w:val="24"/>
          <w:lang w:eastAsia="pl-PL"/>
        </w:rPr>
        <w:t xml:space="preserve"> 2 от Директивата за ЕРС обаче въвежда резерва, че информирането на представители на работниците и служителите може да не нарушава разпоредбите на чл. 8 относно поверителната информация. С други думи, от членовете на ЕРС могат или дори се очаква да предоставят на представителите на работниците на работното място информация за съдържанието и резултатите от режима на информация и консултации, с изключение на информация, за която е запазена клауза за конфиденциалност.</w:t>
      </w:r>
    </w:p>
    <w:p w14:paraId="0F357D34" w14:textId="77777777" w:rsidR="001D3001" w:rsidRPr="0021617C" w:rsidRDefault="001D3001" w:rsidP="00C24F93">
      <w:pPr>
        <w:shd w:val="clear" w:color="auto" w:fill="FFFFFF"/>
        <w:spacing w:after="0" w:line="276" w:lineRule="auto"/>
        <w:ind w:left="426" w:firstLine="142"/>
        <w:jc w:val="both"/>
        <w:rPr>
          <w:rFonts w:ascii="Arial Narrow" w:eastAsia="Times New Roman" w:hAnsi="Arial Narrow" w:cs="Arial"/>
          <w:sz w:val="24"/>
          <w:szCs w:val="24"/>
          <w:lang w:eastAsia="pl-PL"/>
        </w:rPr>
      </w:pPr>
    </w:p>
    <w:p w14:paraId="1210E68C" w14:textId="77777777" w:rsidR="001D3001" w:rsidRPr="0021617C" w:rsidRDefault="001D3001" w:rsidP="00326637">
      <w:pPr>
        <w:shd w:val="clear" w:color="auto" w:fill="FFFFFF"/>
        <w:spacing w:after="0"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Социалните партньори в споразумението за създаване на ЕРС могат да определят обхвата на поверителната информация. Не е в интерес на ЕРС този обхват да бъде формулиран твърде широко.</w:t>
      </w:r>
    </w:p>
    <w:p w14:paraId="2D69343F" w14:textId="77777777" w:rsidR="00BA3361" w:rsidRPr="0021617C" w:rsidRDefault="00BA3361" w:rsidP="00C24F93">
      <w:pPr>
        <w:shd w:val="clear" w:color="auto" w:fill="FFFFFF"/>
        <w:spacing w:after="0" w:line="276" w:lineRule="auto"/>
        <w:ind w:left="426" w:firstLine="142"/>
        <w:jc w:val="center"/>
        <w:rPr>
          <w:rFonts w:ascii="Arial Narrow" w:eastAsia="Times New Roman" w:hAnsi="Arial Narrow" w:cs="Arial"/>
          <w:sz w:val="24"/>
          <w:szCs w:val="24"/>
          <w:lang w:eastAsia="pl-PL"/>
        </w:rPr>
      </w:pPr>
    </w:p>
    <w:p w14:paraId="38060EE2" w14:textId="77777777" w:rsidR="00287014" w:rsidRPr="001E7A9D" w:rsidRDefault="00287014" w:rsidP="00C24F93">
      <w:pPr>
        <w:shd w:val="clear" w:color="auto" w:fill="FFFFFF"/>
        <w:spacing w:after="0" w:line="276" w:lineRule="auto"/>
        <w:ind w:left="426" w:firstLine="142"/>
        <w:jc w:val="center"/>
        <w:rPr>
          <w:rFonts w:ascii="Arial Narrow" w:eastAsia="Times New Roman" w:hAnsi="Arial Narrow" w:cs="Arial"/>
          <w:b/>
          <w:bCs/>
          <w:sz w:val="24"/>
          <w:szCs w:val="24"/>
          <w:lang w:eastAsia="pl-PL"/>
        </w:rPr>
      </w:pPr>
      <w:r w:rsidRPr="001E7A9D">
        <w:rPr>
          <w:rFonts w:ascii="Arial Narrow" w:eastAsia="Times New Roman" w:hAnsi="Arial Narrow" w:cs="Arial"/>
          <w:b/>
          <w:bCs/>
          <w:sz w:val="24"/>
          <w:szCs w:val="24"/>
          <w:lang w:eastAsia="pl-PL"/>
        </w:rPr>
        <w:t>Клауза за поверителност в споразумението относно подробните начини за информиране и консултиране на служителите</w:t>
      </w:r>
    </w:p>
    <w:p w14:paraId="5B75BE34" w14:textId="77777777" w:rsidR="00E10D79" w:rsidRPr="001E7A9D" w:rsidRDefault="00E10D79" w:rsidP="00C24F93">
      <w:pPr>
        <w:shd w:val="clear" w:color="auto" w:fill="FFFFFF"/>
        <w:spacing w:after="0" w:line="276" w:lineRule="auto"/>
        <w:ind w:left="426" w:firstLine="142"/>
        <w:jc w:val="both"/>
        <w:rPr>
          <w:rFonts w:ascii="Arial Narrow" w:eastAsia="Times New Roman" w:hAnsi="Arial Narrow" w:cs="Arial"/>
          <w:b/>
          <w:bCs/>
          <w:sz w:val="24"/>
          <w:szCs w:val="24"/>
          <w:lang w:eastAsia="pl-PL"/>
        </w:rPr>
      </w:pPr>
    </w:p>
    <w:p w14:paraId="4F0EC361" w14:textId="77777777" w:rsidR="00287014" w:rsidRPr="0021617C" w:rsidRDefault="00287014" w:rsidP="00326637">
      <w:pPr>
        <w:shd w:val="clear" w:color="auto" w:fill="FFFFFF"/>
        <w:spacing w:after="0"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Европейският законодател и националните законодатели основават модела на информиране на служителите в транснационални предприятия въз основа на автономията на страните.</w:t>
      </w:r>
    </w:p>
    <w:p w14:paraId="046A4F10" w14:textId="77777777" w:rsidR="00287014" w:rsidRPr="0021617C" w:rsidRDefault="00287014" w:rsidP="00326637">
      <w:pPr>
        <w:shd w:val="clear" w:color="auto" w:fill="FFFFFF"/>
        <w:spacing w:after="0"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В споразумението за подробни начини за информиране и консултиране на служителите, по-долу; Споразумението за ЕРС може да регулира подробно различни въпроси, включително тези относно поверителността на информацията. Споразумението за ЕРС може да съдържа дефиниция на поверителна информация, правила относно поверителността или продължителността на такава клауза.</w:t>
      </w:r>
    </w:p>
    <w:p w14:paraId="7D67BEB9" w14:textId="77777777" w:rsidR="00287014" w:rsidRPr="0021617C" w:rsidRDefault="00287014" w:rsidP="00326637">
      <w:pPr>
        <w:shd w:val="clear" w:color="auto" w:fill="FFFFFF"/>
        <w:spacing w:after="0"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В някои споразумения на ЕРС поверителната информация е много широко дефинирана, например едно от споразуменията на ЕРС включва такова определение за поверителна информация: Поверителна информация е всяка информация, която е била маркирана като поверителна от централното ръководство и на която са били членове или експерти на ЕРС. централното управление устно или писмено уведомява за поверителния си характер.</w:t>
      </w:r>
    </w:p>
    <w:p w14:paraId="100CBBF7" w14:textId="1E2EB4F0" w:rsidR="00287014" w:rsidRPr="0021617C" w:rsidRDefault="00287014" w:rsidP="00326637">
      <w:pPr>
        <w:shd w:val="clear" w:color="auto" w:fill="FFFFFF"/>
        <w:spacing w:after="0"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 xml:space="preserve">Посоченото определение е почти буквално повторение на съдържанието на </w:t>
      </w:r>
      <w:r w:rsidR="00745A09">
        <w:rPr>
          <w:rFonts w:ascii="Arial Narrow" w:eastAsia="Times New Roman" w:hAnsi="Arial Narrow" w:cs="Arial"/>
          <w:sz w:val="24"/>
          <w:szCs w:val="24"/>
          <w:lang w:val="bg-BG" w:eastAsia="pl-PL"/>
        </w:rPr>
        <w:t>Член</w:t>
      </w:r>
      <w:r w:rsidRPr="0021617C">
        <w:rPr>
          <w:rFonts w:ascii="Arial Narrow" w:eastAsia="Times New Roman" w:hAnsi="Arial Narrow" w:cs="Arial"/>
          <w:sz w:val="24"/>
          <w:szCs w:val="24"/>
          <w:lang w:eastAsia="pl-PL"/>
        </w:rPr>
        <w:t xml:space="preserve">. 8 </w:t>
      </w:r>
      <w:r w:rsidR="00745A09">
        <w:rPr>
          <w:rFonts w:ascii="Arial Narrow" w:eastAsia="Times New Roman" w:hAnsi="Arial Narrow" w:cs="Arial"/>
          <w:sz w:val="24"/>
          <w:szCs w:val="24"/>
          <w:lang w:val="bg-BG" w:eastAsia="pl-PL"/>
        </w:rPr>
        <w:t>алинея</w:t>
      </w:r>
      <w:r w:rsidRPr="0021617C">
        <w:rPr>
          <w:rFonts w:ascii="Arial Narrow" w:eastAsia="Times New Roman" w:hAnsi="Arial Narrow" w:cs="Arial"/>
          <w:sz w:val="24"/>
          <w:szCs w:val="24"/>
          <w:lang w:eastAsia="pl-PL"/>
        </w:rPr>
        <w:t xml:space="preserve"> 1 </w:t>
      </w:r>
      <w:r w:rsidR="00745A09">
        <w:rPr>
          <w:rFonts w:ascii="Arial Narrow" w:eastAsia="Times New Roman" w:hAnsi="Arial Narrow" w:cs="Arial"/>
          <w:sz w:val="24"/>
          <w:szCs w:val="24"/>
          <w:lang w:val="bg-BG" w:eastAsia="pl-PL"/>
        </w:rPr>
        <w:t xml:space="preserve">на </w:t>
      </w:r>
      <w:r w:rsidRPr="0021617C">
        <w:rPr>
          <w:rFonts w:ascii="Arial Narrow" w:eastAsia="Times New Roman" w:hAnsi="Arial Narrow" w:cs="Arial"/>
          <w:sz w:val="24"/>
          <w:szCs w:val="24"/>
          <w:lang w:eastAsia="pl-PL"/>
        </w:rPr>
        <w:t>Директиви</w:t>
      </w:r>
      <w:r w:rsidR="00745A09">
        <w:rPr>
          <w:rFonts w:ascii="Arial Narrow" w:eastAsia="Times New Roman" w:hAnsi="Arial Narrow" w:cs="Arial"/>
          <w:sz w:val="24"/>
          <w:szCs w:val="24"/>
          <w:lang w:val="bg-BG" w:eastAsia="pl-PL"/>
        </w:rPr>
        <w:t>те</w:t>
      </w:r>
      <w:r w:rsidRPr="0021617C">
        <w:rPr>
          <w:rFonts w:ascii="Arial Narrow" w:eastAsia="Times New Roman" w:hAnsi="Arial Narrow" w:cs="Arial"/>
          <w:sz w:val="24"/>
          <w:szCs w:val="24"/>
          <w:lang w:eastAsia="pl-PL"/>
        </w:rPr>
        <w:t xml:space="preserve"> за ЕРС, без да се вземат предвид целите и другите разпоредби на Директивата за ЕРС.</w:t>
      </w:r>
    </w:p>
    <w:p w14:paraId="5393B6D7" w14:textId="77777777" w:rsidR="00287014" w:rsidRPr="0021617C" w:rsidRDefault="00287014" w:rsidP="00326637">
      <w:pPr>
        <w:shd w:val="clear" w:color="auto" w:fill="FFFFFF"/>
        <w:spacing w:after="0"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 xml:space="preserve">Посоченото определение за поверителна информация позволява да се признае като поверителна информация и включва конфиденциалност също така информация, която в светлината на </w:t>
      </w:r>
      <w:r w:rsidRPr="0021617C">
        <w:rPr>
          <w:rFonts w:ascii="Arial Narrow" w:eastAsia="Times New Roman" w:hAnsi="Arial Narrow" w:cs="Arial"/>
          <w:sz w:val="24"/>
          <w:szCs w:val="24"/>
          <w:lang w:eastAsia="pl-PL"/>
        </w:rPr>
        <w:lastRenderedPageBreak/>
        <w:t>разпоредбите на закона или фактите в момента няма характеристиките на поверителност, например, която няма икономическа стойност или чиято конфиденциалност няма законен интерес на компанията.</w:t>
      </w:r>
    </w:p>
    <w:p w14:paraId="22120137" w14:textId="77777777" w:rsidR="00287014" w:rsidRPr="0021617C" w:rsidRDefault="00287014" w:rsidP="00326637">
      <w:pPr>
        <w:shd w:val="clear" w:color="auto" w:fill="FFFFFF"/>
        <w:spacing w:after="0"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Определянето на поверителна информация твърде широко не е добра практика, тъй като може да парализира дейностите на ЕРС и да попречи на практическото изпълнение на целта на директивата да предоставя информация на националните синдикални организации.</w:t>
      </w:r>
    </w:p>
    <w:p w14:paraId="5C5916E2" w14:textId="77777777" w:rsidR="00287014" w:rsidRPr="0021617C" w:rsidRDefault="00287014" w:rsidP="00326637">
      <w:pPr>
        <w:shd w:val="clear" w:color="auto" w:fill="FFFFFF"/>
        <w:spacing w:after="0"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Договорният обхват на дефиницията на поверителна информация следва също да бъде взет предвид при формулирането на разпоредби за санкции в Споразумението за ЕРС за неразрешено използване или разкриване на поверителна информация на неоторизирани лица от членове на ЕРС. Колкото по-широко е определението за поверителна информация в Споразумението за ЕРС, толкова по-голям е обхватът и рискът от отговорност, което не е благоприятно за членовете на борда.</w:t>
      </w:r>
    </w:p>
    <w:p w14:paraId="60CFC54D" w14:textId="77777777" w:rsidR="00287014" w:rsidRPr="0021617C" w:rsidRDefault="00287014" w:rsidP="00326637">
      <w:pPr>
        <w:shd w:val="clear" w:color="auto" w:fill="FFFFFF"/>
        <w:spacing w:after="0"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Препоръчително е споразумението за ЕРС да съдържа разпоредби относно принципите за обвързване на информация и консултации с ЕРС и националните органи, представляващи служители.</w:t>
      </w:r>
    </w:p>
    <w:p w14:paraId="1DD0F5B7" w14:textId="77777777" w:rsidR="006E41EC" w:rsidRPr="0021617C" w:rsidRDefault="00287014" w:rsidP="00326637">
      <w:pPr>
        <w:shd w:val="clear" w:color="auto" w:fill="FFFFFF"/>
        <w:spacing w:after="0"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Споразумението би могло да включва клауза, указваща момента, в който клаузата за конфиденциалност престава да съществува, например, че клаузата за конфиденциалност продължава след прекратяването на мандата, докато информацията не бъде публикувана.</w:t>
      </w:r>
    </w:p>
    <w:p w14:paraId="746F1FAE" w14:textId="77777777" w:rsidR="000A01E6" w:rsidRPr="0021617C" w:rsidRDefault="000A01E6" w:rsidP="00C24F93">
      <w:pPr>
        <w:shd w:val="clear" w:color="auto" w:fill="FFFFFF"/>
        <w:spacing w:after="0" w:line="276" w:lineRule="auto"/>
        <w:ind w:left="426" w:firstLine="142"/>
        <w:jc w:val="both"/>
        <w:rPr>
          <w:rFonts w:ascii="Arial Narrow" w:eastAsia="Times New Roman" w:hAnsi="Arial Narrow" w:cs="Arial"/>
          <w:sz w:val="24"/>
          <w:szCs w:val="24"/>
          <w:lang w:eastAsia="pl-PL"/>
        </w:rPr>
      </w:pPr>
    </w:p>
    <w:p w14:paraId="661F4ADF" w14:textId="77777777" w:rsidR="00BF6651" w:rsidRPr="001E7A9D" w:rsidRDefault="00BF6651" w:rsidP="00C24F93">
      <w:pPr>
        <w:shd w:val="clear" w:color="auto" w:fill="FFFFFF"/>
        <w:spacing w:after="0" w:line="276" w:lineRule="auto"/>
        <w:ind w:left="426" w:firstLine="142"/>
        <w:jc w:val="both"/>
        <w:rPr>
          <w:rFonts w:ascii="Arial Narrow" w:eastAsia="Times New Roman" w:hAnsi="Arial Narrow" w:cs="Arial"/>
          <w:b/>
          <w:bCs/>
          <w:sz w:val="24"/>
          <w:szCs w:val="24"/>
          <w:lang w:val="bg-BG" w:eastAsia="pl-PL"/>
        </w:rPr>
      </w:pPr>
      <w:r w:rsidRPr="001E7A9D">
        <w:rPr>
          <w:rFonts w:ascii="Arial Narrow" w:eastAsia="Times New Roman" w:hAnsi="Arial Narrow" w:cs="Arial"/>
          <w:b/>
          <w:bCs/>
          <w:sz w:val="24"/>
          <w:szCs w:val="24"/>
          <w:lang w:val="bg-BG" w:eastAsia="pl-PL"/>
        </w:rPr>
        <w:t>С</w:t>
      </w:r>
      <w:r w:rsidRPr="001E7A9D">
        <w:rPr>
          <w:rFonts w:ascii="Arial Narrow" w:eastAsia="Times New Roman" w:hAnsi="Arial Narrow" w:cs="Arial"/>
          <w:b/>
          <w:bCs/>
          <w:sz w:val="24"/>
          <w:szCs w:val="24"/>
          <w:lang w:eastAsia="pl-PL"/>
        </w:rPr>
        <w:t>анкции</w:t>
      </w:r>
      <w:r w:rsidRPr="001E7A9D">
        <w:rPr>
          <w:rFonts w:ascii="Arial Narrow" w:eastAsia="Times New Roman" w:hAnsi="Arial Narrow" w:cs="Arial"/>
          <w:b/>
          <w:bCs/>
          <w:sz w:val="24"/>
          <w:szCs w:val="24"/>
          <w:lang w:val="bg-BG" w:eastAsia="pl-PL"/>
        </w:rPr>
        <w:t>:</w:t>
      </w:r>
    </w:p>
    <w:p w14:paraId="5988462B" w14:textId="77777777" w:rsidR="009E20E0" w:rsidRPr="0021617C" w:rsidRDefault="009E20E0" w:rsidP="00326637">
      <w:pPr>
        <w:pStyle w:val="Normalny1"/>
        <w:shd w:val="clear" w:color="auto" w:fill="FFFFFF"/>
        <w:spacing w:after="0" w:line="276" w:lineRule="auto"/>
        <w:ind w:left="426"/>
        <w:jc w:val="both"/>
        <w:rPr>
          <w:rFonts w:ascii="Arial Narrow" w:hAnsi="Arial Narrow" w:cs="Arial"/>
        </w:rPr>
      </w:pPr>
      <w:r w:rsidRPr="0021617C">
        <w:rPr>
          <w:rFonts w:ascii="Arial Narrow" w:hAnsi="Arial Narrow" w:cs="Arial"/>
        </w:rPr>
        <w:t>В съображение 36 от Директивата за ЕРС се посочва, че в съответствие с общите принципи на общностното право административните или съдебните процедури, както и санкциите, които са ефективни, възпиращи и пропорционални на тежестта на престъплението, следва да се прилагат в случай на нарушение на задълженията, произтичащи от Директивата за ЕРС.</w:t>
      </w:r>
    </w:p>
    <w:p w14:paraId="5BF8D4CF" w14:textId="762B733A" w:rsidR="009E20E0" w:rsidRPr="0021617C" w:rsidRDefault="009E20E0" w:rsidP="00326637">
      <w:pPr>
        <w:pStyle w:val="Normalny1"/>
        <w:shd w:val="clear" w:color="auto" w:fill="FFFFFF"/>
        <w:spacing w:after="0" w:line="276" w:lineRule="auto"/>
        <w:ind w:left="426"/>
        <w:jc w:val="both"/>
        <w:rPr>
          <w:rFonts w:ascii="Arial Narrow" w:hAnsi="Arial Narrow" w:cs="Arial"/>
        </w:rPr>
      </w:pPr>
      <w:r w:rsidRPr="0021617C">
        <w:rPr>
          <w:rFonts w:ascii="Arial Narrow" w:hAnsi="Arial Narrow" w:cs="Arial"/>
        </w:rPr>
        <w:t xml:space="preserve">Директивата </w:t>
      </w:r>
      <w:r w:rsidR="00326637">
        <w:rPr>
          <w:rFonts w:ascii="Arial Narrow" w:hAnsi="Arial Narrow" w:cs="Arial"/>
          <w:lang w:val="bg-BG"/>
        </w:rPr>
        <w:t>з</w:t>
      </w:r>
      <w:r w:rsidRPr="0021617C">
        <w:rPr>
          <w:rFonts w:ascii="Arial Narrow" w:hAnsi="Arial Narrow" w:cs="Arial"/>
        </w:rPr>
        <w:t>а ЕРС не предоставя допълнителни насоки относно санкциите, произтичащи от нарушения на директивата за ЕРС, като оставя подробно регулиране на държавите-членки.</w:t>
      </w:r>
    </w:p>
    <w:p w14:paraId="7408E655" w14:textId="25503351" w:rsidR="009E20E0" w:rsidRPr="0021617C" w:rsidRDefault="009E20E0" w:rsidP="00326637">
      <w:pPr>
        <w:pStyle w:val="Normalny1"/>
        <w:shd w:val="clear" w:color="auto" w:fill="FFFFFF"/>
        <w:spacing w:after="0" w:line="276" w:lineRule="auto"/>
        <w:ind w:left="426"/>
        <w:jc w:val="both"/>
        <w:rPr>
          <w:rFonts w:ascii="Arial Narrow" w:hAnsi="Arial Narrow" w:cs="Arial"/>
        </w:rPr>
      </w:pPr>
      <w:r w:rsidRPr="0021617C">
        <w:rPr>
          <w:rFonts w:ascii="Arial Narrow" w:hAnsi="Arial Narrow" w:cs="Arial"/>
        </w:rPr>
        <w:t xml:space="preserve">Някои държави-членки не се ангажираха да санкционират практиката да не предоставят информация на членовете на ЕРС или да злоупотребяват с клаузи за конфиденциалност, ограничавайки се до установяване на процедура за контрол на поверителността (независимо дали информацията, обхваната от клаузата за конфиденциалност, всъщност е поверителна информация) и разпореждат разкриване на информация, ако тя не е оповестена. информация при обстоятелствата, посочени в чл. 11 </w:t>
      </w:r>
      <w:r w:rsidR="00326637">
        <w:rPr>
          <w:rFonts w:ascii="Arial Narrow" w:hAnsi="Arial Narrow" w:cs="Arial"/>
          <w:lang w:val="bg-BG"/>
        </w:rPr>
        <w:t>точка</w:t>
      </w:r>
      <w:r w:rsidRPr="0021617C">
        <w:rPr>
          <w:rFonts w:ascii="Arial Narrow" w:hAnsi="Arial Narrow" w:cs="Arial"/>
        </w:rPr>
        <w:t xml:space="preserve"> 2</w:t>
      </w:r>
      <w:r w:rsidR="00326637">
        <w:rPr>
          <w:rFonts w:ascii="Arial Narrow" w:hAnsi="Arial Narrow" w:cs="Arial"/>
          <w:lang w:val="bg-BG"/>
        </w:rPr>
        <w:t xml:space="preserve"> от Директивата за</w:t>
      </w:r>
      <w:r w:rsidRPr="0021617C">
        <w:rPr>
          <w:rFonts w:ascii="Arial Narrow" w:hAnsi="Arial Narrow" w:cs="Arial"/>
        </w:rPr>
        <w:t xml:space="preserve"> ЕРС.</w:t>
      </w:r>
    </w:p>
    <w:p w14:paraId="1479429E" w14:textId="77777777" w:rsidR="009E20E0" w:rsidRPr="0021617C" w:rsidRDefault="009E20E0" w:rsidP="002B0DFE">
      <w:pPr>
        <w:pStyle w:val="Normalny1"/>
        <w:shd w:val="clear" w:color="auto" w:fill="FFFFFF"/>
        <w:spacing w:after="0" w:line="276" w:lineRule="auto"/>
        <w:ind w:left="426"/>
        <w:jc w:val="both"/>
        <w:rPr>
          <w:rFonts w:ascii="Arial Narrow" w:hAnsi="Arial Narrow" w:cs="Arial"/>
        </w:rPr>
      </w:pPr>
      <w:r w:rsidRPr="0021617C">
        <w:rPr>
          <w:rFonts w:ascii="Arial Narrow" w:hAnsi="Arial Narrow" w:cs="Arial"/>
        </w:rPr>
        <w:t>В допълнение към разпоредбите на национално ниво, санкциите в нарушение на клаузите за конфиденциалност са включени в споразуменията за ЕРС.</w:t>
      </w:r>
    </w:p>
    <w:p w14:paraId="0AFD6511" w14:textId="77777777" w:rsidR="009E20E0" w:rsidRPr="0021617C" w:rsidRDefault="009E20E0" w:rsidP="002B0DFE">
      <w:pPr>
        <w:pStyle w:val="Normalny1"/>
        <w:shd w:val="clear" w:color="auto" w:fill="FFFFFF"/>
        <w:spacing w:after="0" w:line="276" w:lineRule="auto"/>
        <w:ind w:left="426"/>
        <w:jc w:val="both"/>
        <w:rPr>
          <w:rFonts w:ascii="Arial Narrow" w:hAnsi="Arial Narrow" w:cs="Arial"/>
        </w:rPr>
      </w:pPr>
      <w:r w:rsidRPr="0021617C">
        <w:rPr>
          <w:rFonts w:ascii="Arial Narrow" w:hAnsi="Arial Narrow" w:cs="Arial"/>
        </w:rPr>
        <w:t>Споразуменията предвиждат широк спектър от санкции, от общо обозначени административни санкции до дисциплинарни санкции (включително отстраняване от ЕРС), граждански санкции (задължение за обезщетяване на щети или заплащане на договорни санкции) и обжалване на наказателни санкции.</w:t>
      </w:r>
    </w:p>
    <w:p w14:paraId="361B0376" w14:textId="77777777" w:rsidR="009E20E0" w:rsidRPr="0021617C" w:rsidRDefault="009E20E0" w:rsidP="002B0DFE">
      <w:pPr>
        <w:pStyle w:val="Normalny1"/>
        <w:shd w:val="clear" w:color="auto" w:fill="FFFFFF"/>
        <w:spacing w:after="0" w:line="276" w:lineRule="auto"/>
        <w:ind w:left="426"/>
        <w:jc w:val="both"/>
        <w:rPr>
          <w:rFonts w:ascii="Arial Narrow" w:hAnsi="Arial Narrow" w:cs="Arial"/>
        </w:rPr>
      </w:pPr>
      <w:r w:rsidRPr="0021617C">
        <w:rPr>
          <w:rFonts w:ascii="Arial Narrow" w:hAnsi="Arial Narrow" w:cs="Arial"/>
        </w:rPr>
        <w:lastRenderedPageBreak/>
        <w:t>Поради съмненията относно допустимостта на предоставянето на поверителна информация на националните организации, Споразумението за ЕРС би могло да регулира тези принципи. Например на практика някои споразумения регулират задължението за получаване на писмено съгласие от централния съвет за прехвърляне на поверителна информация.</w:t>
      </w:r>
    </w:p>
    <w:p w14:paraId="456087E1" w14:textId="1370440F" w:rsidR="002400E0" w:rsidRDefault="002B0DFE" w:rsidP="002B0DFE">
      <w:pPr>
        <w:pStyle w:val="Normalny1"/>
        <w:shd w:val="clear" w:color="auto" w:fill="FFFFFF"/>
        <w:spacing w:before="0" w:beforeAutospacing="0" w:after="0" w:afterAutospacing="0" w:line="276" w:lineRule="auto"/>
        <w:ind w:left="426"/>
        <w:jc w:val="both"/>
        <w:rPr>
          <w:rFonts w:ascii="Arial Narrow" w:hAnsi="Arial Narrow" w:cs="Arial"/>
        </w:rPr>
      </w:pPr>
      <w:r>
        <w:rPr>
          <w:rFonts w:ascii="Arial Narrow" w:hAnsi="Arial Narrow" w:cs="Arial"/>
          <w:lang w:val="bg-BG"/>
        </w:rPr>
        <w:t>Необходимо е</w:t>
      </w:r>
      <w:r w:rsidR="009E20E0" w:rsidRPr="0021617C">
        <w:rPr>
          <w:rFonts w:ascii="Arial Narrow" w:hAnsi="Arial Narrow" w:cs="Arial"/>
        </w:rPr>
        <w:t xml:space="preserve"> си да се</w:t>
      </w:r>
      <w:r>
        <w:rPr>
          <w:rFonts w:ascii="Arial Narrow" w:hAnsi="Arial Narrow" w:cs="Arial"/>
          <w:lang w:val="bg-BG"/>
        </w:rPr>
        <w:t>предвиди в</w:t>
      </w:r>
      <w:r w:rsidR="009E20E0" w:rsidRPr="0021617C">
        <w:rPr>
          <w:rFonts w:ascii="Arial Narrow" w:hAnsi="Arial Narrow" w:cs="Arial"/>
        </w:rPr>
        <w:t xml:space="preserve"> договора </w:t>
      </w:r>
      <w:r>
        <w:rPr>
          <w:rFonts w:ascii="Arial Narrow" w:hAnsi="Arial Narrow" w:cs="Arial"/>
          <w:lang w:val="bg-BG"/>
        </w:rPr>
        <w:t xml:space="preserve">за учредяване на ЕРС </w:t>
      </w:r>
      <w:r w:rsidR="009E20E0" w:rsidRPr="0021617C">
        <w:rPr>
          <w:rFonts w:ascii="Arial Narrow" w:hAnsi="Arial Narrow" w:cs="Arial"/>
        </w:rPr>
        <w:t>създаването на екип, който да разреши по приятен начин съмненията за тълкуване или споровете, произтичащи от прилагането на договора.</w:t>
      </w:r>
      <w:r w:rsidR="00F220DF" w:rsidRPr="0021617C">
        <w:rPr>
          <w:rFonts w:ascii="Arial Narrow" w:hAnsi="Arial Narrow" w:cs="Arial"/>
        </w:rPr>
        <w:t xml:space="preserve"> </w:t>
      </w:r>
    </w:p>
    <w:p w14:paraId="233BD05B" w14:textId="48B4F6CB" w:rsidR="001E7A9D" w:rsidRDefault="001E7A9D" w:rsidP="00C24F93">
      <w:pPr>
        <w:pStyle w:val="Normalny1"/>
        <w:shd w:val="clear" w:color="auto" w:fill="FFFFFF"/>
        <w:spacing w:before="0" w:beforeAutospacing="0" w:after="0" w:afterAutospacing="0" w:line="276" w:lineRule="auto"/>
        <w:ind w:left="426" w:firstLine="142"/>
        <w:jc w:val="both"/>
        <w:rPr>
          <w:rFonts w:ascii="Arial Narrow" w:hAnsi="Arial Narrow" w:cs="Arial"/>
        </w:rPr>
      </w:pPr>
    </w:p>
    <w:p w14:paraId="616CAB60" w14:textId="77777777" w:rsidR="001E7A9D" w:rsidRPr="0021617C" w:rsidRDefault="001E7A9D" w:rsidP="00C24F93">
      <w:pPr>
        <w:pStyle w:val="Normalny1"/>
        <w:shd w:val="clear" w:color="auto" w:fill="FFFFFF"/>
        <w:spacing w:before="0" w:beforeAutospacing="0" w:after="0" w:afterAutospacing="0" w:line="276" w:lineRule="auto"/>
        <w:ind w:left="426" w:firstLine="142"/>
        <w:jc w:val="both"/>
        <w:rPr>
          <w:rFonts w:ascii="Arial Narrow" w:hAnsi="Arial Narrow" w:cs="Arial"/>
        </w:rPr>
      </w:pPr>
    </w:p>
    <w:p w14:paraId="23499D8E" w14:textId="77777777" w:rsidR="009E20E0" w:rsidRPr="0021617C" w:rsidRDefault="009E20E0" w:rsidP="00C24F93">
      <w:pPr>
        <w:pStyle w:val="Normalny1"/>
        <w:shd w:val="clear" w:color="auto" w:fill="FFFFFF"/>
        <w:spacing w:before="0" w:beforeAutospacing="0" w:after="0" w:afterAutospacing="0" w:line="276" w:lineRule="auto"/>
        <w:ind w:left="426" w:firstLine="142"/>
        <w:jc w:val="both"/>
        <w:rPr>
          <w:rFonts w:ascii="Arial Narrow" w:hAnsi="Arial Narrow" w:cs="Arial"/>
        </w:rPr>
      </w:pPr>
    </w:p>
    <w:p w14:paraId="5A2E09C1" w14:textId="1CA3EF1F" w:rsidR="005808B4" w:rsidRPr="001E7A9D" w:rsidRDefault="002B0DFE" w:rsidP="00C24F93">
      <w:pPr>
        <w:pStyle w:val="Normalny1"/>
        <w:shd w:val="clear" w:color="auto" w:fill="FFFFFF"/>
        <w:spacing w:before="0" w:beforeAutospacing="0" w:after="0" w:afterAutospacing="0" w:line="276" w:lineRule="auto"/>
        <w:ind w:left="426" w:firstLine="142"/>
        <w:jc w:val="center"/>
        <w:rPr>
          <w:rFonts w:ascii="Arial Narrow" w:hAnsi="Arial Narrow" w:cs="Arial"/>
          <w:b/>
          <w:bCs/>
        </w:rPr>
      </w:pPr>
      <w:r>
        <w:rPr>
          <w:rFonts w:ascii="Arial Narrow" w:hAnsi="Arial Narrow" w:cs="Arial"/>
          <w:b/>
          <w:bCs/>
          <w:lang w:val="bg-BG"/>
        </w:rPr>
        <w:t>Поверителността на</w:t>
      </w:r>
      <w:r w:rsidR="005808B4" w:rsidRPr="001E7A9D">
        <w:rPr>
          <w:rFonts w:ascii="Arial Narrow" w:hAnsi="Arial Narrow" w:cs="Arial"/>
          <w:b/>
          <w:bCs/>
        </w:rPr>
        <w:t xml:space="preserve"> информация</w:t>
      </w:r>
      <w:r w:rsidR="007E32E0">
        <w:rPr>
          <w:rFonts w:ascii="Arial Narrow" w:hAnsi="Arial Narrow" w:cs="Arial"/>
          <w:b/>
          <w:bCs/>
          <w:lang w:val="bg-BG"/>
        </w:rPr>
        <w:t>та</w:t>
      </w:r>
      <w:r w:rsidR="005808B4" w:rsidRPr="001E7A9D">
        <w:rPr>
          <w:rFonts w:ascii="Arial Narrow" w:hAnsi="Arial Narrow" w:cs="Arial"/>
          <w:b/>
          <w:bCs/>
        </w:rPr>
        <w:t xml:space="preserve"> в националните законодателни системи</w:t>
      </w:r>
    </w:p>
    <w:p w14:paraId="333921A8" w14:textId="77777777" w:rsidR="00AE322E" w:rsidRPr="0021617C" w:rsidRDefault="00AE322E" w:rsidP="00C24F93">
      <w:pPr>
        <w:spacing w:after="0" w:line="276" w:lineRule="auto"/>
        <w:ind w:left="426" w:firstLine="142"/>
        <w:jc w:val="center"/>
        <w:rPr>
          <w:rFonts w:ascii="Arial Narrow" w:hAnsi="Arial Narrow" w:cs="Arial"/>
          <w:sz w:val="24"/>
          <w:szCs w:val="24"/>
          <w:shd w:val="clear" w:color="auto" w:fill="FFFFFF"/>
        </w:rPr>
      </w:pPr>
    </w:p>
    <w:p w14:paraId="31CCFD21" w14:textId="77777777" w:rsidR="005808B4" w:rsidRPr="001E7A9D" w:rsidRDefault="005808B4" w:rsidP="00C24F93">
      <w:pPr>
        <w:spacing w:after="0" w:line="276" w:lineRule="auto"/>
        <w:ind w:left="426" w:firstLine="142"/>
        <w:jc w:val="both"/>
        <w:rPr>
          <w:rFonts w:ascii="Arial Narrow" w:hAnsi="Arial Narrow" w:cs="Arial"/>
          <w:b/>
          <w:bCs/>
          <w:sz w:val="24"/>
          <w:szCs w:val="24"/>
          <w:lang w:val="bg-BG"/>
        </w:rPr>
      </w:pPr>
      <w:r w:rsidRPr="001E7A9D">
        <w:rPr>
          <w:rFonts w:ascii="Arial Narrow" w:hAnsi="Arial Narrow" w:cs="Arial"/>
          <w:b/>
          <w:bCs/>
          <w:sz w:val="24"/>
          <w:szCs w:val="24"/>
        </w:rPr>
        <w:t>Бизнес тайна</w:t>
      </w:r>
      <w:r w:rsidR="0086374A" w:rsidRPr="001E7A9D">
        <w:rPr>
          <w:rFonts w:ascii="Arial Narrow" w:hAnsi="Arial Narrow" w:cs="Arial"/>
          <w:b/>
          <w:bCs/>
          <w:sz w:val="24"/>
          <w:szCs w:val="24"/>
          <w:lang w:val="bg-BG"/>
        </w:rPr>
        <w:t>:</w:t>
      </w:r>
    </w:p>
    <w:p w14:paraId="20179F53" w14:textId="77777777" w:rsidR="005808B4" w:rsidRPr="0021617C" w:rsidRDefault="005808B4" w:rsidP="007E32E0">
      <w:pPr>
        <w:spacing w:after="0" w:line="276" w:lineRule="auto"/>
        <w:ind w:left="426"/>
        <w:jc w:val="both"/>
        <w:rPr>
          <w:rFonts w:ascii="Arial Narrow" w:hAnsi="Arial Narrow" w:cs="Arial"/>
          <w:sz w:val="24"/>
          <w:szCs w:val="24"/>
        </w:rPr>
      </w:pPr>
      <w:r w:rsidRPr="0021617C">
        <w:rPr>
          <w:rFonts w:ascii="Arial Narrow" w:hAnsi="Arial Narrow" w:cs="Arial"/>
          <w:sz w:val="24"/>
          <w:szCs w:val="24"/>
        </w:rPr>
        <w:t>В зависимост от това как се прилага Директивата за ЕРС, концепцията за поверителност на информацията в отделните държави може да заема различни тематични области. Когато дефинират поверителна информация, отделните държави могат да се позовават например на фирмените тайни.</w:t>
      </w:r>
      <w:r w:rsidR="0086374A" w:rsidRPr="0021617C">
        <w:rPr>
          <w:rFonts w:ascii="Arial Narrow" w:hAnsi="Arial Narrow" w:cs="Arial"/>
          <w:sz w:val="24"/>
          <w:szCs w:val="24"/>
          <w:lang w:val="bg-BG"/>
        </w:rPr>
        <w:t xml:space="preserve"> </w:t>
      </w:r>
      <w:r w:rsidRPr="0021617C">
        <w:rPr>
          <w:rFonts w:ascii="Arial Narrow" w:hAnsi="Arial Narrow" w:cs="Arial"/>
          <w:sz w:val="24"/>
          <w:szCs w:val="24"/>
        </w:rPr>
        <w:t>Законодателят на ЕС определи търговската тайна в Директивата на Европейския парламент и на Съвета 2016/943 от 8 юни 2016 г. относно защитата на класифицирано ноу-хау и класифицирана търговска информация срещу незаконното им придобиване, използване и разкриване, по-нататък: Директивата за защита на тайните, която Полското законодателство се прилага от Закона от 16 април 1993 г. за борба с нелоялната конкуренция („Журнал на законите 2019“, точка 1010).</w:t>
      </w:r>
    </w:p>
    <w:p w14:paraId="4547FFCE" w14:textId="77777777" w:rsidR="00284B55" w:rsidRPr="0021617C" w:rsidRDefault="00284B55" w:rsidP="00C24F93">
      <w:pPr>
        <w:spacing w:after="0" w:line="276" w:lineRule="auto"/>
        <w:ind w:left="426" w:firstLine="142"/>
        <w:jc w:val="both"/>
        <w:rPr>
          <w:rFonts w:ascii="Arial Narrow" w:hAnsi="Arial Narrow" w:cs="Arial"/>
          <w:sz w:val="24"/>
          <w:szCs w:val="24"/>
        </w:rPr>
      </w:pPr>
    </w:p>
    <w:p w14:paraId="762D54B4" w14:textId="77777777" w:rsidR="00284B55" w:rsidRPr="0021617C" w:rsidRDefault="008846A9" w:rsidP="007E32E0">
      <w:pPr>
        <w:spacing w:after="0" w:line="276" w:lineRule="auto"/>
        <w:ind w:left="426"/>
        <w:jc w:val="both"/>
        <w:rPr>
          <w:rFonts w:ascii="Arial Narrow" w:hAnsi="Arial Narrow" w:cs="Arial"/>
          <w:sz w:val="24"/>
          <w:szCs w:val="24"/>
        </w:rPr>
      </w:pPr>
      <w:r w:rsidRPr="0021617C">
        <w:rPr>
          <w:rFonts w:ascii="Arial Narrow" w:hAnsi="Arial Narrow" w:cs="Arial"/>
          <w:sz w:val="24"/>
          <w:szCs w:val="24"/>
          <w:shd w:val="clear" w:color="auto" w:fill="FFFFFF"/>
        </w:rPr>
        <w:t>Съгласно съображение 18 от Директивата за поверителност придобиването, използването или разкриването на търговски тайни, когато това се изисква или разрешава от закона, следва да се считат за законосъобразни за целите на настоящата директива. Това се отнася по-специално за придобиването и разкриването на търговски тайни при упражняване на правата на представителите на служителите на информация, консултации и участие в съответствие с европейското и националното законодателство или практика, както и за колективното проучване на интересите на служителите и работодателите, включително участието в управлението на компанията, както и за придобиването или разкриването. търговски тайни в контекста на задължителните одити, извършвани в съответствие със законодателството на Съюза или националното законодателство. Подобно третиране на придобиване на търговска тайна като законно не трябва да засяга задължението за запазване на поверителността на търговската тайна или ограниченията за нейното използване, които законодателството на Съюза или националното законодателство може да наложи на получателя на информацията или лицето, което я получава.</w:t>
      </w:r>
      <w:r w:rsidR="00284B55" w:rsidRPr="0021617C">
        <w:rPr>
          <w:rFonts w:ascii="Arial Narrow" w:hAnsi="Arial Narrow" w:cs="Arial"/>
          <w:sz w:val="24"/>
          <w:szCs w:val="24"/>
          <w:shd w:val="clear" w:color="auto" w:fill="FFFFFF"/>
        </w:rPr>
        <w:t> </w:t>
      </w:r>
    </w:p>
    <w:p w14:paraId="4417798C" w14:textId="6C235304" w:rsidR="008846A9" w:rsidRPr="0021617C" w:rsidRDefault="008846A9" w:rsidP="00C24F93">
      <w:pPr>
        <w:pStyle w:val="NormalWeb"/>
        <w:shd w:val="clear" w:color="auto" w:fill="FFFFFF"/>
        <w:spacing w:after="0" w:line="276" w:lineRule="auto"/>
        <w:ind w:left="426" w:firstLine="142"/>
        <w:jc w:val="both"/>
        <w:rPr>
          <w:rFonts w:ascii="Arial Narrow" w:hAnsi="Arial Narrow" w:cs="Arial"/>
          <w:shd w:val="clear" w:color="auto" w:fill="FFFFFF"/>
        </w:rPr>
      </w:pPr>
      <w:r w:rsidRPr="0021617C">
        <w:rPr>
          <w:rFonts w:ascii="Arial Narrow" w:hAnsi="Arial Narrow" w:cs="Arial"/>
          <w:shd w:val="clear" w:color="auto" w:fill="FFFFFF"/>
        </w:rPr>
        <w:t>Член 21 от Директивата за секретността определя търговската тайна, както следва:</w:t>
      </w:r>
    </w:p>
    <w:p w14:paraId="539EC8F3" w14:textId="77777777" w:rsidR="008846A9" w:rsidRPr="0021617C" w:rsidRDefault="008846A9" w:rsidP="00C24F93">
      <w:pPr>
        <w:pStyle w:val="NormalWeb"/>
        <w:shd w:val="clear" w:color="auto" w:fill="FFFFFF"/>
        <w:spacing w:after="0" w:line="276" w:lineRule="auto"/>
        <w:ind w:left="426" w:firstLine="142"/>
        <w:jc w:val="both"/>
        <w:rPr>
          <w:rFonts w:ascii="Arial Narrow" w:hAnsi="Arial Narrow" w:cs="Arial"/>
          <w:shd w:val="clear" w:color="auto" w:fill="FFFFFF"/>
        </w:rPr>
      </w:pPr>
      <w:r w:rsidRPr="0021617C">
        <w:rPr>
          <w:rFonts w:ascii="Arial Narrow" w:hAnsi="Arial Narrow" w:cs="Arial"/>
          <w:shd w:val="clear" w:color="auto" w:fill="FFFFFF"/>
        </w:rPr>
        <w:t>(1) "търговска тайна" означава информация, която отговаря на всички от следните изисквания:</w:t>
      </w:r>
    </w:p>
    <w:p w14:paraId="0D8FEAFF" w14:textId="77777777" w:rsidR="008846A9" w:rsidRPr="0021617C" w:rsidRDefault="008846A9" w:rsidP="00C24F93">
      <w:pPr>
        <w:pStyle w:val="NormalWeb"/>
        <w:shd w:val="clear" w:color="auto" w:fill="FFFFFF"/>
        <w:spacing w:after="0" w:line="276" w:lineRule="auto"/>
        <w:ind w:left="426" w:firstLine="142"/>
        <w:jc w:val="both"/>
        <w:rPr>
          <w:rFonts w:ascii="Arial Narrow" w:hAnsi="Arial Narrow" w:cs="Arial"/>
          <w:shd w:val="clear" w:color="auto" w:fill="FFFFFF"/>
        </w:rPr>
      </w:pPr>
      <w:r w:rsidRPr="0021617C">
        <w:rPr>
          <w:rFonts w:ascii="Arial Narrow" w:hAnsi="Arial Narrow" w:cs="Arial"/>
          <w:shd w:val="clear" w:color="auto" w:fill="FFFFFF"/>
        </w:rPr>
        <w:t>а) те са поверителни по смисъла, че като цяло или в определен набор и колекция от елементи, като цяло не са известни или лесно достъпни за лица от кръговете, които обикновено се занимават с този тип информация;</w:t>
      </w:r>
    </w:p>
    <w:p w14:paraId="6536EE82" w14:textId="77777777" w:rsidR="008846A9" w:rsidRPr="0021617C" w:rsidRDefault="008846A9" w:rsidP="00C24F93">
      <w:pPr>
        <w:pStyle w:val="NormalWeb"/>
        <w:shd w:val="clear" w:color="auto" w:fill="FFFFFF"/>
        <w:spacing w:after="0" w:line="276" w:lineRule="auto"/>
        <w:ind w:left="426" w:firstLine="142"/>
        <w:jc w:val="both"/>
        <w:rPr>
          <w:rFonts w:ascii="Arial Narrow" w:hAnsi="Arial Narrow" w:cs="Arial"/>
          <w:shd w:val="clear" w:color="auto" w:fill="FFFFFF"/>
        </w:rPr>
      </w:pPr>
      <w:r w:rsidRPr="0021617C">
        <w:rPr>
          <w:rFonts w:ascii="Arial Narrow" w:hAnsi="Arial Narrow" w:cs="Arial"/>
          <w:shd w:val="clear" w:color="auto" w:fill="FFFFFF"/>
        </w:rPr>
        <w:lastRenderedPageBreak/>
        <w:t>б) имат търговска стойност, защото са обхванати от поверителност;</w:t>
      </w:r>
    </w:p>
    <w:p w14:paraId="0768E213" w14:textId="77777777" w:rsidR="008846A9" w:rsidRPr="0021617C" w:rsidRDefault="008846A9" w:rsidP="00C24F93">
      <w:pPr>
        <w:pStyle w:val="NormalWeb"/>
        <w:shd w:val="clear" w:color="auto" w:fill="FFFFFF"/>
        <w:spacing w:after="0" w:line="276" w:lineRule="auto"/>
        <w:ind w:left="426" w:firstLine="142"/>
        <w:jc w:val="both"/>
        <w:rPr>
          <w:rFonts w:ascii="Arial Narrow" w:hAnsi="Arial Narrow" w:cs="Arial"/>
          <w:shd w:val="clear" w:color="auto" w:fill="FFFFFF"/>
        </w:rPr>
      </w:pPr>
      <w:r w:rsidRPr="0021617C">
        <w:rPr>
          <w:rFonts w:ascii="Arial Narrow" w:hAnsi="Arial Narrow" w:cs="Arial"/>
          <w:shd w:val="clear" w:color="auto" w:fill="FFFFFF"/>
        </w:rPr>
        <w:t>в) те са обект на лице, което в съответствие със закона упражнява контрол върху тях на разумни мерки при техните обстоятелства, за да ги запази в тайна.</w:t>
      </w:r>
    </w:p>
    <w:p w14:paraId="5DB59525" w14:textId="2CCD304C" w:rsidR="008846A9" w:rsidRPr="0021617C" w:rsidRDefault="008846A9" w:rsidP="007E32E0">
      <w:pPr>
        <w:pStyle w:val="NormalWeb"/>
        <w:shd w:val="clear" w:color="auto" w:fill="FFFFFF"/>
        <w:spacing w:after="0" w:line="276" w:lineRule="auto"/>
        <w:ind w:left="426"/>
        <w:jc w:val="both"/>
        <w:rPr>
          <w:rFonts w:ascii="Arial Narrow" w:hAnsi="Arial Narrow" w:cs="Arial"/>
          <w:shd w:val="clear" w:color="auto" w:fill="FFFFFF"/>
        </w:rPr>
      </w:pPr>
      <w:r w:rsidRPr="0021617C">
        <w:rPr>
          <w:rFonts w:ascii="Arial Narrow" w:hAnsi="Arial Narrow" w:cs="Arial"/>
          <w:shd w:val="clear" w:color="auto" w:fill="FFFFFF"/>
        </w:rPr>
        <w:t xml:space="preserve">В съответствие с чл. 3  точка </w:t>
      </w:r>
      <w:r w:rsidR="007E32E0">
        <w:rPr>
          <w:rFonts w:ascii="Arial Narrow" w:hAnsi="Arial Narrow" w:cs="Arial"/>
          <w:shd w:val="clear" w:color="auto" w:fill="FFFFFF"/>
          <w:lang w:val="bg-BG"/>
        </w:rPr>
        <w:t>1 от Директивата</w:t>
      </w:r>
      <w:r w:rsidRPr="0021617C">
        <w:rPr>
          <w:rFonts w:ascii="Arial Narrow" w:hAnsi="Arial Narrow" w:cs="Arial"/>
          <w:shd w:val="clear" w:color="auto" w:fill="FFFFFF"/>
        </w:rPr>
        <w:t>, придобиването на търговска тайна се счита за законно, ако търговската тайна е получена чрез упражняване на правото на информация и консултации със служители или представители на служителите в съответствие с правото на ЕС и националните закони или европейските и национални практики.</w:t>
      </w:r>
    </w:p>
    <w:p w14:paraId="1A2786A8" w14:textId="77777777" w:rsidR="00062B5E" w:rsidRPr="0021617C" w:rsidRDefault="008846A9" w:rsidP="007E32E0">
      <w:pPr>
        <w:pStyle w:val="NormalWeb"/>
        <w:shd w:val="clear" w:color="auto" w:fill="FFFFFF"/>
        <w:spacing w:before="0" w:beforeAutospacing="0" w:after="0" w:afterAutospacing="0" w:line="276" w:lineRule="auto"/>
        <w:ind w:left="426"/>
        <w:jc w:val="both"/>
        <w:rPr>
          <w:rFonts w:ascii="Arial Narrow" w:hAnsi="Arial Narrow" w:cs="Arial"/>
          <w:shd w:val="clear" w:color="auto" w:fill="FFFFFF"/>
        </w:rPr>
      </w:pPr>
      <w:r w:rsidRPr="0021617C">
        <w:rPr>
          <w:rFonts w:ascii="Arial Narrow" w:hAnsi="Arial Narrow" w:cs="Arial"/>
          <w:shd w:val="clear" w:color="auto" w:fill="FFFFFF"/>
        </w:rPr>
        <w:t>Придобиването, използването или разкриването на търговска тайна се счита за законно, доколкото законодателството на Съюза или националното законодателство изисква или разрешава такова придобиване, използване или разкриване</w:t>
      </w:r>
      <w:r w:rsidR="0086374A" w:rsidRPr="0021617C">
        <w:rPr>
          <w:rFonts w:ascii="Arial Narrow" w:hAnsi="Arial Narrow" w:cs="Arial"/>
          <w:shd w:val="clear" w:color="auto" w:fill="FFFFFF"/>
          <w:lang w:val="bg-BG"/>
        </w:rPr>
        <w:t xml:space="preserve"> </w:t>
      </w:r>
      <w:r w:rsidR="00062B5E" w:rsidRPr="0021617C">
        <w:rPr>
          <w:rFonts w:ascii="Arial Narrow" w:hAnsi="Arial Narrow" w:cs="Arial"/>
          <w:shd w:val="clear" w:color="auto" w:fill="FFFFFF"/>
        </w:rPr>
        <w:t>на търговските тайни може да се различава в отделните държави поради различия в начина на прилагане на Директивата за защита на тайните.</w:t>
      </w:r>
    </w:p>
    <w:p w14:paraId="7965A92E" w14:textId="77777777" w:rsidR="00062B5E" w:rsidRPr="0021617C" w:rsidRDefault="00062B5E" w:rsidP="007E32E0">
      <w:pPr>
        <w:pStyle w:val="NormalWeb"/>
        <w:shd w:val="clear" w:color="auto" w:fill="FFFFFF"/>
        <w:spacing w:after="0" w:line="276" w:lineRule="auto"/>
        <w:ind w:left="426"/>
        <w:jc w:val="both"/>
        <w:rPr>
          <w:rFonts w:ascii="Arial Narrow" w:hAnsi="Arial Narrow" w:cs="Arial"/>
          <w:shd w:val="clear" w:color="auto" w:fill="FFFFFF"/>
        </w:rPr>
      </w:pPr>
      <w:r w:rsidRPr="0021617C">
        <w:rPr>
          <w:rFonts w:ascii="Arial Narrow" w:hAnsi="Arial Narrow" w:cs="Arial"/>
          <w:shd w:val="clear" w:color="auto" w:fill="FFFFFF"/>
        </w:rPr>
        <w:t>Също така не е възможно изчерпателно да се посочи каква информация представлява търговска тайна. Например в полското законодателство търговската тайна, каквато е била преди прилагането на Директивата за защита на секретността, е идентифицирана, както следва.</w:t>
      </w:r>
    </w:p>
    <w:p w14:paraId="4C1834DC" w14:textId="77777777" w:rsidR="00062B5E" w:rsidRPr="0021617C" w:rsidRDefault="00062B5E" w:rsidP="007E32E0">
      <w:pPr>
        <w:pStyle w:val="NormalWeb"/>
        <w:shd w:val="clear" w:color="auto" w:fill="FFFFFF"/>
        <w:spacing w:after="0" w:line="276" w:lineRule="auto"/>
        <w:ind w:left="426"/>
        <w:jc w:val="both"/>
        <w:rPr>
          <w:rFonts w:ascii="Arial Narrow" w:hAnsi="Arial Narrow" w:cs="Arial"/>
          <w:shd w:val="clear" w:color="auto" w:fill="FFFFFF"/>
        </w:rPr>
      </w:pPr>
      <w:r w:rsidRPr="0021617C">
        <w:rPr>
          <w:rFonts w:ascii="Arial Narrow" w:hAnsi="Arial Narrow" w:cs="Arial"/>
          <w:shd w:val="clear" w:color="auto" w:fill="FFFFFF"/>
        </w:rPr>
        <w:t>Някои данни, представляващи фирмена тайна, са технически или технологични, докато други включват определена информация, свързана с организацията на компанията като такава (нейната структура, документооборот, метод за изчисляване на цените, сигурност на данните и т.н.) Законното изчисление е отворен каталог.</w:t>
      </w:r>
    </w:p>
    <w:p w14:paraId="57B0AC2B" w14:textId="77777777" w:rsidR="00062B5E" w:rsidRPr="0021617C" w:rsidRDefault="00062B5E" w:rsidP="007E32E0">
      <w:pPr>
        <w:pStyle w:val="NormalWeb"/>
        <w:shd w:val="clear" w:color="auto" w:fill="FFFFFF"/>
        <w:spacing w:after="0" w:line="276" w:lineRule="auto"/>
        <w:ind w:left="426"/>
        <w:jc w:val="both"/>
        <w:rPr>
          <w:rFonts w:ascii="Arial Narrow" w:hAnsi="Arial Narrow" w:cs="Arial"/>
          <w:shd w:val="clear" w:color="auto" w:fill="FFFFFF"/>
        </w:rPr>
      </w:pPr>
      <w:r w:rsidRPr="0021617C">
        <w:rPr>
          <w:rFonts w:ascii="Arial Narrow" w:hAnsi="Arial Narrow" w:cs="Arial"/>
          <w:shd w:val="clear" w:color="auto" w:fill="FFFFFF"/>
        </w:rPr>
        <w:t>Антимонополният съд в решението от 15 октомври 1997 г., XVII Ama 1/96, "Wokanda" 1997/10, т. 55, посочени, че поверителната информация е по-специално данни, показващи обема на производството и продажбите, както и източниците на доставка и продажби.</w:t>
      </w:r>
    </w:p>
    <w:p w14:paraId="2FC9DC11" w14:textId="77777777" w:rsidR="00062B5E" w:rsidRPr="0021617C" w:rsidRDefault="00062B5E" w:rsidP="007E32E0">
      <w:pPr>
        <w:pStyle w:val="NormalWeb"/>
        <w:shd w:val="clear" w:color="auto" w:fill="FFFFFF"/>
        <w:spacing w:before="0" w:beforeAutospacing="0" w:after="0" w:afterAutospacing="0" w:line="276" w:lineRule="auto"/>
        <w:ind w:left="426"/>
        <w:jc w:val="both"/>
        <w:rPr>
          <w:rFonts w:ascii="Arial Narrow" w:hAnsi="Arial Narrow" w:cs="Arial"/>
          <w:shd w:val="clear" w:color="auto" w:fill="FFFFFF"/>
        </w:rPr>
      </w:pPr>
      <w:r w:rsidRPr="0021617C">
        <w:rPr>
          <w:rFonts w:ascii="Arial Narrow" w:hAnsi="Arial Narrow" w:cs="Arial"/>
          <w:shd w:val="clear" w:color="auto" w:fill="FFFFFF"/>
        </w:rPr>
        <w:t>Съгласно решението на Антимонополния съд във Варшава от 30.10.1996 г., XVII Amz 3/96 (LEX № 56452), тайната на компанията е данни за обема на производството и продажбите, както и източниците на доставка и продажби.</w:t>
      </w:r>
    </w:p>
    <w:p w14:paraId="6E0C47F9" w14:textId="0D8BCB05" w:rsidR="005E4CF8" w:rsidRPr="0021617C" w:rsidRDefault="005E4CF8" w:rsidP="007E32E0">
      <w:pPr>
        <w:pStyle w:val="NormalWeb"/>
        <w:shd w:val="clear" w:color="auto" w:fill="FFFFFF"/>
        <w:spacing w:after="0" w:line="276" w:lineRule="auto"/>
        <w:ind w:left="426"/>
        <w:jc w:val="both"/>
        <w:rPr>
          <w:rFonts w:ascii="Arial Narrow" w:hAnsi="Arial Narrow" w:cs="Arial"/>
          <w:shd w:val="clear" w:color="auto" w:fill="FFFFFF"/>
        </w:rPr>
      </w:pPr>
      <w:r w:rsidRPr="0021617C">
        <w:rPr>
          <w:rFonts w:ascii="Arial Narrow" w:hAnsi="Arial Narrow" w:cs="Arial"/>
          <w:shd w:val="clear" w:color="auto" w:fill="FFFFFF"/>
        </w:rPr>
        <w:t xml:space="preserve">Тайната на компанията също </w:t>
      </w:r>
      <w:r w:rsidR="007E32E0">
        <w:rPr>
          <w:rFonts w:ascii="Arial Narrow" w:hAnsi="Arial Narrow" w:cs="Arial"/>
          <w:shd w:val="clear" w:color="auto" w:fill="FFFFFF"/>
          <w:lang w:val="bg-BG"/>
        </w:rPr>
        <w:t>е посочена като</w:t>
      </w:r>
      <w:r w:rsidRPr="0021617C">
        <w:rPr>
          <w:rFonts w:ascii="Arial Narrow" w:hAnsi="Arial Narrow" w:cs="Arial"/>
          <w:shd w:val="clear" w:color="auto" w:fill="FFFFFF"/>
        </w:rPr>
        <w:t xml:space="preserve"> поверително ноу-хау, полезни и декоративни дизайни, изобретения и информация, свързани с търговски дейности. В решението на Върховния съд от 28 февруари 2007 г., V CSK 444/06, LEX № 449836, беше подчертано, inter alia, че фактът, че информацията за отделните елементи на устройството е публична, не решава за получаването на информация за продукта на поверителност от екипа.</w:t>
      </w:r>
    </w:p>
    <w:p w14:paraId="68320674" w14:textId="4B133CAD" w:rsidR="005E4CF8" w:rsidRPr="0021617C" w:rsidRDefault="005E4CF8" w:rsidP="007E32E0">
      <w:pPr>
        <w:pStyle w:val="NormalWeb"/>
        <w:shd w:val="clear" w:color="auto" w:fill="FFFFFF"/>
        <w:spacing w:after="0" w:line="276" w:lineRule="auto"/>
        <w:ind w:left="426"/>
        <w:jc w:val="both"/>
        <w:rPr>
          <w:rFonts w:ascii="Arial Narrow" w:hAnsi="Arial Narrow" w:cs="Arial"/>
          <w:shd w:val="clear" w:color="auto" w:fill="FFFFFF"/>
        </w:rPr>
      </w:pPr>
      <w:r w:rsidRPr="0021617C">
        <w:rPr>
          <w:rFonts w:ascii="Arial Narrow" w:hAnsi="Arial Narrow" w:cs="Arial"/>
          <w:shd w:val="clear" w:color="auto" w:fill="FFFFFF"/>
        </w:rPr>
        <w:t>Информацията, обхваната от поверителност, не може да бъде лесно достъпна за наблюдателите. Тайната на компанията няма да бъде информация, предоставяна на обществеността или съдържаща се в публичен регистър или в Интернет. Върховният съд в решението от 5.09.2001 г., I CKN 1159/00, OSNC 2002/5, т 67, изключ</w:t>
      </w:r>
      <w:r w:rsidR="007E32E0">
        <w:rPr>
          <w:rFonts w:ascii="Arial Narrow" w:hAnsi="Arial Narrow" w:cs="Arial"/>
          <w:shd w:val="clear" w:color="auto" w:fill="FFFFFF"/>
          <w:lang w:val="bg-BG"/>
        </w:rPr>
        <w:t>ва</w:t>
      </w:r>
      <w:r w:rsidRPr="0021617C">
        <w:rPr>
          <w:rFonts w:ascii="Arial Narrow" w:hAnsi="Arial Narrow" w:cs="Arial"/>
          <w:shd w:val="clear" w:color="auto" w:fill="FFFFFF"/>
        </w:rPr>
        <w:t xml:space="preserve"> секретността на информацията, която заинтересованото лице може да получи с обикновени и разрешени средства.</w:t>
      </w:r>
    </w:p>
    <w:p w14:paraId="622E78AA" w14:textId="77777777" w:rsidR="005E4CF8" w:rsidRPr="0021617C" w:rsidRDefault="005E4CF8" w:rsidP="007E32E0">
      <w:pPr>
        <w:pStyle w:val="NormalWeb"/>
        <w:shd w:val="clear" w:color="auto" w:fill="FFFFFF"/>
        <w:spacing w:before="0" w:beforeAutospacing="0" w:after="0" w:afterAutospacing="0" w:line="276" w:lineRule="auto"/>
        <w:ind w:left="426"/>
        <w:jc w:val="both"/>
        <w:rPr>
          <w:rFonts w:ascii="Arial Narrow" w:hAnsi="Arial Narrow" w:cs="Arial"/>
          <w:shd w:val="clear" w:color="auto" w:fill="FFFFFF"/>
        </w:rPr>
      </w:pPr>
      <w:r w:rsidRPr="0021617C">
        <w:rPr>
          <w:rFonts w:ascii="Arial Narrow" w:hAnsi="Arial Narrow" w:cs="Arial"/>
          <w:shd w:val="clear" w:color="auto" w:fill="FFFFFF"/>
        </w:rPr>
        <w:lastRenderedPageBreak/>
        <w:t>По отношение на бизнес тайните, решението за класифициране (уреждане на конфиденциалност) индивидуална информация не може да се основава само на преценката на предприемача, но трябва да се основава на разумното предположение, че съобщението все още не е било известно на обществото, че оповестяването би застрашило основните интереси на предприемача и че съобщението това може да се счита за поверително в светлината на навиците и практиките на индустрията или професията. Освен това не е възможно да се запази тайна обществено известна информация или информация за съдържанието на която дадено образувание, поради вида дейност (професия), която може да се осъществява, може да разбере по обичайния и разрешен начин. Нещо повече, непознатата досега информация губи своя таен характер и по този начин защита, когато се разпространява по начин, който позволява на всяка заинтересована страна да я прочете без съгласието на диспозитора.</w:t>
      </w:r>
    </w:p>
    <w:p w14:paraId="2BD7FA82" w14:textId="77777777" w:rsidR="002F7BA2" w:rsidRPr="0021617C" w:rsidRDefault="002F7BA2" w:rsidP="00C24F93">
      <w:pPr>
        <w:shd w:val="clear" w:color="auto" w:fill="FFFFFF"/>
        <w:spacing w:after="0" w:line="276" w:lineRule="auto"/>
        <w:ind w:left="426" w:firstLine="142"/>
        <w:jc w:val="both"/>
        <w:rPr>
          <w:rFonts w:ascii="Arial Narrow" w:eastAsia="Times New Roman" w:hAnsi="Arial Narrow" w:cs="Arial"/>
          <w:sz w:val="24"/>
          <w:szCs w:val="24"/>
          <w:lang w:eastAsia="pl-PL"/>
        </w:rPr>
      </w:pPr>
    </w:p>
    <w:p w14:paraId="17B22485" w14:textId="24FC0559" w:rsidR="005E4CF8" w:rsidRPr="001E7A9D" w:rsidRDefault="007E32E0" w:rsidP="007E32E0">
      <w:pPr>
        <w:shd w:val="clear" w:color="auto" w:fill="FFFFFF"/>
        <w:spacing w:after="0" w:line="276" w:lineRule="auto"/>
        <w:jc w:val="both"/>
        <w:rPr>
          <w:rFonts w:ascii="Arial Narrow" w:eastAsia="Times New Roman" w:hAnsi="Arial Narrow" w:cs="Arial"/>
          <w:b/>
          <w:bCs/>
          <w:sz w:val="24"/>
          <w:szCs w:val="24"/>
          <w:lang w:eastAsia="pl-PL"/>
        </w:rPr>
      </w:pPr>
      <w:r>
        <w:rPr>
          <w:rFonts w:ascii="Arial Narrow" w:eastAsia="Times New Roman" w:hAnsi="Arial Narrow" w:cs="Arial"/>
          <w:b/>
          <w:bCs/>
          <w:sz w:val="24"/>
          <w:szCs w:val="24"/>
          <w:lang w:val="bg-BG" w:eastAsia="pl-PL"/>
        </w:rPr>
        <w:t xml:space="preserve">       </w:t>
      </w:r>
      <w:r w:rsidR="005E4CF8" w:rsidRPr="001E7A9D">
        <w:rPr>
          <w:rFonts w:ascii="Arial Narrow" w:eastAsia="Times New Roman" w:hAnsi="Arial Narrow" w:cs="Arial"/>
          <w:b/>
          <w:bCs/>
          <w:sz w:val="24"/>
          <w:szCs w:val="24"/>
          <w:lang w:eastAsia="pl-PL"/>
        </w:rPr>
        <w:t>Други разпоредби</w:t>
      </w:r>
    </w:p>
    <w:p w14:paraId="282FCD3F" w14:textId="77777777" w:rsidR="005E4CF8" w:rsidRPr="0021617C" w:rsidRDefault="005E4CF8" w:rsidP="007E32E0">
      <w:pPr>
        <w:pStyle w:val="NormalWeb"/>
        <w:shd w:val="clear" w:color="auto" w:fill="FFFFFF"/>
        <w:spacing w:before="0" w:beforeAutospacing="0" w:after="0" w:afterAutospacing="0" w:line="276" w:lineRule="auto"/>
        <w:ind w:left="426"/>
        <w:jc w:val="both"/>
        <w:rPr>
          <w:rFonts w:ascii="Arial Narrow" w:hAnsi="Arial Narrow" w:cs="Arial"/>
        </w:rPr>
      </w:pPr>
      <w:r w:rsidRPr="0021617C">
        <w:rPr>
          <w:rFonts w:ascii="Arial Narrow" w:hAnsi="Arial Narrow" w:cs="Arial"/>
        </w:rPr>
        <w:t>Разпоредбите на търговската тайна не изчерпват каталога с информация, която може да бъде поверителна. Поверителната информация може да бъде информация за транснационален въпрос относно предприятие в мащаб на Общността, който може да повлияе на неговата стойност на капиталовия пазар.</w:t>
      </w:r>
    </w:p>
    <w:p w14:paraId="4CE1B5F0" w14:textId="77777777" w:rsidR="00C02E79" w:rsidRPr="0021617C" w:rsidRDefault="00C02E79" w:rsidP="00C24F93">
      <w:pPr>
        <w:pStyle w:val="NormalWeb"/>
        <w:shd w:val="clear" w:color="auto" w:fill="FFFFFF"/>
        <w:spacing w:before="0" w:beforeAutospacing="0" w:after="0" w:afterAutospacing="0" w:line="276" w:lineRule="auto"/>
        <w:ind w:left="426" w:firstLine="142"/>
        <w:jc w:val="both"/>
        <w:rPr>
          <w:rFonts w:ascii="Arial Narrow" w:hAnsi="Arial Narrow" w:cs="Arial"/>
        </w:rPr>
      </w:pPr>
    </w:p>
    <w:p w14:paraId="0A0DA00B" w14:textId="77777777" w:rsidR="00B142D5" w:rsidRPr="001E7A9D" w:rsidRDefault="00B142D5" w:rsidP="00C24F93">
      <w:pPr>
        <w:pStyle w:val="NormalWeb"/>
        <w:shd w:val="clear" w:color="auto" w:fill="FFFFFF"/>
        <w:spacing w:before="0" w:beforeAutospacing="0" w:after="0" w:afterAutospacing="0" w:line="276" w:lineRule="auto"/>
        <w:ind w:left="426" w:firstLine="142"/>
        <w:jc w:val="both"/>
        <w:rPr>
          <w:rFonts w:ascii="Arial Narrow" w:hAnsi="Arial Narrow" w:cs="Arial"/>
          <w:b/>
          <w:bCs/>
        </w:rPr>
      </w:pPr>
      <w:r w:rsidRPr="001E7A9D">
        <w:rPr>
          <w:rFonts w:ascii="Arial Narrow" w:hAnsi="Arial Narrow" w:cs="Arial"/>
          <w:b/>
          <w:bCs/>
        </w:rPr>
        <w:t>Дело C-384/02</w:t>
      </w:r>
    </w:p>
    <w:p w14:paraId="47C17008" w14:textId="28622806" w:rsidR="00B142D5" w:rsidRPr="0021617C" w:rsidRDefault="00B142D5" w:rsidP="007E32E0">
      <w:pPr>
        <w:spacing w:after="0" w:line="276" w:lineRule="auto"/>
        <w:ind w:left="567" w:firstLine="1"/>
        <w:jc w:val="both"/>
        <w:rPr>
          <w:rFonts w:ascii="Arial Narrow" w:hAnsi="Arial Narrow" w:cs="Arial"/>
          <w:sz w:val="24"/>
          <w:szCs w:val="24"/>
        </w:rPr>
      </w:pPr>
      <w:r w:rsidRPr="0021617C">
        <w:rPr>
          <w:rFonts w:ascii="Arial Narrow" w:hAnsi="Arial Narrow" w:cs="Arial"/>
          <w:sz w:val="24"/>
          <w:szCs w:val="24"/>
        </w:rPr>
        <w:t xml:space="preserve">Решението на Съда на Европейския съюз от 22 ноември 2005 г. по дело C-384/02 се отнася до </w:t>
      </w:r>
      <w:r w:rsidR="007E32E0">
        <w:rPr>
          <w:rFonts w:ascii="Arial Narrow" w:hAnsi="Arial Narrow" w:cs="Arial"/>
          <w:sz w:val="24"/>
          <w:szCs w:val="24"/>
          <w:lang w:val="bg-BG"/>
        </w:rPr>
        <w:t xml:space="preserve">  </w:t>
      </w:r>
      <w:r w:rsidRPr="0021617C">
        <w:rPr>
          <w:rFonts w:ascii="Arial Narrow" w:hAnsi="Arial Narrow" w:cs="Arial"/>
          <w:sz w:val="24"/>
          <w:szCs w:val="24"/>
        </w:rPr>
        <w:t>изпращането на поверителна информация от представител на синдикатите.</w:t>
      </w:r>
    </w:p>
    <w:p w14:paraId="62F3B8EC" w14:textId="77777777" w:rsidR="00B142D5" w:rsidRPr="0021617C" w:rsidRDefault="00B142D5" w:rsidP="00C24F93">
      <w:pPr>
        <w:tabs>
          <w:tab w:val="left" w:pos="567"/>
        </w:tabs>
        <w:spacing w:after="0" w:line="276" w:lineRule="auto"/>
        <w:ind w:left="426" w:firstLine="142"/>
        <w:jc w:val="both"/>
        <w:rPr>
          <w:rFonts w:ascii="Arial Narrow" w:hAnsi="Arial Narrow" w:cs="Arial"/>
          <w:sz w:val="24"/>
          <w:szCs w:val="24"/>
        </w:rPr>
      </w:pPr>
    </w:p>
    <w:p w14:paraId="3B0A23A8" w14:textId="77777777" w:rsidR="00B142D5" w:rsidRPr="001E7A9D" w:rsidRDefault="00687FA8" w:rsidP="00C24F93">
      <w:pPr>
        <w:tabs>
          <w:tab w:val="left" w:pos="567"/>
        </w:tabs>
        <w:spacing w:after="0" w:line="276" w:lineRule="auto"/>
        <w:ind w:left="426" w:firstLine="142"/>
        <w:jc w:val="both"/>
        <w:rPr>
          <w:rFonts w:ascii="Arial Narrow" w:hAnsi="Arial Narrow" w:cs="Arial"/>
          <w:b/>
          <w:bCs/>
          <w:sz w:val="24"/>
          <w:szCs w:val="24"/>
          <w:lang w:val="bg-BG"/>
        </w:rPr>
      </w:pPr>
      <w:r w:rsidRPr="001E7A9D">
        <w:rPr>
          <w:rFonts w:ascii="Arial Narrow" w:hAnsi="Arial Narrow" w:cs="Arial"/>
          <w:b/>
          <w:bCs/>
          <w:sz w:val="24"/>
          <w:szCs w:val="24"/>
          <w:lang w:val="bg-BG"/>
        </w:rPr>
        <w:t>Ф</w:t>
      </w:r>
      <w:r w:rsidR="00B142D5" w:rsidRPr="001E7A9D">
        <w:rPr>
          <w:rFonts w:ascii="Arial Narrow" w:hAnsi="Arial Narrow" w:cs="Arial"/>
          <w:b/>
          <w:bCs/>
          <w:sz w:val="24"/>
          <w:szCs w:val="24"/>
        </w:rPr>
        <w:t>акти</w:t>
      </w:r>
      <w:r w:rsidRPr="001E7A9D">
        <w:rPr>
          <w:rFonts w:ascii="Arial Narrow" w:hAnsi="Arial Narrow" w:cs="Arial"/>
          <w:b/>
          <w:bCs/>
          <w:sz w:val="24"/>
          <w:szCs w:val="24"/>
          <w:lang w:val="bg-BG"/>
        </w:rPr>
        <w:t>те:</w:t>
      </w:r>
    </w:p>
    <w:p w14:paraId="0F06A96B" w14:textId="05F29CF4" w:rsidR="00B142D5" w:rsidRPr="0021617C" w:rsidRDefault="00B142D5" w:rsidP="007E32E0">
      <w:pPr>
        <w:tabs>
          <w:tab w:val="left" w:pos="567"/>
        </w:tabs>
        <w:spacing w:after="0" w:line="276" w:lineRule="auto"/>
        <w:ind w:left="426"/>
        <w:jc w:val="both"/>
        <w:rPr>
          <w:rFonts w:ascii="Arial Narrow" w:hAnsi="Arial Narrow" w:cs="Arial"/>
          <w:sz w:val="24"/>
          <w:szCs w:val="24"/>
        </w:rPr>
      </w:pPr>
      <w:r w:rsidRPr="0021617C">
        <w:rPr>
          <w:rFonts w:ascii="Arial Narrow" w:hAnsi="Arial Narrow" w:cs="Arial"/>
          <w:sz w:val="24"/>
          <w:szCs w:val="24"/>
        </w:rPr>
        <w:t xml:space="preserve">Банг </w:t>
      </w:r>
      <w:r w:rsidR="007E32E0">
        <w:rPr>
          <w:rFonts w:ascii="Arial Narrow" w:hAnsi="Arial Narrow" w:cs="Arial"/>
          <w:sz w:val="24"/>
          <w:szCs w:val="24"/>
          <w:lang w:val="bg-BG"/>
        </w:rPr>
        <w:t>е бил</w:t>
      </w:r>
      <w:r w:rsidRPr="0021617C">
        <w:rPr>
          <w:rFonts w:ascii="Arial Narrow" w:hAnsi="Arial Narrow" w:cs="Arial"/>
          <w:sz w:val="24"/>
          <w:szCs w:val="24"/>
        </w:rPr>
        <w:t xml:space="preserve"> президент на Finansforbundet, синдикат на служители, </w:t>
      </w:r>
      <w:r w:rsidR="007E32E0">
        <w:rPr>
          <w:rFonts w:ascii="Arial Narrow" w:hAnsi="Arial Narrow" w:cs="Arial"/>
          <w:sz w:val="24"/>
          <w:szCs w:val="24"/>
          <w:lang w:val="bg-BG"/>
        </w:rPr>
        <w:t>работещи</w:t>
      </w:r>
      <w:r w:rsidRPr="0021617C">
        <w:rPr>
          <w:rFonts w:ascii="Arial Narrow" w:hAnsi="Arial Narrow" w:cs="Arial"/>
          <w:sz w:val="24"/>
          <w:szCs w:val="24"/>
        </w:rPr>
        <w:t xml:space="preserve"> във финансовия сектор. Приблизително 50 000 </w:t>
      </w:r>
      <w:r w:rsidR="007E32E0">
        <w:rPr>
          <w:rFonts w:ascii="Arial Narrow" w:hAnsi="Arial Narrow" w:cs="Arial"/>
          <w:sz w:val="24"/>
          <w:szCs w:val="24"/>
          <w:lang w:val="bg-BG"/>
        </w:rPr>
        <w:t xml:space="preserve">са били </w:t>
      </w:r>
      <w:r w:rsidRPr="0021617C">
        <w:rPr>
          <w:rFonts w:ascii="Arial Narrow" w:hAnsi="Arial Narrow" w:cs="Arial"/>
          <w:sz w:val="24"/>
          <w:szCs w:val="24"/>
        </w:rPr>
        <w:t>членове</w:t>
      </w:r>
      <w:r w:rsidR="007E32E0">
        <w:rPr>
          <w:rFonts w:ascii="Arial Narrow" w:hAnsi="Arial Narrow" w:cs="Arial"/>
          <w:sz w:val="24"/>
          <w:szCs w:val="24"/>
          <w:lang w:val="bg-BG"/>
        </w:rPr>
        <w:t>те</w:t>
      </w:r>
      <w:r w:rsidRPr="0021617C">
        <w:rPr>
          <w:rFonts w:ascii="Arial Narrow" w:hAnsi="Arial Narrow" w:cs="Arial"/>
          <w:sz w:val="24"/>
          <w:szCs w:val="24"/>
        </w:rPr>
        <w:t xml:space="preserve"> на Finansforbundet. К. Грьонгаард </w:t>
      </w:r>
      <w:r w:rsidR="007E32E0">
        <w:rPr>
          <w:rFonts w:ascii="Arial Narrow" w:hAnsi="Arial Narrow" w:cs="Arial"/>
          <w:sz w:val="24"/>
          <w:szCs w:val="24"/>
          <w:lang w:val="bg-BG"/>
        </w:rPr>
        <w:t>е бил</w:t>
      </w:r>
      <w:r w:rsidRPr="0021617C">
        <w:rPr>
          <w:rFonts w:ascii="Arial Narrow" w:hAnsi="Arial Narrow" w:cs="Arial"/>
          <w:sz w:val="24"/>
          <w:szCs w:val="24"/>
        </w:rPr>
        <w:t xml:space="preserve"> член на борда на на RealDanmark, основна финансова институция, регистрирана на фондовата борса и работеща с близо 7000 служители. Той също</w:t>
      </w:r>
      <w:r w:rsidR="007E32E0" w:rsidRPr="007E32E0">
        <w:rPr>
          <w:rFonts w:ascii="Arial Narrow" w:hAnsi="Arial Narrow" w:cs="Arial"/>
          <w:sz w:val="24"/>
          <w:szCs w:val="24"/>
          <w:lang w:val="bg-BG"/>
        </w:rPr>
        <w:t xml:space="preserve"> </w:t>
      </w:r>
      <w:r w:rsidR="007E32E0">
        <w:rPr>
          <w:rFonts w:ascii="Arial Narrow" w:hAnsi="Arial Narrow" w:cs="Arial"/>
          <w:sz w:val="24"/>
          <w:szCs w:val="24"/>
          <w:lang w:val="bg-BG"/>
        </w:rPr>
        <w:t xml:space="preserve">от страна на </w:t>
      </w:r>
      <w:r w:rsidR="007E32E0" w:rsidRPr="0021617C">
        <w:rPr>
          <w:rFonts w:ascii="Arial Narrow" w:hAnsi="Arial Narrow" w:cs="Arial"/>
          <w:sz w:val="24"/>
          <w:szCs w:val="24"/>
        </w:rPr>
        <w:t xml:space="preserve"> RealDanmark </w:t>
      </w:r>
      <w:r w:rsidR="007E32E0">
        <w:rPr>
          <w:rFonts w:ascii="Arial Narrow" w:hAnsi="Arial Narrow" w:cs="Arial"/>
          <w:sz w:val="24"/>
          <w:szCs w:val="24"/>
          <w:lang w:val="bg-BG"/>
        </w:rPr>
        <w:t xml:space="preserve"> е бил </w:t>
      </w:r>
      <w:r w:rsidRPr="0021617C">
        <w:rPr>
          <w:rFonts w:ascii="Arial Narrow" w:hAnsi="Arial Narrow" w:cs="Arial"/>
          <w:sz w:val="24"/>
          <w:szCs w:val="24"/>
        </w:rPr>
        <w:t>назначен за член на Комитета за връзка наричан по-нататък</w:t>
      </w:r>
      <w:r w:rsidR="007E32E0">
        <w:rPr>
          <w:rFonts w:ascii="Arial Narrow" w:hAnsi="Arial Narrow" w:cs="Arial"/>
          <w:sz w:val="24"/>
          <w:szCs w:val="24"/>
          <w:lang w:val="bg-BG"/>
        </w:rPr>
        <w:t xml:space="preserve"> само</w:t>
      </w:r>
      <w:r w:rsidRPr="0021617C">
        <w:rPr>
          <w:rFonts w:ascii="Arial Narrow" w:hAnsi="Arial Narrow" w:cs="Arial"/>
          <w:sz w:val="24"/>
          <w:szCs w:val="24"/>
        </w:rPr>
        <w:t xml:space="preserve"> „Комитетът“. Този </w:t>
      </w:r>
      <w:r w:rsidR="007E32E0">
        <w:rPr>
          <w:rFonts w:ascii="Arial Narrow" w:hAnsi="Arial Narrow" w:cs="Arial"/>
          <w:sz w:val="24"/>
          <w:szCs w:val="24"/>
          <w:lang w:val="bg-BG"/>
        </w:rPr>
        <w:t>К</w:t>
      </w:r>
      <w:r w:rsidRPr="0021617C">
        <w:rPr>
          <w:rFonts w:ascii="Arial Narrow" w:hAnsi="Arial Narrow" w:cs="Arial"/>
          <w:sz w:val="24"/>
          <w:szCs w:val="24"/>
        </w:rPr>
        <w:t xml:space="preserve">омитет </w:t>
      </w:r>
      <w:r w:rsidR="007E32E0">
        <w:rPr>
          <w:rFonts w:ascii="Arial Narrow" w:hAnsi="Arial Narrow" w:cs="Arial"/>
          <w:sz w:val="24"/>
          <w:szCs w:val="24"/>
          <w:lang w:val="bg-BG"/>
        </w:rPr>
        <w:t>е</w:t>
      </w:r>
      <w:r w:rsidRPr="0021617C">
        <w:rPr>
          <w:rFonts w:ascii="Arial Narrow" w:hAnsi="Arial Narrow" w:cs="Arial"/>
          <w:sz w:val="24"/>
          <w:szCs w:val="24"/>
        </w:rPr>
        <w:t xml:space="preserve"> сформиран въз основа на споразумение между Finansforbundet и RealDanmark. К. Грьонгаард представлява</w:t>
      </w:r>
      <w:r w:rsidR="007E32E0">
        <w:rPr>
          <w:rFonts w:ascii="Arial Narrow" w:hAnsi="Arial Narrow" w:cs="Arial"/>
          <w:sz w:val="24"/>
          <w:szCs w:val="24"/>
          <w:lang w:val="bg-BG"/>
        </w:rPr>
        <w:t xml:space="preserve"> синдиката</w:t>
      </w:r>
      <w:r w:rsidRPr="0021617C">
        <w:rPr>
          <w:rFonts w:ascii="Arial Narrow" w:hAnsi="Arial Narrow" w:cs="Arial"/>
          <w:sz w:val="24"/>
          <w:szCs w:val="24"/>
        </w:rPr>
        <w:t xml:space="preserve"> в </w:t>
      </w:r>
      <w:r w:rsidR="007E32E0">
        <w:rPr>
          <w:rFonts w:ascii="Arial Narrow" w:hAnsi="Arial Narrow" w:cs="Arial"/>
          <w:sz w:val="24"/>
          <w:szCs w:val="24"/>
          <w:lang w:val="bg-BG"/>
        </w:rPr>
        <w:t>К</w:t>
      </w:r>
      <w:r w:rsidRPr="0021617C">
        <w:rPr>
          <w:rFonts w:ascii="Arial Narrow" w:hAnsi="Arial Narrow" w:cs="Arial"/>
          <w:sz w:val="24"/>
          <w:szCs w:val="24"/>
        </w:rPr>
        <w:t xml:space="preserve">омитета. К. Грьонгаард </w:t>
      </w:r>
      <w:r w:rsidR="007E32E0">
        <w:rPr>
          <w:rFonts w:ascii="Arial Narrow" w:hAnsi="Arial Narrow" w:cs="Arial"/>
          <w:sz w:val="24"/>
          <w:szCs w:val="24"/>
          <w:lang w:val="bg-BG"/>
        </w:rPr>
        <w:t xml:space="preserve">също е и председател на секцията в </w:t>
      </w:r>
      <w:r w:rsidRPr="0021617C">
        <w:rPr>
          <w:rFonts w:ascii="Arial Narrow" w:hAnsi="Arial Narrow" w:cs="Arial"/>
          <w:sz w:val="24"/>
          <w:szCs w:val="24"/>
        </w:rPr>
        <w:t xml:space="preserve">Kapitalkreds, </w:t>
      </w:r>
      <w:r w:rsidR="007E32E0">
        <w:rPr>
          <w:rFonts w:ascii="Arial Narrow" w:hAnsi="Arial Narrow" w:cs="Arial"/>
          <w:sz w:val="24"/>
          <w:szCs w:val="24"/>
          <w:lang w:val="bg-BG"/>
        </w:rPr>
        <w:t>една от</w:t>
      </w:r>
      <w:r w:rsidRPr="0021617C">
        <w:rPr>
          <w:rFonts w:ascii="Arial Narrow" w:hAnsi="Arial Narrow" w:cs="Arial"/>
          <w:sz w:val="24"/>
          <w:szCs w:val="24"/>
        </w:rPr>
        <w:t xml:space="preserve"> 11</w:t>
      </w:r>
      <w:r w:rsidR="007E32E0">
        <w:rPr>
          <w:rFonts w:ascii="Arial Narrow" w:hAnsi="Arial Narrow" w:cs="Arial"/>
          <w:sz w:val="24"/>
          <w:szCs w:val="24"/>
          <w:lang w:val="bg-BG"/>
        </w:rPr>
        <w:t>-те</w:t>
      </w:r>
      <w:r w:rsidRPr="0021617C">
        <w:rPr>
          <w:rFonts w:ascii="Arial Narrow" w:hAnsi="Arial Narrow" w:cs="Arial"/>
          <w:sz w:val="24"/>
          <w:szCs w:val="24"/>
        </w:rPr>
        <w:t xml:space="preserve"> секции. Finansforbundet,</w:t>
      </w:r>
      <w:r w:rsidR="007E32E0">
        <w:rPr>
          <w:rFonts w:ascii="Arial Narrow" w:hAnsi="Arial Narrow" w:cs="Arial"/>
          <w:sz w:val="24"/>
          <w:szCs w:val="24"/>
          <w:lang w:val="bg-BG"/>
        </w:rPr>
        <w:t xml:space="preserve">в която членуват </w:t>
      </w:r>
      <w:r w:rsidRPr="0021617C">
        <w:rPr>
          <w:rFonts w:ascii="Arial Narrow" w:hAnsi="Arial Narrow" w:cs="Arial"/>
          <w:sz w:val="24"/>
          <w:szCs w:val="24"/>
        </w:rPr>
        <w:t xml:space="preserve">около 6500 </w:t>
      </w:r>
      <w:r w:rsidR="007E32E0">
        <w:rPr>
          <w:rFonts w:ascii="Arial Narrow" w:hAnsi="Arial Narrow" w:cs="Arial"/>
          <w:sz w:val="24"/>
          <w:szCs w:val="24"/>
          <w:lang w:val="bg-BG"/>
        </w:rPr>
        <w:t>души</w:t>
      </w:r>
      <w:r w:rsidRPr="0021617C">
        <w:rPr>
          <w:rFonts w:ascii="Arial Narrow" w:hAnsi="Arial Narrow" w:cs="Arial"/>
          <w:sz w:val="24"/>
          <w:szCs w:val="24"/>
        </w:rPr>
        <w:t xml:space="preserve">. След извънредно заседание на борда на RealDanmark, на 23 август 2000 г. </w:t>
      </w:r>
      <w:r w:rsidR="007E32E0">
        <w:rPr>
          <w:rFonts w:ascii="Arial Narrow" w:hAnsi="Arial Narrow" w:cs="Arial"/>
          <w:sz w:val="24"/>
          <w:szCs w:val="24"/>
          <w:lang w:val="bg-BG"/>
        </w:rPr>
        <w:t xml:space="preserve">Той </w:t>
      </w:r>
      <w:r w:rsidRPr="0021617C">
        <w:rPr>
          <w:rFonts w:ascii="Arial Narrow" w:hAnsi="Arial Narrow" w:cs="Arial"/>
          <w:sz w:val="24"/>
          <w:szCs w:val="24"/>
        </w:rPr>
        <w:t xml:space="preserve">информира </w:t>
      </w:r>
      <w:r w:rsidR="007E32E0">
        <w:rPr>
          <w:rFonts w:ascii="Arial Narrow" w:hAnsi="Arial Narrow" w:cs="Arial"/>
          <w:sz w:val="24"/>
          <w:szCs w:val="24"/>
          <w:lang w:val="bg-BG"/>
        </w:rPr>
        <w:t xml:space="preserve">своя колега </w:t>
      </w:r>
      <w:r w:rsidR="007E32E0" w:rsidRPr="0021617C">
        <w:rPr>
          <w:rFonts w:ascii="Arial Narrow" w:hAnsi="Arial Narrow" w:cs="Arial"/>
          <w:sz w:val="24"/>
          <w:szCs w:val="24"/>
        </w:rPr>
        <w:t xml:space="preserve">А. Банг </w:t>
      </w:r>
      <w:r w:rsidRPr="0021617C">
        <w:rPr>
          <w:rFonts w:ascii="Arial Narrow" w:hAnsi="Arial Narrow" w:cs="Arial"/>
          <w:sz w:val="24"/>
          <w:szCs w:val="24"/>
        </w:rPr>
        <w:t>за планове</w:t>
      </w:r>
      <w:r w:rsidR="007E32E0">
        <w:rPr>
          <w:rFonts w:ascii="Arial Narrow" w:hAnsi="Arial Narrow" w:cs="Arial"/>
          <w:sz w:val="24"/>
          <w:szCs w:val="24"/>
          <w:lang w:val="bg-BG"/>
        </w:rPr>
        <w:t>те</w:t>
      </w:r>
      <w:r w:rsidRPr="0021617C">
        <w:rPr>
          <w:rFonts w:ascii="Arial Narrow" w:hAnsi="Arial Narrow" w:cs="Arial"/>
          <w:sz w:val="24"/>
          <w:szCs w:val="24"/>
        </w:rPr>
        <w:t xml:space="preserve"> да </w:t>
      </w:r>
      <w:r w:rsidR="007E32E0">
        <w:rPr>
          <w:rFonts w:ascii="Arial Narrow" w:hAnsi="Arial Narrow" w:cs="Arial"/>
          <w:sz w:val="24"/>
          <w:szCs w:val="24"/>
          <w:lang w:val="bg-BG"/>
        </w:rPr>
        <w:t>бъдат започнати</w:t>
      </w:r>
      <w:r w:rsidRPr="0021617C">
        <w:rPr>
          <w:rFonts w:ascii="Arial Narrow" w:hAnsi="Arial Narrow" w:cs="Arial"/>
          <w:sz w:val="24"/>
          <w:szCs w:val="24"/>
        </w:rPr>
        <w:t xml:space="preserve"> преговори за сливане с Danske Bank, друга значима финансова институция в Дания. Между 28 август и 4 септември 2000 г. А. Банг се консултира с двама вицепрезиденти, Мадсен и Нилсен, както и с г-н Кристенсен, един от колегите в секретариата на Finansforbundet, като им предоставя информация, че получена от К. Грьонгаард На 31 август 2000 г. г-н </w:t>
      </w:r>
      <w:r w:rsidR="007E32E0" w:rsidRPr="0021617C">
        <w:rPr>
          <w:rFonts w:ascii="Arial Narrow" w:hAnsi="Arial Narrow" w:cs="Arial"/>
          <w:sz w:val="24"/>
          <w:szCs w:val="24"/>
        </w:rPr>
        <w:t xml:space="preserve">Кристенсен </w:t>
      </w:r>
      <w:r w:rsidRPr="0021617C">
        <w:rPr>
          <w:rFonts w:ascii="Arial Narrow" w:hAnsi="Arial Narrow" w:cs="Arial"/>
          <w:sz w:val="24"/>
          <w:szCs w:val="24"/>
        </w:rPr>
        <w:t xml:space="preserve"> придоби</w:t>
      </w:r>
      <w:r w:rsidR="007E32E0">
        <w:rPr>
          <w:rFonts w:ascii="Arial Narrow" w:hAnsi="Arial Narrow" w:cs="Arial"/>
          <w:sz w:val="24"/>
          <w:szCs w:val="24"/>
          <w:lang w:val="bg-BG"/>
        </w:rPr>
        <w:t>ва</w:t>
      </w:r>
      <w:r w:rsidRPr="0021617C">
        <w:rPr>
          <w:rFonts w:ascii="Arial Narrow" w:hAnsi="Arial Narrow" w:cs="Arial"/>
          <w:sz w:val="24"/>
          <w:szCs w:val="24"/>
        </w:rPr>
        <w:t xml:space="preserve"> акции на RealDanmark за приблизително 48 000 евро. На 18 септември 2000 г. К. Грьонгаард присъства на заседанието на борда на RealDanmark, по време на което се обсъждат датите за сливане</w:t>
      </w:r>
      <w:r w:rsidR="007E32E0">
        <w:rPr>
          <w:rFonts w:ascii="Arial Narrow" w:hAnsi="Arial Narrow" w:cs="Arial"/>
          <w:sz w:val="24"/>
          <w:szCs w:val="24"/>
          <w:lang w:val="bg-BG"/>
        </w:rPr>
        <w:t>то</w:t>
      </w:r>
      <w:r w:rsidRPr="0021617C">
        <w:rPr>
          <w:rFonts w:ascii="Arial Narrow" w:hAnsi="Arial Narrow" w:cs="Arial"/>
          <w:sz w:val="24"/>
          <w:szCs w:val="24"/>
        </w:rPr>
        <w:t xml:space="preserve">. На 22 септември 2000 г. той присъства на извънредно заседание на Комитета за връзка, по време на което се повдига и въпросът за датите за сливане. На 26 септември 2000 г. той отново се </w:t>
      </w:r>
      <w:r w:rsidR="008F4308">
        <w:rPr>
          <w:rFonts w:ascii="Arial Narrow" w:hAnsi="Arial Narrow" w:cs="Arial"/>
          <w:sz w:val="24"/>
          <w:szCs w:val="24"/>
          <w:lang w:val="bg-BG"/>
        </w:rPr>
        <w:t xml:space="preserve">обръща към </w:t>
      </w:r>
      <w:r w:rsidRPr="0021617C">
        <w:rPr>
          <w:rFonts w:ascii="Arial Narrow" w:hAnsi="Arial Narrow" w:cs="Arial"/>
          <w:sz w:val="24"/>
          <w:szCs w:val="24"/>
        </w:rPr>
        <w:t xml:space="preserve"> A. </w:t>
      </w:r>
      <w:r w:rsidR="008F4308">
        <w:rPr>
          <w:rFonts w:ascii="Arial Narrow" w:hAnsi="Arial Narrow" w:cs="Arial"/>
          <w:sz w:val="24"/>
          <w:szCs w:val="24"/>
          <w:lang w:val="bg-BG"/>
        </w:rPr>
        <w:t>Банг</w:t>
      </w:r>
      <w:r w:rsidRPr="0021617C">
        <w:rPr>
          <w:rFonts w:ascii="Arial Narrow" w:hAnsi="Arial Narrow" w:cs="Arial"/>
          <w:sz w:val="24"/>
          <w:szCs w:val="24"/>
        </w:rPr>
        <w:t xml:space="preserve">, за да помогне на служителите да се справят с последиците от сливането. По-конкретно, </w:t>
      </w:r>
      <w:r w:rsidR="008F4308">
        <w:rPr>
          <w:rFonts w:ascii="Arial Narrow" w:hAnsi="Arial Narrow" w:cs="Arial"/>
          <w:sz w:val="24"/>
          <w:szCs w:val="24"/>
          <w:lang w:val="bg-BG"/>
        </w:rPr>
        <w:t xml:space="preserve"> се </w:t>
      </w:r>
      <w:r w:rsidRPr="0021617C">
        <w:rPr>
          <w:rFonts w:ascii="Arial Narrow" w:hAnsi="Arial Narrow" w:cs="Arial"/>
          <w:sz w:val="24"/>
          <w:szCs w:val="24"/>
        </w:rPr>
        <w:t>повдиг</w:t>
      </w:r>
      <w:r w:rsidR="008F4308">
        <w:rPr>
          <w:rFonts w:ascii="Arial Narrow" w:hAnsi="Arial Narrow" w:cs="Arial"/>
          <w:sz w:val="24"/>
          <w:szCs w:val="24"/>
          <w:lang w:val="bg-BG"/>
        </w:rPr>
        <w:t xml:space="preserve">а </w:t>
      </w:r>
      <w:r w:rsidRPr="0021617C">
        <w:rPr>
          <w:rFonts w:ascii="Arial Narrow" w:hAnsi="Arial Narrow" w:cs="Arial"/>
          <w:sz w:val="24"/>
          <w:szCs w:val="24"/>
        </w:rPr>
        <w:t xml:space="preserve">въпроса за планирания календар за сливането, както и очакваното увеличение на цената на акциите на RealDanmark с 60 до 70%. На 27 и 28 септември 2000 г. г-н </w:t>
      </w:r>
      <w:r w:rsidR="008F4308">
        <w:rPr>
          <w:rFonts w:ascii="Arial Narrow" w:hAnsi="Arial Narrow" w:cs="Arial"/>
          <w:sz w:val="24"/>
          <w:szCs w:val="24"/>
          <w:lang w:val="bg-BG"/>
        </w:rPr>
        <w:t xml:space="preserve">Банг </w:t>
      </w:r>
      <w:r w:rsidRPr="0021617C">
        <w:rPr>
          <w:rFonts w:ascii="Arial Narrow" w:hAnsi="Arial Narrow" w:cs="Arial"/>
          <w:sz w:val="24"/>
          <w:szCs w:val="24"/>
        </w:rPr>
        <w:t>предостав</w:t>
      </w:r>
      <w:r w:rsidR="008F4308">
        <w:rPr>
          <w:rFonts w:ascii="Arial Narrow" w:hAnsi="Arial Narrow" w:cs="Arial"/>
          <w:sz w:val="24"/>
          <w:szCs w:val="24"/>
          <w:lang w:val="bg-BG"/>
        </w:rPr>
        <w:t>я</w:t>
      </w:r>
      <w:r w:rsidRPr="0021617C">
        <w:rPr>
          <w:rFonts w:ascii="Arial Narrow" w:hAnsi="Arial Narrow" w:cs="Arial"/>
          <w:sz w:val="24"/>
          <w:szCs w:val="24"/>
        </w:rPr>
        <w:t xml:space="preserve"> на г-н Ларсен, ръководителя на секретариата на Finansforbundet, и </w:t>
      </w:r>
      <w:r w:rsidR="008F4308">
        <w:rPr>
          <w:rFonts w:ascii="Arial Narrow" w:hAnsi="Arial Narrow" w:cs="Arial"/>
          <w:sz w:val="24"/>
          <w:szCs w:val="24"/>
          <w:lang w:val="bg-BG"/>
        </w:rPr>
        <w:t xml:space="preserve">на </w:t>
      </w:r>
      <w:r w:rsidRPr="0021617C">
        <w:rPr>
          <w:rFonts w:ascii="Arial Narrow" w:hAnsi="Arial Narrow" w:cs="Arial"/>
          <w:sz w:val="24"/>
          <w:szCs w:val="24"/>
        </w:rPr>
        <w:lastRenderedPageBreak/>
        <w:t xml:space="preserve">неговия колега г-н </w:t>
      </w:r>
      <w:r w:rsidR="008F4308" w:rsidRPr="0021617C">
        <w:rPr>
          <w:rFonts w:ascii="Arial Narrow" w:hAnsi="Arial Narrow" w:cs="Arial"/>
          <w:sz w:val="24"/>
          <w:szCs w:val="24"/>
        </w:rPr>
        <w:t xml:space="preserve">Кристенсен </w:t>
      </w:r>
      <w:r w:rsidRPr="0021617C">
        <w:rPr>
          <w:rFonts w:ascii="Arial Narrow" w:hAnsi="Arial Narrow" w:cs="Arial"/>
          <w:sz w:val="24"/>
          <w:szCs w:val="24"/>
        </w:rPr>
        <w:t xml:space="preserve">информация относно предвидената дата на обявяване на сливането и очаквания курс на акциите. На 29 септември 2000 г. г-н </w:t>
      </w:r>
      <w:r w:rsidR="008F4308" w:rsidRPr="0021617C">
        <w:rPr>
          <w:rFonts w:ascii="Arial Narrow" w:hAnsi="Arial Narrow" w:cs="Arial"/>
          <w:sz w:val="24"/>
          <w:szCs w:val="24"/>
        </w:rPr>
        <w:t xml:space="preserve">Кристенсен </w:t>
      </w:r>
      <w:r w:rsidR="008F4308">
        <w:rPr>
          <w:rFonts w:ascii="Arial Narrow" w:hAnsi="Arial Narrow" w:cs="Arial"/>
          <w:sz w:val="24"/>
          <w:szCs w:val="24"/>
          <w:lang w:val="bg-BG"/>
        </w:rPr>
        <w:t>придобива</w:t>
      </w:r>
      <w:r w:rsidRPr="0021617C">
        <w:rPr>
          <w:rFonts w:ascii="Arial Narrow" w:hAnsi="Arial Narrow" w:cs="Arial"/>
          <w:sz w:val="24"/>
          <w:szCs w:val="24"/>
        </w:rPr>
        <w:t xml:space="preserve"> още акции на RealDanmark за приблизително 214 000 евро. На 2 октомври 2000 г. сливането между RealDanmark и Danske Bank беше обявено публично и цената на акциите на RealDanmark се увеличи с приблизително 65%. Г-н </w:t>
      </w:r>
      <w:r w:rsidR="008F4308" w:rsidRPr="0021617C">
        <w:rPr>
          <w:rFonts w:ascii="Arial Narrow" w:hAnsi="Arial Narrow" w:cs="Arial"/>
          <w:sz w:val="24"/>
          <w:szCs w:val="24"/>
        </w:rPr>
        <w:t xml:space="preserve">Кристенсен </w:t>
      </w:r>
      <w:r w:rsidRPr="0021617C">
        <w:rPr>
          <w:rFonts w:ascii="Arial Narrow" w:hAnsi="Arial Narrow" w:cs="Arial"/>
          <w:sz w:val="24"/>
          <w:szCs w:val="24"/>
        </w:rPr>
        <w:t>продад</w:t>
      </w:r>
      <w:r w:rsidR="008F4308">
        <w:rPr>
          <w:rFonts w:ascii="Arial Narrow" w:hAnsi="Arial Narrow" w:cs="Arial"/>
          <w:sz w:val="24"/>
          <w:szCs w:val="24"/>
          <w:lang w:val="bg-BG"/>
        </w:rPr>
        <w:t>ва</w:t>
      </w:r>
      <w:r w:rsidRPr="0021617C">
        <w:rPr>
          <w:rFonts w:ascii="Arial Narrow" w:hAnsi="Arial Narrow" w:cs="Arial"/>
          <w:sz w:val="24"/>
          <w:szCs w:val="24"/>
        </w:rPr>
        <w:t xml:space="preserve"> акциите си </w:t>
      </w:r>
      <w:r w:rsidR="008F4308">
        <w:rPr>
          <w:rFonts w:ascii="Arial Narrow" w:hAnsi="Arial Narrow" w:cs="Arial"/>
          <w:sz w:val="24"/>
          <w:szCs w:val="24"/>
          <w:lang w:val="bg-BG"/>
        </w:rPr>
        <w:t xml:space="preserve">от </w:t>
      </w:r>
      <w:r w:rsidRPr="0021617C">
        <w:rPr>
          <w:rFonts w:ascii="Arial Narrow" w:hAnsi="Arial Narrow" w:cs="Arial"/>
          <w:sz w:val="24"/>
          <w:szCs w:val="24"/>
        </w:rPr>
        <w:t xml:space="preserve">RealDanmark на 2 и 3 октомври 2000 г. с обща печалба от около 180 000 евро. Тогава той беше осъден на шест месеца лишаване от свобода за използване на поверителна информация в нарушение на закона. </w:t>
      </w:r>
      <w:r w:rsidR="008F4308" w:rsidRPr="0021617C">
        <w:rPr>
          <w:rFonts w:ascii="Arial Narrow" w:hAnsi="Arial Narrow" w:cs="Arial"/>
          <w:sz w:val="24"/>
          <w:szCs w:val="24"/>
        </w:rPr>
        <w:t xml:space="preserve">Г-н Кристенсен </w:t>
      </w:r>
      <w:r w:rsidRPr="0021617C">
        <w:rPr>
          <w:rFonts w:ascii="Arial Narrow" w:hAnsi="Arial Narrow" w:cs="Arial"/>
          <w:sz w:val="24"/>
          <w:szCs w:val="24"/>
        </w:rPr>
        <w:t xml:space="preserve">и A. </w:t>
      </w:r>
      <w:r w:rsidR="008F4308">
        <w:rPr>
          <w:rFonts w:ascii="Arial Narrow" w:hAnsi="Arial Narrow" w:cs="Arial"/>
          <w:sz w:val="24"/>
          <w:szCs w:val="24"/>
          <w:lang w:val="bg-BG"/>
        </w:rPr>
        <w:t xml:space="preserve">Банг </w:t>
      </w:r>
      <w:r w:rsidRPr="0021617C">
        <w:rPr>
          <w:rFonts w:ascii="Arial Narrow" w:hAnsi="Arial Narrow" w:cs="Arial"/>
          <w:sz w:val="24"/>
          <w:szCs w:val="24"/>
        </w:rPr>
        <w:t>са съдени по наказателно производство от Københavns Byret за разкриване на поверителна информация в нарушение на закона.</w:t>
      </w:r>
    </w:p>
    <w:p w14:paraId="0D9E28FE" w14:textId="77777777" w:rsidR="00B142D5" w:rsidRPr="0021617C" w:rsidRDefault="00B142D5" w:rsidP="00C24F93">
      <w:pPr>
        <w:tabs>
          <w:tab w:val="left" w:pos="567"/>
        </w:tabs>
        <w:spacing w:after="0" w:line="276" w:lineRule="auto"/>
        <w:ind w:left="426" w:firstLine="142"/>
        <w:jc w:val="both"/>
        <w:rPr>
          <w:rFonts w:ascii="Arial Narrow" w:hAnsi="Arial Narrow" w:cs="Arial"/>
          <w:sz w:val="24"/>
          <w:szCs w:val="24"/>
        </w:rPr>
      </w:pPr>
    </w:p>
    <w:p w14:paraId="079757D1" w14:textId="38B6FDC9" w:rsidR="00B142D5" w:rsidRPr="0021617C" w:rsidRDefault="008F4308" w:rsidP="008F4308">
      <w:pPr>
        <w:tabs>
          <w:tab w:val="left" w:pos="567"/>
        </w:tabs>
        <w:spacing w:after="0" w:line="276" w:lineRule="auto"/>
        <w:ind w:left="426"/>
        <w:jc w:val="both"/>
        <w:rPr>
          <w:rFonts w:ascii="Arial Narrow" w:hAnsi="Arial Narrow" w:cs="Arial"/>
          <w:sz w:val="24"/>
          <w:szCs w:val="24"/>
        </w:rPr>
      </w:pPr>
      <w:r>
        <w:rPr>
          <w:rFonts w:ascii="Arial Narrow" w:hAnsi="Arial Narrow" w:cs="Arial"/>
          <w:sz w:val="24"/>
          <w:szCs w:val="24"/>
          <w:lang w:val="bg-BG"/>
        </w:rPr>
        <w:t xml:space="preserve">Съдия </w:t>
      </w:r>
      <w:proofErr w:type="spellStart"/>
      <w:r>
        <w:rPr>
          <w:rFonts w:ascii="Arial Narrow" w:hAnsi="Arial Narrow" w:cs="Arial"/>
          <w:sz w:val="24"/>
          <w:szCs w:val="24"/>
          <w:lang w:val="bg-BG"/>
        </w:rPr>
        <w:t>Кабенхавенс</w:t>
      </w:r>
      <w:proofErr w:type="spellEnd"/>
      <w:r>
        <w:rPr>
          <w:rFonts w:ascii="Arial Narrow" w:hAnsi="Arial Narrow" w:cs="Arial"/>
          <w:sz w:val="24"/>
          <w:szCs w:val="24"/>
          <w:lang w:val="bg-BG"/>
        </w:rPr>
        <w:t xml:space="preserve"> </w:t>
      </w:r>
      <w:proofErr w:type="spellStart"/>
      <w:r>
        <w:rPr>
          <w:rFonts w:ascii="Arial Narrow" w:hAnsi="Arial Narrow" w:cs="Arial"/>
          <w:sz w:val="24"/>
          <w:szCs w:val="24"/>
          <w:lang w:val="bg-BG"/>
        </w:rPr>
        <w:t>Бюрет</w:t>
      </w:r>
      <w:proofErr w:type="spellEnd"/>
      <w:r w:rsidR="00B142D5" w:rsidRPr="0021617C">
        <w:rPr>
          <w:rFonts w:ascii="Arial Narrow" w:hAnsi="Arial Narrow" w:cs="Arial"/>
          <w:sz w:val="24"/>
          <w:szCs w:val="24"/>
        </w:rPr>
        <w:t xml:space="preserve">, който </w:t>
      </w:r>
      <w:r>
        <w:rPr>
          <w:rFonts w:ascii="Arial Narrow" w:hAnsi="Arial Narrow" w:cs="Arial"/>
          <w:sz w:val="24"/>
          <w:szCs w:val="24"/>
          <w:lang w:val="bg-BG"/>
        </w:rPr>
        <w:t>взе решението</w:t>
      </w:r>
      <w:r w:rsidR="00B142D5" w:rsidRPr="0021617C">
        <w:rPr>
          <w:rFonts w:ascii="Arial Narrow" w:hAnsi="Arial Narrow" w:cs="Arial"/>
          <w:sz w:val="24"/>
          <w:szCs w:val="24"/>
        </w:rPr>
        <w:t xml:space="preserve"> да спре производството постави на Съда следните преюдициални въпроси:</w:t>
      </w:r>
    </w:p>
    <w:p w14:paraId="5410A199" w14:textId="784EC470" w:rsidR="00B142D5" w:rsidRPr="0021617C" w:rsidRDefault="00B142D5" w:rsidP="00C24F93">
      <w:pPr>
        <w:tabs>
          <w:tab w:val="left" w:pos="567"/>
        </w:tabs>
        <w:spacing w:after="0" w:line="276" w:lineRule="auto"/>
        <w:ind w:left="426" w:firstLine="142"/>
        <w:jc w:val="both"/>
        <w:rPr>
          <w:rFonts w:ascii="Arial Narrow" w:hAnsi="Arial Narrow" w:cs="Arial"/>
          <w:sz w:val="24"/>
          <w:szCs w:val="24"/>
        </w:rPr>
      </w:pPr>
      <w:r w:rsidRPr="0021617C">
        <w:rPr>
          <w:rFonts w:ascii="Arial Narrow" w:hAnsi="Arial Narrow" w:cs="Arial"/>
          <w:sz w:val="24"/>
          <w:szCs w:val="24"/>
        </w:rPr>
        <w:t xml:space="preserve">"1) </w:t>
      </w:r>
      <w:r w:rsidR="00745A09">
        <w:rPr>
          <w:rFonts w:ascii="Arial Narrow" w:hAnsi="Arial Narrow" w:cs="Arial"/>
          <w:sz w:val="24"/>
          <w:szCs w:val="24"/>
          <w:lang w:val="bg-BG"/>
        </w:rPr>
        <w:t>Член</w:t>
      </w:r>
      <w:r w:rsidRPr="0021617C">
        <w:rPr>
          <w:rFonts w:ascii="Arial Narrow" w:hAnsi="Arial Narrow" w:cs="Arial"/>
          <w:sz w:val="24"/>
          <w:szCs w:val="24"/>
        </w:rPr>
        <w:t xml:space="preserve"> 3 </w:t>
      </w:r>
      <w:r w:rsidR="00745A09">
        <w:rPr>
          <w:rFonts w:ascii="Arial Narrow" w:hAnsi="Arial Narrow" w:cs="Arial"/>
          <w:sz w:val="24"/>
          <w:szCs w:val="24"/>
          <w:lang w:val="bg-BG"/>
        </w:rPr>
        <w:t>аления</w:t>
      </w:r>
      <w:r w:rsidRPr="0021617C">
        <w:rPr>
          <w:rFonts w:ascii="Arial Narrow" w:hAnsi="Arial Narrow" w:cs="Arial"/>
          <w:sz w:val="24"/>
          <w:szCs w:val="24"/>
        </w:rPr>
        <w:t xml:space="preserve"> а) от Директива 89/592 пречи на дадено лице да разкрива поверителна информация, ако я е получила като нает член на управителния съвет на предприятие, за което се отнася поверителната информация, и ако я разкрива на председателя на професионална асоциация на служителите, която определи това лице за член на управителния съвет?</w:t>
      </w:r>
    </w:p>
    <w:p w14:paraId="1D145F06" w14:textId="0B5FDB37" w:rsidR="00B142D5" w:rsidRPr="0021617C" w:rsidRDefault="00B142D5" w:rsidP="00C24F93">
      <w:pPr>
        <w:tabs>
          <w:tab w:val="left" w:pos="567"/>
        </w:tabs>
        <w:spacing w:after="0" w:line="276" w:lineRule="auto"/>
        <w:ind w:left="426" w:firstLine="142"/>
        <w:jc w:val="both"/>
        <w:rPr>
          <w:rFonts w:ascii="Arial Narrow" w:hAnsi="Arial Narrow" w:cs="Arial"/>
          <w:sz w:val="24"/>
          <w:szCs w:val="24"/>
        </w:rPr>
      </w:pPr>
      <w:r w:rsidRPr="0021617C">
        <w:rPr>
          <w:rFonts w:ascii="Arial Narrow" w:hAnsi="Arial Narrow" w:cs="Arial"/>
          <w:sz w:val="24"/>
          <w:szCs w:val="24"/>
        </w:rPr>
        <w:t xml:space="preserve"> 2) </w:t>
      </w:r>
      <w:r w:rsidR="0086374A" w:rsidRPr="0021617C">
        <w:rPr>
          <w:rFonts w:ascii="Arial Narrow" w:hAnsi="Arial Narrow" w:cs="Arial"/>
          <w:sz w:val="24"/>
          <w:szCs w:val="24"/>
          <w:lang w:val="bg-BG"/>
        </w:rPr>
        <w:t xml:space="preserve">Член </w:t>
      </w:r>
      <w:r w:rsidRPr="0021617C">
        <w:rPr>
          <w:rFonts w:ascii="Arial Narrow" w:hAnsi="Arial Narrow" w:cs="Arial"/>
          <w:sz w:val="24"/>
          <w:szCs w:val="24"/>
        </w:rPr>
        <w:t xml:space="preserve">3 </w:t>
      </w:r>
      <w:r w:rsidR="00745A09">
        <w:rPr>
          <w:rFonts w:ascii="Arial Narrow" w:hAnsi="Arial Narrow" w:cs="Arial"/>
          <w:sz w:val="24"/>
          <w:szCs w:val="24"/>
          <w:lang w:val="bg-BG"/>
        </w:rPr>
        <w:t>алинея</w:t>
      </w:r>
      <w:r w:rsidRPr="0021617C">
        <w:rPr>
          <w:rFonts w:ascii="Arial Narrow" w:hAnsi="Arial Narrow" w:cs="Arial"/>
          <w:sz w:val="24"/>
          <w:szCs w:val="24"/>
        </w:rPr>
        <w:t>. а) от Директива 89/592 възпрепятства разкрива</w:t>
      </w:r>
      <w:r w:rsidR="00745A09">
        <w:rPr>
          <w:rFonts w:ascii="Arial Narrow" w:hAnsi="Arial Narrow" w:cs="Arial"/>
          <w:sz w:val="24"/>
          <w:szCs w:val="24"/>
          <w:lang w:val="bg-BG"/>
        </w:rPr>
        <w:t>нето на</w:t>
      </w:r>
      <w:r w:rsidRPr="0021617C">
        <w:rPr>
          <w:rFonts w:ascii="Arial Narrow" w:hAnsi="Arial Narrow" w:cs="Arial"/>
          <w:sz w:val="24"/>
          <w:szCs w:val="24"/>
        </w:rPr>
        <w:t xml:space="preserve"> поверителна информация, ако </w:t>
      </w:r>
      <w:r w:rsidR="00745A09">
        <w:rPr>
          <w:rFonts w:ascii="Arial Narrow" w:hAnsi="Arial Narrow" w:cs="Arial"/>
          <w:sz w:val="24"/>
          <w:szCs w:val="24"/>
          <w:lang w:val="bg-BG"/>
        </w:rPr>
        <w:t>т</w:t>
      </w:r>
      <w:r w:rsidRPr="0021617C">
        <w:rPr>
          <w:rFonts w:ascii="Arial Narrow" w:hAnsi="Arial Narrow" w:cs="Arial"/>
          <w:sz w:val="24"/>
          <w:szCs w:val="24"/>
        </w:rPr>
        <w:t xml:space="preserve">я е </w:t>
      </w:r>
      <w:r w:rsidR="00745A09">
        <w:rPr>
          <w:rFonts w:ascii="Arial Narrow" w:hAnsi="Arial Narrow" w:cs="Arial"/>
          <w:sz w:val="24"/>
          <w:szCs w:val="24"/>
          <w:lang w:val="bg-BG"/>
        </w:rPr>
        <w:t>получена от</w:t>
      </w:r>
      <w:r w:rsidRPr="0021617C">
        <w:rPr>
          <w:rFonts w:ascii="Arial Narrow" w:hAnsi="Arial Narrow" w:cs="Arial"/>
          <w:sz w:val="24"/>
          <w:szCs w:val="24"/>
        </w:rPr>
        <w:t xml:space="preserve"> член на комитета за връзка на предприятие и ако я е предоставила на председателя на професионална организация, която определи това лице за член на комитета за връзка?</w:t>
      </w:r>
    </w:p>
    <w:p w14:paraId="318E26FF" w14:textId="30A8D136" w:rsidR="00B142D5" w:rsidRPr="0021617C" w:rsidRDefault="00B142D5" w:rsidP="00C24F93">
      <w:pPr>
        <w:tabs>
          <w:tab w:val="left" w:pos="567"/>
        </w:tabs>
        <w:spacing w:after="0" w:line="276" w:lineRule="auto"/>
        <w:ind w:left="426" w:firstLine="142"/>
        <w:jc w:val="both"/>
        <w:rPr>
          <w:rFonts w:ascii="Arial Narrow" w:hAnsi="Arial Narrow" w:cs="Arial"/>
          <w:sz w:val="24"/>
          <w:szCs w:val="24"/>
        </w:rPr>
      </w:pPr>
      <w:r w:rsidRPr="0021617C">
        <w:rPr>
          <w:rFonts w:ascii="Arial Narrow" w:hAnsi="Arial Narrow" w:cs="Arial"/>
          <w:sz w:val="24"/>
          <w:szCs w:val="24"/>
        </w:rPr>
        <w:t xml:space="preserve">3) </w:t>
      </w:r>
      <w:r w:rsidR="00745A09">
        <w:rPr>
          <w:rFonts w:ascii="Arial Narrow" w:hAnsi="Arial Narrow" w:cs="Arial"/>
          <w:sz w:val="24"/>
          <w:szCs w:val="24"/>
          <w:lang w:val="bg-BG"/>
        </w:rPr>
        <w:t xml:space="preserve">алинея </w:t>
      </w:r>
      <w:r w:rsidRPr="0021617C">
        <w:rPr>
          <w:rFonts w:ascii="Arial Narrow" w:hAnsi="Arial Narrow" w:cs="Arial"/>
          <w:sz w:val="24"/>
          <w:szCs w:val="24"/>
        </w:rPr>
        <w:t xml:space="preserve">а) от Директива 89/592 забранява на </w:t>
      </w:r>
      <w:r w:rsidR="00745A09">
        <w:rPr>
          <w:rFonts w:ascii="Arial Narrow" w:hAnsi="Arial Narrow" w:cs="Arial"/>
          <w:sz w:val="24"/>
          <w:szCs w:val="24"/>
          <w:lang w:val="bg-BG"/>
        </w:rPr>
        <w:t xml:space="preserve">представителя на </w:t>
      </w:r>
      <w:r w:rsidRPr="0021617C">
        <w:rPr>
          <w:rFonts w:ascii="Arial Narrow" w:hAnsi="Arial Narrow" w:cs="Arial"/>
          <w:sz w:val="24"/>
          <w:szCs w:val="24"/>
        </w:rPr>
        <w:t>професионална</w:t>
      </w:r>
      <w:r w:rsidR="00745A09">
        <w:rPr>
          <w:rFonts w:ascii="Arial Narrow" w:hAnsi="Arial Narrow" w:cs="Arial"/>
          <w:sz w:val="24"/>
          <w:szCs w:val="24"/>
          <w:lang w:val="bg-BG"/>
        </w:rPr>
        <w:t>та</w:t>
      </w:r>
      <w:r w:rsidRPr="0021617C">
        <w:rPr>
          <w:rFonts w:ascii="Arial Narrow" w:hAnsi="Arial Narrow" w:cs="Arial"/>
          <w:sz w:val="24"/>
          <w:szCs w:val="24"/>
        </w:rPr>
        <w:t xml:space="preserve"> организация да разкрива поверителна информация, ако я получи при обстоятелствата, описани в първия въпрос, и съответно я предава: ?</w:t>
      </w:r>
    </w:p>
    <w:p w14:paraId="357AD8DB" w14:textId="77777777" w:rsidR="0086374A" w:rsidRPr="0021617C" w:rsidRDefault="0086374A" w:rsidP="00C24F93">
      <w:pPr>
        <w:tabs>
          <w:tab w:val="left" w:pos="567"/>
        </w:tabs>
        <w:spacing w:after="0" w:line="276" w:lineRule="auto"/>
        <w:ind w:left="426" w:firstLine="142"/>
        <w:jc w:val="both"/>
        <w:rPr>
          <w:rFonts w:ascii="Arial Narrow" w:hAnsi="Arial Narrow" w:cs="Arial"/>
          <w:sz w:val="24"/>
          <w:szCs w:val="24"/>
        </w:rPr>
      </w:pPr>
    </w:p>
    <w:p w14:paraId="44DE29B1" w14:textId="77777777" w:rsidR="00B142D5" w:rsidRPr="0021617C" w:rsidRDefault="00B142D5" w:rsidP="008F4308">
      <w:pPr>
        <w:tabs>
          <w:tab w:val="left" w:pos="567"/>
        </w:tabs>
        <w:spacing w:after="0" w:line="276" w:lineRule="auto"/>
        <w:ind w:left="426"/>
        <w:jc w:val="both"/>
        <w:rPr>
          <w:rFonts w:ascii="Arial Narrow" w:hAnsi="Arial Narrow" w:cs="Arial"/>
          <w:sz w:val="24"/>
          <w:szCs w:val="24"/>
        </w:rPr>
      </w:pPr>
      <w:r w:rsidRPr="0021617C">
        <w:rPr>
          <w:rFonts w:ascii="Arial Narrow" w:hAnsi="Arial Narrow" w:cs="Arial"/>
          <w:sz w:val="24"/>
          <w:szCs w:val="24"/>
        </w:rPr>
        <w:t>Какво влияние върху отговора на първите четири въпроса оказва фактът, че е разкрита поверителна информация:</w:t>
      </w:r>
    </w:p>
    <w:p w14:paraId="19F246DE" w14:textId="77777777" w:rsidR="00B142D5" w:rsidRPr="0021617C" w:rsidRDefault="00B142D5" w:rsidP="00C24F93">
      <w:pPr>
        <w:tabs>
          <w:tab w:val="left" w:pos="567"/>
        </w:tabs>
        <w:spacing w:after="0" w:line="276" w:lineRule="auto"/>
        <w:ind w:left="426" w:firstLine="142"/>
        <w:jc w:val="both"/>
        <w:rPr>
          <w:rFonts w:ascii="Arial Narrow" w:hAnsi="Arial Narrow" w:cs="Arial"/>
          <w:sz w:val="24"/>
          <w:szCs w:val="24"/>
        </w:rPr>
      </w:pPr>
      <w:r w:rsidRPr="0021617C">
        <w:rPr>
          <w:rFonts w:ascii="Arial Narrow" w:hAnsi="Arial Narrow" w:cs="Arial"/>
          <w:sz w:val="24"/>
          <w:szCs w:val="24"/>
        </w:rPr>
        <w:t> а) са свързани с факта, че са започнати преговори за сливане на две дружества, регистрирани на борсата,</w:t>
      </w:r>
    </w:p>
    <w:p w14:paraId="7E9564C6" w14:textId="77777777" w:rsidR="00B142D5" w:rsidRPr="0021617C" w:rsidRDefault="00B142D5" w:rsidP="00C24F93">
      <w:pPr>
        <w:tabs>
          <w:tab w:val="left" w:pos="567"/>
        </w:tabs>
        <w:spacing w:after="0" w:line="276" w:lineRule="auto"/>
        <w:ind w:left="426" w:firstLine="142"/>
        <w:jc w:val="both"/>
        <w:rPr>
          <w:rFonts w:ascii="Arial Narrow" w:hAnsi="Arial Narrow" w:cs="Arial"/>
          <w:sz w:val="24"/>
          <w:szCs w:val="24"/>
        </w:rPr>
      </w:pPr>
      <w:r w:rsidRPr="0021617C">
        <w:rPr>
          <w:rFonts w:ascii="Arial Narrow" w:hAnsi="Arial Narrow" w:cs="Arial"/>
          <w:sz w:val="24"/>
          <w:szCs w:val="24"/>
        </w:rPr>
        <w:t>б) засяга датата на сливане между две дружества, регистрирани на борсата, или</w:t>
      </w:r>
    </w:p>
    <w:p w14:paraId="4447EDA0" w14:textId="77777777" w:rsidR="00B142D5" w:rsidRPr="0021617C" w:rsidRDefault="00B142D5" w:rsidP="00C24F93">
      <w:pPr>
        <w:tabs>
          <w:tab w:val="left" w:pos="567"/>
        </w:tabs>
        <w:spacing w:after="0" w:line="276" w:lineRule="auto"/>
        <w:ind w:left="426" w:firstLine="142"/>
        <w:jc w:val="both"/>
        <w:rPr>
          <w:rFonts w:ascii="Arial Narrow" w:hAnsi="Arial Narrow" w:cs="Arial"/>
          <w:sz w:val="24"/>
          <w:szCs w:val="24"/>
        </w:rPr>
      </w:pPr>
      <w:r w:rsidRPr="0021617C">
        <w:rPr>
          <w:rFonts w:ascii="Arial Narrow" w:hAnsi="Arial Narrow" w:cs="Arial"/>
          <w:sz w:val="24"/>
          <w:szCs w:val="24"/>
        </w:rPr>
        <w:t>в) те се отнасят до размера на увеличението на цената на акционерно дружество, което може да се очаква поради сливането на дружеството с друго регистрирано дружество? "</w:t>
      </w:r>
    </w:p>
    <w:p w14:paraId="1673E9F8" w14:textId="77777777" w:rsidR="00B142D5" w:rsidRPr="0021617C" w:rsidRDefault="00B142D5" w:rsidP="00C24F93">
      <w:pPr>
        <w:tabs>
          <w:tab w:val="left" w:pos="567"/>
        </w:tabs>
        <w:spacing w:after="0" w:line="276" w:lineRule="auto"/>
        <w:ind w:left="426" w:firstLine="142"/>
        <w:jc w:val="both"/>
        <w:rPr>
          <w:rFonts w:ascii="Arial Narrow" w:hAnsi="Arial Narrow" w:cs="Arial"/>
          <w:sz w:val="24"/>
          <w:szCs w:val="24"/>
        </w:rPr>
      </w:pPr>
      <w:r w:rsidRPr="0021617C">
        <w:rPr>
          <w:rFonts w:ascii="Arial Narrow" w:hAnsi="Arial Narrow" w:cs="Arial"/>
          <w:sz w:val="24"/>
          <w:szCs w:val="24"/>
        </w:rPr>
        <w:t>Съдът посочи:</w:t>
      </w:r>
    </w:p>
    <w:p w14:paraId="77E39692" w14:textId="77777777" w:rsidR="00B142D5" w:rsidRPr="0021617C" w:rsidRDefault="00B142D5" w:rsidP="008F4308">
      <w:pPr>
        <w:tabs>
          <w:tab w:val="left" w:pos="567"/>
        </w:tabs>
        <w:spacing w:after="0" w:line="276" w:lineRule="auto"/>
        <w:ind w:left="426"/>
        <w:jc w:val="both"/>
        <w:rPr>
          <w:rFonts w:ascii="Arial Narrow" w:hAnsi="Arial Narrow" w:cs="Arial"/>
          <w:sz w:val="24"/>
          <w:szCs w:val="24"/>
        </w:rPr>
      </w:pPr>
      <w:r w:rsidRPr="0021617C">
        <w:rPr>
          <w:rFonts w:ascii="Arial Narrow" w:hAnsi="Arial Narrow" w:cs="Arial"/>
          <w:sz w:val="24"/>
          <w:szCs w:val="24"/>
        </w:rPr>
        <w:t>За да се ограничи броят на лицата, които биха могли да използват такава информация при покупка или продажба на ценните книжа, към които се отнася, чл. 3 от Директива 89/592 също предвижда лица, посочени в чл. 2 от настоящата директива забранява разкриването на поверителна информация на трети страни.</w:t>
      </w:r>
    </w:p>
    <w:p w14:paraId="71146A2E" w14:textId="7122A66E" w:rsidR="00B142D5" w:rsidRPr="0021617C" w:rsidRDefault="008F4308" w:rsidP="008F4308">
      <w:pPr>
        <w:tabs>
          <w:tab w:val="left" w:pos="567"/>
        </w:tabs>
        <w:spacing w:after="0" w:line="276" w:lineRule="auto"/>
        <w:jc w:val="both"/>
        <w:rPr>
          <w:rFonts w:ascii="Arial Narrow" w:hAnsi="Arial Narrow" w:cs="Arial"/>
          <w:i/>
          <w:iCs/>
          <w:sz w:val="24"/>
          <w:szCs w:val="24"/>
        </w:rPr>
      </w:pPr>
      <w:r>
        <w:rPr>
          <w:rFonts w:ascii="Arial Narrow" w:hAnsi="Arial Narrow" w:cs="Arial"/>
          <w:i/>
          <w:iCs/>
          <w:sz w:val="24"/>
          <w:szCs w:val="24"/>
          <w:lang w:val="bg-BG"/>
        </w:rPr>
        <w:t xml:space="preserve">        </w:t>
      </w:r>
      <w:r w:rsidR="00B142D5" w:rsidRPr="0021617C">
        <w:rPr>
          <w:rFonts w:ascii="Arial Narrow" w:hAnsi="Arial Narrow" w:cs="Arial"/>
          <w:i/>
          <w:iCs/>
          <w:sz w:val="24"/>
          <w:szCs w:val="24"/>
        </w:rPr>
        <w:t>Такава забрана обаче не е абсолютна.</w:t>
      </w:r>
    </w:p>
    <w:p w14:paraId="373A4C64" w14:textId="2DF85048" w:rsidR="00B142D5" w:rsidRPr="0021617C" w:rsidRDefault="00B142D5" w:rsidP="008F4308">
      <w:pPr>
        <w:tabs>
          <w:tab w:val="left" w:pos="567"/>
        </w:tabs>
        <w:spacing w:after="0" w:line="276" w:lineRule="auto"/>
        <w:ind w:left="426"/>
        <w:jc w:val="both"/>
        <w:rPr>
          <w:rFonts w:ascii="Arial Narrow" w:hAnsi="Arial Narrow" w:cs="Arial"/>
          <w:sz w:val="24"/>
          <w:szCs w:val="24"/>
        </w:rPr>
      </w:pPr>
      <w:r w:rsidRPr="0021617C">
        <w:rPr>
          <w:rFonts w:ascii="Arial Narrow" w:hAnsi="Arial Narrow" w:cs="Arial"/>
          <w:sz w:val="24"/>
          <w:szCs w:val="24"/>
        </w:rPr>
        <w:t xml:space="preserve">В съответствие с </w:t>
      </w:r>
      <w:r w:rsidR="006C31F3">
        <w:rPr>
          <w:rFonts w:ascii="Arial Narrow" w:hAnsi="Arial Narrow" w:cs="Arial"/>
          <w:sz w:val="24"/>
          <w:szCs w:val="24"/>
          <w:lang w:val="bg-BG"/>
        </w:rPr>
        <w:t>член</w:t>
      </w:r>
      <w:r w:rsidRPr="0021617C">
        <w:rPr>
          <w:rFonts w:ascii="Arial Narrow" w:hAnsi="Arial Narrow" w:cs="Arial"/>
          <w:sz w:val="24"/>
          <w:szCs w:val="24"/>
        </w:rPr>
        <w:t xml:space="preserve"> 3 </w:t>
      </w:r>
      <w:r w:rsidR="006C31F3">
        <w:rPr>
          <w:rFonts w:ascii="Arial Narrow" w:hAnsi="Arial Narrow" w:cs="Arial"/>
          <w:sz w:val="24"/>
          <w:szCs w:val="24"/>
          <w:lang w:val="bg-BG"/>
        </w:rPr>
        <w:t xml:space="preserve"> точка </w:t>
      </w:r>
      <w:r w:rsidRPr="0021617C">
        <w:rPr>
          <w:rFonts w:ascii="Arial Narrow" w:hAnsi="Arial Narrow" w:cs="Arial"/>
          <w:sz w:val="24"/>
          <w:szCs w:val="24"/>
        </w:rPr>
        <w:t>а) от Директива 89/592, забраната за разкриване на поверителна информация не се прилага, ако нейното оповестяване попада в рамките на нормалния ход на изпълнение на дейнос</w:t>
      </w:r>
      <w:r w:rsidR="006C31F3">
        <w:rPr>
          <w:rFonts w:ascii="Arial Narrow" w:hAnsi="Arial Narrow" w:cs="Arial"/>
          <w:sz w:val="24"/>
          <w:szCs w:val="24"/>
          <w:lang w:val="bg-BG"/>
        </w:rPr>
        <w:t>та на дружеството,</w:t>
      </w:r>
      <w:r w:rsidRPr="0021617C">
        <w:rPr>
          <w:rFonts w:ascii="Arial Narrow" w:hAnsi="Arial Narrow" w:cs="Arial"/>
          <w:sz w:val="24"/>
          <w:szCs w:val="24"/>
        </w:rPr>
        <w:t xml:space="preserve"> в контекста на заетост</w:t>
      </w:r>
      <w:r w:rsidR="006C31F3">
        <w:rPr>
          <w:rFonts w:ascii="Arial Narrow" w:hAnsi="Arial Narrow" w:cs="Arial"/>
          <w:sz w:val="24"/>
          <w:szCs w:val="24"/>
          <w:lang w:val="bg-BG"/>
        </w:rPr>
        <w:t>та</w:t>
      </w:r>
      <w:r w:rsidRPr="0021617C">
        <w:rPr>
          <w:rFonts w:ascii="Arial Narrow" w:hAnsi="Arial Narrow" w:cs="Arial"/>
          <w:sz w:val="24"/>
          <w:szCs w:val="24"/>
        </w:rPr>
        <w:t xml:space="preserve">, </w:t>
      </w:r>
      <w:r w:rsidR="006C31F3">
        <w:rPr>
          <w:rFonts w:ascii="Arial Narrow" w:hAnsi="Arial Narrow" w:cs="Arial"/>
          <w:sz w:val="24"/>
          <w:szCs w:val="24"/>
          <w:lang w:val="bg-BG"/>
        </w:rPr>
        <w:t xml:space="preserve">професионалните </w:t>
      </w:r>
      <w:r w:rsidRPr="0021617C">
        <w:rPr>
          <w:rFonts w:ascii="Arial Narrow" w:hAnsi="Arial Narrow" w:cs="Arial"/>
          <w:sz w:val="24"/>
          <w:szCs w:val="24"/>
        </w:rPr>
        <w:t>или официални задължения.</w:t>
      </w:r>
    </w:p>
    <w:p w14:paraId="52915E89" w14:textId="24871A07" w:rsidR="00B142D5" w:rsidRPr="0021617C" w:rsidRDefault="00B142D5" w:rsidP="008F4308">
      <w:pPr>
        <w:tabs>
          <w:tab w:val="left" w:pos="567"/>
        </w:tabs>
        <w:spacing w:after="0" w:line="276" w:lineRule="auto"/>
        <w:ind w:left="426"/>
        <w:jc w:val="both"/>
        <w:rPr>
          <w:rFonts w:ascii="Arial Narrow" w:hAnsi="Arial Narrow" w:cs="Arial"/>
          <w:sz w:val="24"/>
          <w:szCs w:val="24"/>
        </w:rPr>
      </w:pPr>
      <w:r w:rsidRPr="0021617C">
        <w:rPr>
          <w:rFonts w:ascii="Arial Narrow" w:hAnsi="Arial Narrow" w:cs="Arial"/>
          <w:sz w:val="24"/>
          <w:szCs w:val="24"/>
        </w:rPr>
        <w:t>Ако има няколко последователни случая на разкриване</w:t>
      </w:r>
      <w:r w:rsidR="006C31F3">
        <w:rPr>
          <w:rFonts w:ascii="Arial Narrow" w:hAnsi="Arial Narrow" w:cs="Arial"/>
          <w:sz w:val="24"/>
          <w:szCs w:val="24"/>
          <w:lang w:val="bg-BG"/>
        </w:rPr>
        <w:t xml:space="preserve"> на информация,</w:t>
      </w:r>
      <w:r w:rsidRPr="0021617C">
        <w:rPr>
          <w:rFonts w:ascii="Arial Narrow" w:hAnsi="Arial Narrow" w:cs="Arial"/>
          <w:sz w:val="24"/>
          <w:szCs w:val="24"/>
        </w:rPr>
        <w:t xml:space="preserve"> всеки от тях трябва да отговаря на тези изисквания, за да попадне в обхвата на изключението, предвидено в чл. 3 </w:t>
      </w:r>
      <w:r w:rsidR="006C31F3">
        <w:rPr>
          <w:rFonts w:ascii="Arial Narrow" w:hAnsi="Arial Narrow" w:cs="Arial"/>
          <w:sz w:val="24"/>
          <w:szCs w:val="24"/>
          <w:lang w:val="bg-BG"/>
        </w:rPr>
        <w:t>точка</w:t>
      </w:r>
      <w:r w:rsidRPr="0021617C">
        <w:rPr>
          <w:rFonts w:ascii="Arial Narrow" w:hAnsi="Arial Narrow" w:cs="Arial"/>
          <w:sz w:val="24"/>
          <w:szCs w:val="24"/>
        </w:rPr>
        <w:t>. а) от Директива 89/592.</w:t>
      </w:r>
    </w:p>
    <w:p w14:paraId="2DE48F2E" w14:textId="77777777" w:rsidR="00B142D5" w:rsidRPr="0021617C" w:rsidRDefault="00B142D5" w:rsidP="008F4308">
      <w:pPr>
        <w:tabs>
          <w:tab w:val="left" w:pos="567"/>
        </w:tabs>
        <w:spacing w:after="0" w:line="276" w:lineRule="auto"/>
        <w:ind w:left="426"/>
        <w:jc w:val="both"/>
        <w:rPr>
          <w:rFonts w:ascii="Arial Narrow" w:hAnsi="Arial Narrow" w:cs="Arial"/>
          <w:sz w:val="24"/>
          <w:szCs w:val="24"/>
        </w:rPr>
      </w:pPr>
      <w:r w:rsidRPr="0021617C">
        <w:rPr>
          <w:rFonts w:ascii="Arial Narrow" w:hAnsi="Arial Narrow" w:cs="Arial"/>
          <w:sz w:val="24"/>
          <w:szCs w:val="24"/>
        </w:rPr>
        <w:lastRenderedPageBreak/>
        <w:t>Ако има нужда от оценка на необходимостта от разкриване на вътрешна информация, трябва да се вземе предвид и фактът, че всяко последващо разкриване може да увеличи риска информацията да бъде използвана за цели, противоречащи на Директива 89/592.</w:t>
      </w:r>
    </w:p>
    <w:p w14:paraId="34559048" w14:textId="39A31668" w:rsidR="00B142D5" w:rsidRPr="0021617C" w:rsidRDefault="00B142D5" w:rsidP="008F4308">
      <w:pPr>
        <w:tabs>
          <w:tab w:val="left" w:pos="567"/>
        </w:tabs>
        <w:spacing w:after="0" w:line="276" w:lineRule="auto"/>
        <w:ind w:left="426"/>
        <w:jc w:val="both"/>
        <w:rPr>
          <w:rFonts w:ascii="Arial Narrow" w:hAnsi="Arial Narrow" w:cs="Arial"/>
          <w:sz w:val="24"/>
          <w:szCs w:val="24"/>
        </w:rPr>
      </w:pPr>
      <w:r w:rsidRPr="0021617C">
        <w:rPr>
          <w:rFonts w:ascii="Arial Narrow" w:hAnsi="Arial Narrow" w:cs="Arial"/>
          <w:sz w:val="24"/>
          <w:szCs w:val="24"/>
        </w:rPr>
        <w:t xml:space="preserve">При определяне дали оповестяването </w:t>
      </w:r>
      <w:r w:rsidR="006C31F3">
        <w:rPr>
          <w:rFonts w:ascii="Arial Narrow" w:hAnsi="Arial Narrow" w:cs="Arial"/>
          <w:sz w:val="24"/>
          <w:szCs w:val="24"/>
          <w:lang w:val="bg-BG"/>
        </w:rPr>
        <w:t xml:space="preserve">на информация </w:t>
      </w:r>
      <w:r w:rsidRPr="0021617C">
        <w:rPr>
          <w:rFonts w:ascii="Arial Narrow" w:hAnsi="Arial Narrow" w:cs="Arial"/>
          <w:sz w:val="24"/>
          <w:szCs w:val="24"/>
        </w:rPr>
        <w:t xml:space="preserve">е оправдано в даден </w:t>
      </w:r>
      <w:r w:rsidR="006C31F3">
        <w:rPr>
          <w:rFonts w:ascii="Arial Narrow" w:hAnsi="Arial Narrow" w:cs="Arial"/>
          <w:sz w:val="24"/>
          <w:szCs w:val="24"/>
          <w:lang w:val="bg-BG"/>
        </w:rPr>
        <w:t xml:space="preserve">конкретен </w:t>
      </w:r>
      <w:r w:rsidRPr="0021617C">
        <w:rPr>
          <w:rFonts w:ascii="Arial Narrow" w:hAnsi="Arial Narrow" w:cs="Arial"/>
          <w:sz w:val="24"/>
          <w:szCs w:val="24"/>
        </w:rPr>
        <w:t>случай, следва да се вземе предвид  степента на поверителност на информацията.</w:t>
      </w:r>
    </w:p>
    <w:p w14:paraId="518CF950" w14:textId="61447B6B" w:rsidR="00B142D5" w:rsidRPr="0021617C" w:rsidRDefault="00B142D5" w:rsidP="008F4308">
      <w:pPr>
        <w:tabs>
          <w:tab w:val="left" w:pos="567"/>
        </w:tabs>
        <w:spacing w:after="0" w:line="276" w:lineRule="auto"/>
        <w:ind w:left="426"/>
        <w:jc w:val="both"/>
        <w:rPr>
          <w:rFonts w:ascii="Arial Narrow" w:hAnsi="Arial Narrow" w:cs="Arial"/>
          <w:sz w:val="24"/>
          <w:szCs w:val="24"/>
        </w:rPr>
      </w:pPr>
      <w:r w:rsidRPr="0021617C">
        <w:rPr>
          <w:rFonts w:ascii="Arial Narrow" w:hAnsi="Arial Narrow" w:cs="Arial"/>
          <w:sz w:val="24"/>
          <w:szCs w:val="24"/>
        </w:rPr>
        <w:t xml:space="preserve">Необходимо е особено внимание </w:t>
      </w:r>
      <w:r w:rsidR="006C31F3">
        <w:rPr>
          <w:rFonts w:ascii="Arial Narrow" w:hAnsi="Arial Narrow" w:cs="Arial"/>
          <w:sz w:val="24"/>
          <w:szCs w:val="24"/>
          <w:lang w:val="bg-BG"/>
        </w:rPr>
        <w:t>в случаите на</w:t>
      </w:r>
      <w:r w:rsidRPr="0021617C">
        <w:rPr>
          <w:rFonts w:ascii="Arial Narrow" w:hAnsi="Arial Narrow" w:cs="Arial"/>
          <w:sz w:val="24"/>
          <w:szCs w:val="24"/>
        </w:rPr>
        <w:t xml:space="preserve"> разкриване на поверителна информация, която </w:t>
      </w:r>
      <w:r w:rsidR="006C31F3">
        <w:rPr>
          <w:rFonts w:ascii="Arial Narrow" w:hAnsi="Arial Narrow" w:cs="Arial"/>
          <w:sz w:val="24"/>
          <w:szCs w:val="24"/>
          <w:lang w:val="bg-BG"/>
        </w:rPr>
        <w:t>в значителна степен би могла</w:t>
      </w:r>
      <w:r w:rsidRPr="0021617C">
        <w:rPr>
          <w:rFonts w:ascii="Arial Narrow" w:hAnsi="Arial Narrow" w:cs="Arial"/>
          <w:sz w:val="24"/>
          <w:szCs w:val="24"/>
        </w:rPr>
        <w:t xml:space="preserve"> да повлияе на обменния курс на </w:t>
      </w:r>
      <w:r w:rsidR="006C31F3">
        <w:rPr>
          <w:rFonts w:ascii="Arial Narrow" w:hAnsi="Arial Narrow" w:cs="Arial"/>
          <w:sz w:val="24"/>
          <w:szCs w:val="24"/>
          <w:lang w:val="bg-BG"/>
        </w:rPr>
        <w:t xml:space="preserve">акциите и други </w:t>
      </w:r>
      <w:r w:rsidRPr="0021617C">
        <w:rPr>
          <w:rFonts w:ascii="Arial Narrow" w:hAnsi="Arial Narrow" w:cs="Arial"/>
          <w:sz w:val="24"/>
          <w:szCs w:val="24"/>
        </w:rPr>
        <w:t>ценни книжа</w:t>
      </w:r>
      <w:r w:rsidR="006C31F3">
        <w:rPr>
          <w:rFonts w:ascii="Arial Narrow" w:hAnsi="Arial Narrow" w:cs="Arial"/>
          <w:sz w:val="24"/>
          <w:szCs w:val="24"/>
          <w:lang w:val="bg-BG"/>
        </w:rPr>
        <w:t xml:space="preserve"> на дружеството</w:t>
      </w:r>
      <w:r w:rsidRPr="0021617C">
        <w:rPr>
          <w:rFonts w:ascii="Arial Narrow" w:hAnsi="Arial Narrow" w:cs="Arial"/>
          <w:sz w:val="24"/>
          <w:szCs w:val="24"/>
        </w:rPr>
        <w:t>.</w:t>
      </w:r>
    </w:p>
    <w:p w14:paraId="28456621" w14:textId="30CD9F20" w:rsidR="005771B4" w:rsidRPr="0021617C" w:rsidRDefault="005771B4" w:rsidP="008F4308">
      <w:pPr>
        <w:tabs>
          <w:tab w:val="left" w:pos="567"/>
        </w:tabs>
        <w:spacing w:after="0" w:line="276" w:lineRule="auto"/>
        <w:ind w:left="426"/>
        <w:jc w:val="both"/>
        <w:rPr>
          <w:rFonts w:ascii="Arial Narrow" w:hAnsi="Arial Narrow" w:cs="Arial"/>
          <w:sz w:val="24"/>
          <w:szCs w:val="24"/>
        </w:rPr>
      </w:pPr>
      <w:r w:rsidRPr="0021617C">
        <w:rPr>
          <w:rFonts w:ascii="Arial Narrow" w:hAnsi="Arial Narrow" w:cs="Arial"/>
          <w:sz w:val="24"/>
          <w:szCs w:val="24"/>
        </w:rPr>
        <w:t>С оглед на гореизложеното следва да се отбележи, че поверителната информация относно сливането на две дружества</w:t>
      </w:r>
      <w:r w:rsidR="006C31F3">
        <w:rPr>
          <w:rFonts w:ascii="Arial Narrow" w:hAnsi="Arial Narrow" w:cs="Arial"/>
          <w:sz w:val="24"/>
          <w:szCs w:val="24"/>
          <w:lang w:val="bg-BG"/>
        </w:rPr>
        <w:t xml:space="preserve"> </w:t>
      </w:r>
      <w:r w:rsidRPr="0021617C">
        <w:rPr>
          <w:rFonts w:ascii="Arial Narrow" w:hAnsi="Arial Narrow" w:cs="Arial"/>
          <w:sz w:val="24"/>
          <w:szCs w:val="24"/>
        </w:rPr>
        <w:t>обикновено е</w:t>
      </w:r>
      <w:r w:rsidR="006C31F3">
        <w:rPr>
          <w:rFonts w:ascii="Arial Narrow" w:hAnsi="Arial Narrow" w:cs="Arial"/>
          <w:sz w:val="24"/>
          <w:szCs w:val="24"/>
          <w:lang w:val="bg-BG"/>
        </w:rPr>
        <w:t xml:space="preserve"> изключително поверителна.</w:t>
      </w:r>
      <w:r w:rsidRPr="0021617C">
        <w:rPr>
          <w:rFonts w:ascii="Arial Narrow" w:hAnsi="Arial Narrow" w:cs="Arial"/>
          <w:sz w:val="24"/>
          <w:szCs w:val="24"/>
        </w:rPr>
        <w:t>.</w:t>
      </w:r>
    </w:p>
    <w:p w14:paraId="096BC154" w14:textId="6D6D57D0" w:rsidR="005771B4" w:rsidRPr="0021617C" w:rsidRDefault="005771B4" w:rsidP="008F4308">
      <w:pPr>
        <w:tabs>
          <w:tab w:val="left" w:pos="567"/>
        </w:tabs>
        <w:spacing w:after="0" w:line="276" w:lineRule="auto"/>
        <w:ind w:left="426"/>
        <w:jc w:val="both"/>
        <w:rPr>
          <w:rFonts w:ascii="Arial Narrow" w:hAnsi="Arial Narrow" w:cs="Arial"/>
          <w:sz w:val="24"/>
          <w:szCs w:val="24"/>
        </w:rPr>
      </w:pPr>
      <w:r w:rsidRPr="0021617C">
        <w:rPr>
          <w:rFonts w:ascii="Arial Narrow" w:hAnsi="Arial Narrow" w:cs="Arial"/>
          <w:sz w:val="24"/>
          <w:szCs w:val="24"/>
        </w:rPr>
        <w:t xml:space="preserve">Тук трябва да се посочи на първо място, че статутът и правилата за функциониране на административните, управителните или надзорните органи на капиталовите дружества, както и статутът и ролята на представителите на работниците в тези органи </w:t>
      </w:r>
      <w:r w:rsidR="006C31F3">
        <w:rPr>
          <w:rFonts w:ascii="Arial Narrow" w:hAnsi="Arial Narrow" w:cs="Arial"/>
          <w:sz w:val="24"/>
          <w:szCs w:val="24"/>
          <w:lang w:val="bg-BG"/>
        </w:rPr>
        <w:t xml:space="preserve">по </w:t>
      </w:r>
      <w:r w:rsidR="0041258F">
        <w:rPr>
          <w:rFonts w:ascii="Arial Narrow" w:hAnsi="Arial Narrow" w:cs="Arial"/>
          <w:sz w:val="24"/>
          <w:szCs w:val="24"/>
          <w:lang w:val="bg-BG"/>
        </w:rPr>
        <w:t>принцип</w:t>
      </w:r>
      <w:r w:rsidR="006C31F3">
        <w:rPr>
          <w:rFonts w:ascii="Arial Narrow" w:hAnsi="Arial Narrow" w:cs="Arial"/>
          <w:sz w:val="24"/>
          <w:szCs w:val="24"/>
          <w:lang w:val="bg-BG"/>
        </w:rPr>
        <w:t xml:space="preserve"> биват </w:t>
      </w:r>
      <w:r w:rsidRPr="0021617C">
        <w:rPr>
          <w:rFonts w:ascii="Arial Narrow" w:hAnsi="Arial Narrow" w:cs="Arial"/>
          <w:sz w:val="24"/>
          <w:szCs w:val="24"/>
        </w:rPr>
        <w:t xml:space="preserve">основно регулирани </w:t>
      </w:r>
      <w:r w:rsidR="006C31F3">
        <w:rPr>
          <w:rFonts w:ascii="Arial Narrow" w:hAnsi="Arial Narrow" w:cs="Arial"/>
          <w:sz w:val="24"/>
          <w:szCs w:val="24"/>
          <w:lang w:val="bg-BG"/>
        </w:rPr>
        <w:t>чрез</w:t>
      </w:r>
      <w:r w:rsidRPr="0021617C">
        <w:rPr>
          <w:rFonts w:ascii="Arial Narrow" w:hAnsi="Arial Narrow" w:cs="Arial"/>
          <w:sz w:val="24"/>
          <w:szCs w:val="24"/>
        </w:rPr>
        <w:t xml:space="preserve"> законодателството на държавите-членки.</w:t>
      </w:r>
    </w:p>
    <w:p w14:paraId="05E475FB" w14:textId="409C7DFF" w:rsidR="005771B4" w:rsidRPr="0021617C" w:rsidRDefault="005771B4" w:rsidP="008F4308">
      <w:pPr>
        <w:tabs>
          <w:tab w:val="left" w:pos="567"/>
        </w:tabs>
        <w:spacing w:after="0" w:line="276" w:lineRule="auto"/>
        <w:ind w:left="426"/>
        <w:jc w:val="both"/>
        <w:rPr>
          <w:rFonts w:ascii="Arial Narrow" w:hAnsi="Arial Narrow" w:cs="Arial"/>
          <w:sz w:val="24"/>
          <w:szCs w:val="24"/>
        </w:rPr>
      </w:pPr>
      <w:r w:rsidRPr="0021617C">
        <w:rPr>
          <w:rFonts w:ascii="Arial Narrow" w:hAnsi="Arial Narrow" w:cs="Arial"/>
          <w:sz w:val="24"/>
          <w:szCs w:val="24"/>
        </w:rPr>
        <w:t>От това следва, че отговорът на въпроса дали разкриването на поверителна информация от т</w:t>
      </w:r>
      <w:r w:rsidR="0041258F">
        <w:rPr>
          <w:rFonts w:ascii="Arial Narrow" w:hAnsi="Arial Narrow" w:cs="Arial"/>
          <w:sz w:val="24"/>
          <w:szCs w:val="24"/>
          <w:lang w:val="bg-BG"/>
        </w:rPr>
        <w:t>член на ЕРС на</w:t>
      </w:r>
      <w:r w:rsidRPr="0021617C">
        <w:rPr>
          <w:rFonts w:ascii="Arial Narrow" w:hAnsi="Arial Narrow" w:cs="Arial"/>
          <w:sz w:val="24"/>
          <w:szCs w:val="24"/>
        </w:rPr>
        <w:t xml:space="preserve"> председателя на </w:t>
      </w:r>
      <w:r w:rsidR="0041258F">
        <w:rPr>
          <w:rFonts w:ascii="Arial Narrow" w:hAnsi="Arial Narrow" w:cs="Arial"/>
          <w:sz w:val="24"/>
          <w:szCs w:val="24"/>
          <w:lang w:val="bg-BG"/>
        </w:rPr>
        <w:t>синдикалната</w:t>
      </w:r>
      <w:r w:rsidRPr="0021617C">
        <w:rPr>
          <w:rFonts w:ascii="Arial Narrow" w:hAnsi="Arial Narrow" w:cs="Arial"/>
          <w:sz w:val="24"/>
          <w:szCs w:val="24"/>
        </w:rPr>
        <w:t xml:space="preserve"> организация е нормалният ход на изпълнение на служебните задължения, зависи до голяма степен от разпоредбите, уреждащи тези служебни задължения в съответния национален правен ред.</w:t>
      </w:r>
    </w:p>
    <w:p w14:paraId="288ED615" w14:textId="4013683B" w:rsidR="00B804FA" w:rsidRPr="0021617C" w:rsidRDefault="008F4308" w:rsidP="008F4308">
      <w:pPr>
        <w:tabs>
          <w:tab w:val="left" w:pos="567"/>
        </w:tabs>
        <w:spacing w:after="0" w:line="276" w:lineRule="auto"/>
        <w:jc w:val="both"/>
        <w:rPr>
          <w:rFonts w:ascii="Arial Narrow" w:hAnsi="Arial Narrow" w:cs="Arial"/>
          <w:sz w:val="24"/>
          <w:szCs w:val="24"/>
        </w:rPr>
      </w:pPr>
      <w:r>
        <w:rPr>
          <w:rFonts w:ascii="Arial Narrow" w:hAnsi="Arial Narrow" w:cs="Arial"/>
          <w:sz w:val="24"/>
          <w:szCs w:val="24"/>
          <w:lang w:val="bg-BG"/>
        </w:rPr>
        <w:t xml:space="preserve">        </w:t>
      </w:r>
      <w:r w:rsidR="00B804FA" w:rsidRPr="0021617C">
        <w:rPr>
          <w:rFonts w:ascii="Arial Narrow" w:hAnsi="Arial Narrow" w:cs="Arial"/>
          <w:sz w:val="24"/>
          <w:szCs w:val="24"/>
        </w:rPr>
        <w:t>В своето решение Съдът заяви:</w:t>
      </w:r>
    </w:p>
    <w:p w14:paraId="0AB7AA71" w14:textId="78CC52CD" w:rsidR="00B804FA" w:rsidRPr="0021617C" w:rsidRDefault="00B804FA" w:rsidP="008F4308">
      <w:pPr>
        <w:tabs>
          <w:tab w:val="left" w:pos="567"/>
        </w:tabs>
        <w:spacing w:after="0" w:line="276" w:lineRule="auto"/>
        <w:ind w:left="426"/>
        <w:jc w:val="both"/>
        <w:rPr>
          <w:rFonts w:ascii="Arial Narrow" w:hAnsi="Arial Narrow" w:cs="Arial"/>
          <w:sz w:val="24"/>
          <w:szCs w:val="24"/>
        </w:rPr>
      </w:pPr>
      <w:r w:rsidRPr="0021617C">
        <w:rPr>
          <w:rFonts w:ascii="Arial Narrow" w:hAnsi="Arial Narrow" w:cs="Arial"/>
          <w:sz w:val="24"/>
          <w:szCs w:val="24"/>
        </w:rPr>
        <w:t xml:space="preserve">Член 3, </w:t>
      </w:r>
      <w:r w:rsidR="008F4308">
        <w:rPr>
          <w:rFonts w:ascii="Arial Narrow" w:hAnsi="Arial Narrow" w:cs="Arial"/>
          <w:sz w:val="24"/>
          <w:szCs w:val="24"/>
          <w:lang w:val="bg-BG"/>
        </w:rPr>
        <w:t>точка</w:t>
      </w:r>
      <w:r w:rsidRPr="0021617C">
        <w:rPr>
          <w:rFonts w:ascii="Arial Narrow" w:hAnsi="Arial Narrow" w:cs="Arial"/>
          <w:sz w:val="24"/>
          <w:szCs w:val="24"/>
        </w:rPr>
        <w:t xml:space="preserve"> а)</w:t>
      </w:r>
      <w:r w:rsidR="008F4308">
        <w:rPr>
          <w:rFonts w:ascii="Arial Narrow" w:hAnsi="Arial Narrow" w:cs="Arial"/>
          <w:sz w:val="24"/>
          <w:szCs w:val="24"/>
          <w:lang w:val="bg-BG"/>
        </w:rPr>
        <w:t xml:space="preserve"> на</w:t>
      </w:r>
      <w:r w:rsidRPr="0021617C">
        <w:rPr>
          <w:rFonts w:ascii="Arial Narrow" w:hAnsi="Arial Narrow" w:cs="Arial"/>
          <w:sz w:val="24"/>
          <w:szCs w:val="24"/>
        </w:rPr>
        <w:t xml:space="preserve"> Директива 89/592/ЕИО на Съвета от 13 ноември 1989 г. за координиране на разпоредбите относно използването на поверителна информация не позволява на лице, което е получило поверителна информация, като представител на служителите в управителния съвет на дружеството или като член на комитета за връзка на група дружества, да разкрива такава информация. председателят на професионална организация, която свързва тези служители и е определила това лице за член на комитета за връзка, освен когато:</w:t>
      </w:r>
    </w:p>
    <w:p w14:paraId="4312571D" w14:textId="4955E2AE" w:rsidR="00B804FA" w:rsidRPr="0021617C" w:rsidRDefault="00B804FA" w:rsidP="00C24F93">
      <w:pPr>
        <w:tabs>
          <w:tab w:val="left" w:pos="567"/>
        </w:tabs>
        <w:spacing w:after="0" w:line="276" w:lineRule="auto"/>
        <w:ind w:left="426" w:firstLine="142"/>
        <w:jc w:val="both"/>
        <w:rPr>
          <w:rFonts w:ascii="Arial Narrow" w:hAnsi="Arial Narrow" w:cs="Arial"/>
          <w:sz w:val="24"/>
          <w:szCs w:val="24"/>
        </w:rPr>
      </w:pPr>
      <w:r w:rsidRPr="0021617C">
        <w:rPr>
          <w:rFonts w:ascii="Arial Narrow" w:hAnsi="Arial Narrow" w:cs="Arial"/>
          <w:sz w:val="24"/>
          <w:szCs w:val="24"/>
        </w:rPr>
        <w:t xml:space="preserve"> - съществува тясна връзка между разкриването на такава информация и упражняването на </w:t>
      </w:r>
      <w:r w:rsidR="0041258F">
        <w:rPr>
          <w:rFonts w:ascii="Arial Narrow" w:hAnsi="Arial Narrow" w:cs="Arial"/>
          <w:sz w:val="24"/>
          <w:szCs w:val="24"/>
          <w:lang w:val="bg-BG"/>
        </w:rPr>
        <w:t>неговата трудова дейност</w:t>
      </w:r>
      <w:r w:rsidRPr="0021617C">
        <w:rPr>
          <w:rFonts w:ascii="Arial Narrow" w:hAnsi="Arial Narrow" w:cs="Arial"/>
          <w:sz w:val="24"/>
          <w:szCs w:val="24"/>
        </w:rPr>
        <w:t xml:space="preserve">, професия или </w:t>
      </w:r>
      <w:r w:rsidR="0041258F" w:rsidRPr="0021617C">
        <w:rPr>
          <w:rFonts w:ascii="Arial Narrow" w:hAnsi="Arial Narrow" w:cs="Arial"/>
          <w:sz w:val="24"/>
          <w:szCs w:val="24"/>
        </w:rPr>
        <w:t xml:space="preserve">официални </w:t>
      </w:r>
      <w:r w:rsidRPr="0021617C">
        <w:rPr>
          <w:rFonts w:ascii="Arial Narrow" w:hAnsi="Arial Narrow" w:cs="Arial"/>
          <w:sz w:val="24"/>
          <w:szCs w:val="24"/>
        </w:rPr>
        <w:t>задължения</w:t>
      </w:r>
      <w:r w:rsidR="0041258F">
        <w:rPr>
          <w:rFonts w:ascii="Arial Narrow" w:hAnsi="Arial Narrow" w:cs="Arial"/>
          <w:sz w:val="24"/>
          <w:szCs w:val="24"/>
          <w:lang w:val="bg-BG"/>
        </w:rPr>
        <w:t>.</w:t>
      </w:r>
      <w:r w:rsidRPr="0021617C">
        <w:rPr>
          <w:rFonts w:ascii="Arial Narrow" w:hAnsi="Arial Narrow" w:cs="Arial"/>
          <w:sz w:val="24"/>
          <w:szCs w:val="24"/>
        </w:rPr>
        <w:t xml:space="preserve"> </w:t>
      </w:r>
    </w:p>
    <w:p w14:paraId="31A4D7DE" w14:textId="0D8A0096" w:rsidR="00B804FA" w:rsidRPr="0021617C" w:rsidRDefault="00B804FA" w:rsidP="00C24F93">
      <w:pPr>
        <w:tabs>
          <w:tab w:val="left" w:pos="567"/>
        </w:tabs>
        <w:spacing w:after="0" w:line="276" w:lineRule="auto"/>
        <w:ind w:left="426" w:firstLine="142"/>
        <w:jc w:val="both"/>
        <w:rPr>
          <w:rFonts w:ascii="Arial Narrow" w:hAnsi="Arial Narrow" w:cs="Arial"/>
          <w:sz w:val="24"/>
          <w:szCs w:val="24"/>
        </w:rPr>
      </w:pPr>
      <w:r w:rsidRPr="0021617C">
        <w:rPr>
          <w:rFonts w:ascii="Arial Narrow" w:hAnsi="Arial Narrow" w:cs="Arial"/>
          <w:sz w:val="24"/>
          <w:szCs w:val="24"/>
        </w:rPr>
        <w:t>- разкриването на такава информация е строго необходимо за изпълнение на</w:t>
      </w:r>
      <w:r w:rsidR="0041258F">
        <w:rPr>
          <w:rFonts w:ascii="Arial Narrow" w:hAnsi="Arial Narrow" w:cs="Arial"/>
          <w:sz w:val="24"/>
          <w:szCs w:val="24"/>
          <w:lang w:val="bg-BG"/>
        </w:rPr>
        <w:t xml:space="preserve"> </w:t>
      </w:r>
      <w:r w:rsidR="00745A09">
        <w:rPr>
          <w:rFonts w:ascii="Arial Narrow" w:hAnsi="Arial Narrow" w:cs="Arial"/>
          <w:sz w:val="24"/>
          <w:szCs w:val="24"/>
          <w:lang w:val="bg-BG"/>
        </w:rPr>
        <w:t>неговата дейност</w:t>
      </w:r>
      <w:r w:rsidRPr="0021617C">
        <w:rPr>
          <w:rFonts w:ascii="Arial Narrow" w:hAnsi="Arial Narrow" w:cs="Arial"/>
          <w:sz w:val="24"/>
          <w:szCs w:val="24"/>
        </w:rPr>
        <w:t>, професия или официални задължения.</w:t>
      </w:r>
    </w:p>
    <w:p w14:paraId="1BFA1B72" w14:textId="77777777" w:rsidR="00B804FA" w:rsidRPr="0021617C" w:rsidRDefault="00B804FA" w:rsidP="008F4308">
      <w:pPr>
        <w:tabs>
          <w:tab w:val="left" w:pos="567"/>
        </w:tabs>
        <w:spacing w:after="0" w:line="276" w:lineRule="auto"/>
        <w:ind w:left="426"/>
        <w:jc w:val="both"/>
        <w:rPr>
          <w:rFonts w:ascii="Arial Narrow" w:hAnsi="Arial Narrow" w:cs="Arial"/>
          <w:sz w:val="24"/>
          <w:szCs w:val="24"/>
        </w:rPr>
      </w:pPr>
      <w:r w:rsidRPr="0021617C">
        <w:rPr>
          <w:rFonts w:ascii="Arial Narrow" w:hAnsi="Arial Narrow" w:cs="Arial"/>
          <w:sz w:val="24"/>
          <w:szCs w:val="24"/>
        </w:rPr>
        <w:t>Като част от оценката националният съд трябва, в светлината на съответното национално законодателство, да вземе предвид по-специално:</w:t>
      </w:r>
    </w:p>
    <w:p w14:paraId="64FB95F1" w14:textId="6260E52B" w:rsidR="00B804FA" w:rsidRPr="0021617C" w:rsidRDefault="00B804FA" w:rsidP="00C24F93">
      <w:pPr>
        <w:tabs>
          <w:tab w:val="left" w:pos="567"/>
        </w:tabs>
        <w:spacing w:after="0" w:line="276" w:lineRule="auto"/>
        <w:ind w:left="426" w:firstLine="142"/>
        <w:jc w:val="both"/>
        <w:rPr>
          <w:rFonts w:ascii="Arial Narrow" w:hAnsi="Arial Narrow" w:cs="Arial"/>
          <w:sz w:val="24"/>
          <w:szCs w:val="24"/>
        </w:rPr>
      </w:pPr>
      <w:r w:rsidRPr="0021617C">
        <w:rPr>
          <w:rFonts w:ascii="Arial Narrow" w:hAnsi="Arial Narrow" w:cs="Arial"/>
          <w:sz w:val="24"/>
          <w:szCs w:val="24"/>
        </w:rPr>
        <w:t xml:space="preserve">- фактът, че </w:t>
      </w:r>
      <w:r w:rsidR="0041258F">
        <w:rPr>
          <w:rFonts w:ascii="Arial Narrow" w:hAnsi="Arial Narrow" w:cs="Arial"/>
          <w:sz w:val="24"/>
          <w:szCs w:val="24"/>
          <w:lang w:val="bg-BG"/>
        </w:rPr>
        <w:t>подобно</w:t>
      </w:r>
      <w:r w:rsidRPr="0021617C">
        <w:rPr>
          <w:rFonts w:ascii="Arial Narrow" w:hAnsi="Arial Narrow" w:cs="Arial"/>
          <w:sz w:val="24"/>
          <w:szCs w:val="24"/>
        </w:rPr>
        <w:t xml:space="preserve"> изключение от забраната за разкриване на поверителна информация следва да се тълкува стриктно;</w:t>
      </w:r>
    </w:p>
    <w:p w14:paraId="22B41ADD" w14:textId="496D86A3" w:rsidR="00B804FA" w:rsidRPr="0021617C" w:rsidRDefault="00B804FA" w:rsidP="00C24F93">
      <w:pPr>
        <w:tabs>
          <w:tab w:val="left" w:pos="567"/>
        </w:tabs>
        <w:spacing w:after="0" w:line="276" w:lineRule="auto"/>
        <w:ind w:left="426" w:firstLine="142"/>
        <w:jc w:val="both"/>
        <w:rPr>
          <w:rFonts w:ascii="Arial Narrow" w:hAnsi="Arial Narrow" w:cs="Arial"/>
          <w:sz w:val="24"/>
          <w:szCs w:val="24"/>
        </w:rPr>
      </w:pPr>
      <w:r w:rsidRPr="0021617C">
        <w:rPr>
          <w:rFonts w:ascii="Arial Narrow" w:hAnsi="Arial Narrow" w:cs="Arial"/>
          <w:sz w:val="24"/>
          <w:szCs w:val="24"/>
        </w:rPr>
        <w:t> - фактът, че всяко последващо разкриване може да увеличи риска от използване на тази информация за цели, противоречащи на Директива 89/592, и</w:t>
      </w:r>
      <w:r w:rsidR="0041258F">
        <w:rPr>
          <w:rFonts w:ascii="Arial Narrow" w:hAnsi="Arial Narrow" w:cs="Arial"/>
          <w:sz w:val="24"/>
          <w:szCs w:val="24"/>
          <w:lang w:val="bg-BG"/>
        </w:rPr>
        <w:t>това зависи също така от</w:t>
      </w:r>
      <w:r w:rsidRPr="0021617C">
        <w:rPr>
          <w:rFonts w:ascii="Arial Narrow" w:hAnsi="Arial Narrow" w:cs="Arial"/>
          <w:sz w:val="24"/>
          <w:szCs w:val="24"/>
        </w:rPr>
        <w:t>- степента на поверителност на тази информация.</w:t>
      </w:r>
    </w:p>
    <w:p w14:paraId="727761BB" w14:textId="01F274E0" w:rsidR="00311ED7" w:rsidRPr="0041258F" w:rsidRDefault="00311ED7" w:rsidP="008F4308">
      <w:pPr>
        <w:pStyle w:val="NormalWeb"/>
        <w:shd w:val="clear" w:color="auto" w:fill="FFFFFF"/>
        <w:spacing w:after="0" w:line="276" w:lineRule="auto"/>
        <w:ind w:left="426"/>
        <w:jc w:val="both"/>
        <w:rPr>
          <w:rFonts w:ascii="Arial Narrow" w:hAnsi="Arial Narrow" w:cs="Arial"/>
          <w:lang w:val="bg-BG"/>
        </w:rPr>
      </w:pPr>
      <w:r w:rsidRPr="0021617C">
        <w:rPr>
          <w:rFonts w:ascii="Arial Narrow" w:hAnsi="Arial Narrow" w:cs="Arial"/>
        </w:rPr>
        <w:t>Решението се отнася до тълкуването на чл. 3,</w:t>
      </w:r>
      <w:r w:rsidR="008F4308">
        <w:rPr>
          <w:rFonts w:ascii="Arial Narrow" w:hAnsi="Arial Narrow" w:cs="Arial"/>
          <w:lang w:val="bg-BG"/>
        </w:rPr>
        <w:t xml:space="preserve"> точка</w:t>
      </w:r>
      <w:r w:rsidRPr="0021617C">
        <w:rPr>
          <w:rFonts w:ascii="Arial Narrow" w:hAnsi="Arial Narrow" w:cs="Arial"/>
        </w:rPr>
        <w:t xml:space="preserve"> а) от Директива 89/592/ЕИО на Съвета от 13 ноември 1989 г. за координиране на разпоредбите относно използването на поверителна информация. Настоящата директива беше заменена с Директива 2003/6/ЕО на Европейския парламент и на Съвета от 28 януари 2003 г. относно използването на поверителна информация и манипулиране на пазара (пазарна злоупотреба) и беше отменена с Регламент (ЕС) № 596 на Европейския парламент и на Съвета / 2014 от 16 април 2014 г. относно пазарна злоупотреба (Регламент за пазарна злоупотреба) и за отмяна на Директива 2003/6 / ЕО на Европейския </w:t>
      </w:r>
      <w:r w:rsidRPr="0021617C">
        <w:rPr>
          <w:rFonts w:ascii="Arial Narrow" w:hAnsi="Arial Narrow" w:cs="Arial"/>
        </w:rPr>
        <w:lastRenderedPageBreak/>
        <w:t>парламент и на Съвета и Директиви на Съвета 2003/24 / ЕО, 2003/125 / ЕО на Комисията и 2004 г. / 72 /ЕО, наричан по-долу: Регламент за МАР.</w:t>
      </w:r>
    </w:p>
    <w:p w14:paraId="68ED2DC7" w14:textId="77777777" w:rsidR="00311ED7" w:rsidRPr="0021617C" w:rsidRDefault="00311ED7" w:rsidP="008F4308">
      <w:pPr>
        <w:pStyle w:val="NormalWeb"/>
        <w:shd w:val="clear" w:color="auto" w:fill="FFFFFF"/>
        <w:spacing w:after="0" w:line="276" w:lineRule="auto"/>
        <w:ind w:left="426"/>
        <w:jc w:val="both"/>
        <w:rPr>
          <w:rFonts w:ascii="Arial Narrow" w:hAnsi="Arial Narrow" w:cs="Arial"/>
        </w:rPr>
      </w:pPr>
      <w:r w:rsidRPr="0021617C">
        <w:rPr>
          <w:rFonts w:ascii="Arial Narrow" w:hAnsi="Arial Narrow" w:cs="Arial"/>
        </w:rPr>
        <w:t>Решението се отнася до тълкуването на чл. 3, буква а) от Директива 89/592. Въпреки прекратяването на Директива 89/592, тезата на цитираното решение относно издаването на правото на разкриване на поверителна информация от представител на синдикатите остава валидна, тъй като МАР съдържа подобна разпоредба за разкриване на поверителна информация (член 10, параграф 1 от Регламента за МАР). Регламентът за МАР въвежда и изяснява определението за поверителна информация, като същевременно регулира какво е използването на поверителна информация и в кои случаи използването на информация е разрешено действие.</w:t>
      </w:r>
    </w:p>
    <w:p w14:paraId="6E022C64" w14:textId="77777777" w:rsidR="00311ED7" w:rsidRPr="0021617C" w:rsidRDefault="00311ED7" w:rsidP="008F4308">
      <w:pPr>
        <w:pStyle w:val="NormalWeb"/>
        <w:shd w:val="clear" w:color="auto" w:fill="FFFFFF"/>
        <w:spacing w:before="0" w:beforeAutospacing="0" w:after="0" w:afterAutospacing="0" w:line="276" w:lineRule="auto"/>
        <w:ind w:left="426"/>
        <w:jc w:val="both"/>
        <w:rPr>
          <w:rFonts w:ascii="Arial Narrow" w:hAnsi="Arial Narrow" w:cs="Arial"/>
        </w:rPr>
      </w:pPr>
      <w:r w:rsidRPr="0021617C">
        <w:rPr>
          <w:rFonts w:ascii="Arial Narrow" w:hAnsi="Arial Narrow" w:cs="Arial"/>
        </w:rPr>
        <w:t>Понастоящем директният източник за регулиране на дефиницията на поверителна информация относно финансовия пазар и режима за справяне с нея е в полски условия и в правните разпореждания на Регламент (ЕС) № 596/2014 на Европейския парламент и на Съвета на други държави от 16 април 2014 г. относно измамите относно пазара (Регламент за пазарна злоупотреба) и за отмяна на Директива 2003/6 / ЕО на Европейския парламент и на директивите на Съвета и Комисията 2003/124 / ЕО, 2003/125 / ЕО и 2004/72 / ЕО.</w:t>
      </w:r>
    </w:p>
    <w:p w14:paraId="646DF741" w14:textId="77777777" w:rsidR="001266A9" w:rsidRPr="0021617C" w:rsidRDefault="001266A9" w:rsidP="00C24F93">
      <w:pPr>
        <w:tabs>
          <w:tab w:val="left" w:pos="567"/>
        </w:tabs>
        <w:spacing w:after="0" w:line="276" w:lineRule="auto"/>
        <w:ind w:left="426" w:firstLine="142"/>
        <w:jc w:val="both"/>
        <w:rPr>
          <w:rFonts w:ascii="Arial Narrow" w:hAnsi="Arial Narrow" w:cs="Arial"/>
          <w:sz w:val="24"/>
          <w:szCs w:val="24"/>
        </w:rPr>
      </w:pPr>
    </w:p>
    <w:p w14:paraId="69B36D6D" w14:textId="01435862" w:rsidR="00311ED7" w:rsidRPr="0021617C" w:rsidRDefault="00311ED7" w:rsidP="008F4308">
      <w:pPr>
        <w:spacing w:after="0" w:line="276" w:lineRule="auto"/>
        <w:ind w:left="426"/>
        <w:jc w:val="both"/>
        <w:rPr>
          <w:rFonts w:ascii="Arial Narrow" w:hAnsi="Arial Narrow" w:cs="Arial"/>
          <w:sz w:val="24"/>
          <w:szCs w:val="24"/>
          <w:shd w:val="clear" w:color="auto" w:fill="FFFFFF"/>
        </w:rPr>
      </w:pPr>
      <w:r w:rsidRPr="0021617C">
        <w:rPr>
          <w:rFonts w:ascii="Arial Narrow" w:hAnsi="Arial Narrow" w:cs="Arial"/>
          <w:sz w:val="24"/>
          <w:szCs w:val="24"/>
          <w:shd w:val="clear" w:color="auto" w:fill="FFFFFF"/>
        </w:rPr>
        <w:t xml:space="preserve">Регламентът въвежда за първи път единно определение на </w:t>
      </w:r>
      <w:r w:rsidR="0041258F">
        <w:rPr>
          <w:rFonts w:ascii="Arial Narrow" w:hAnsi="Arial Narrow" w:cs="Arial"/>
          <w:sz w:val="24"/>
          <w:szCs w:val="24"/>
          <w:shd w:val="clear" w:color="auto" w:fill="FFFFFF"/>
          <w:lang w:val="bg-BG"/>
        </w:rPr>
        <w:t>термина „</w:t>
      </w:r>
      <w:r w:rsidRPr="0021617C">
        <w:rPr>
          <w:rFonts w:ascii="Arial Narrow" w:hAnsi="Arial Narrow" w:cs="Arial"/>
          <w:sz w:val="24"/>
          <w:szCs w:val="24"/>
          <w:shd w:val="clear" w:color="auto" w:fill="FFFFFF"/>
        </w:rPr>
        <w:t>поверителна информация</w:t>
      </w:r>
      <w:r w:rsidR="0041258F">
        <w:rPr>
          <w:rFonts w:ascii="Arial Narrow" w:hAnsi="Arial Narrow" w:cs="Arial"/>
          <w:sz w:val="24"/>
          <w:szCs w:val="24"/>
          <w:shd w:val="clear" w:color="auto" w:fill="FFFFFF"/>
          <w:lang w:val="bg-BG"/>
        </w:rPr>
        <w:t>“</w:t>
      </w:r>
      <w:r w:rsidRPr="0021617C">
        <w:rPr>
          <w:rFonts w:ascii="Arial Narrow" w:hAnsi="Arial Narrow" w:cs="Arial"/>
          <w:sz w:val="24"/>
          <w:szCs w:val="24"/>
          <w:shd w:val="clear" w:color="auto" w:fill="FFFFFF"/>
        </w:rPr>
        <w:t xml:space="preserve"> във всички държави-членки.</w:t>
      </w:r>
    </w:p>
    <w:p w14:paraId="6512C98F" w14:textId="77777777" w:rsidR="003268D8" w:rsidRPr="0021617C" w:rsidRDefault="003268D8" w:rsidP="008F4308">
      <w:pPr>
        <w:shd w:val="clear" w:color="auto" w:fill="FFFFFF"/>
        <w:spacing w:before="100" w:beforeAutospacing="1" w:after="100" w:afterAutospacing="1"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Определението за поверителна информация е регламентирано в чл. 7 елемент 1 от Регламента. Поверителната информация има следните характеристики:</w:t>
      </w:r>
    </w:p>
    <w:p w14:paraId="1CCB52C9" w14:textId="77777777" w:rsidR="003268D8" w:rsidRPr="0021617C" w:rsidRDefault="003268D8" w:rsidP="00C24F93">
      <w:pPr>
        <w:shd w:val="clear" w:color="auto" w:fill="FFFFFF"/>
        <w:spacing w:after="0" w:line="276" w:lineRule="auto"/>
        <w:ind w:left="426" w:firstLine="142"/>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 са посочени точно;</w:t>
      </w:r>
    </w:p>
    <w:p w14:paraId="3F33A8B5" w14:textId="77777777" w:rsidR="003268D8" w:rsidRPr="0021617C" w:rsidRDefault="003268D8" w:rsidP="00C24F93">
      <w:pPr>
        <w:shd w:val="clear" w:color="auto" w:fill="FFFFFF"/>
        <w:spacing w:after="0" w:line="276" w:lineRule="auto"/>
        <w:ind w:left="426" w:firstLine="142"/>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 не са били публично достояние;</w:t>
      </w:r>
    </w:p>
    <w:p w14:paraId="3BDC10BB" w14:textId="77777777" w:rsidR="003268D8" w:rsidRPr="0021617C" w:rsidRDefault="003268D8" w:rsidP="00C24F93">
      <w:pPr>
        <w:shd w:val="clear" w:color="auto" w:fill="FFFFFF"/>
        <w:spacing w:after="0" w:line="276" w:lineRule="auto"/>
        <w:ind w:left="426" w:firstLine="142"/>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 те се отнасят пряко или косвено към един или повече емитенти или един или повече финансови инструменти;</w:t>
      </w:r>
    </w:p>
    <w:p w14:paraId="047A9BC5" w14:textId="77777777" w:rsidR="003268D8" w:rsidRPr="0021617C" w:rsidRDefault="003268D8" w:rsidP="00C24F93">
      <w:pPr>
        <w:shd w:val="clear" w:color="auto" w:fill="FFFFFF"/>
        <w:spacing w:after="0" w:line="276" w:lineRule="auto"/>
        <w:ind w:left="426" w:firstLine="142"/>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  - ако бъдат публично достояние, те вероятно биха оказали значително влияние върху цените на (финансовите инструменти) или свързаните с тях финансови деривати;</w:t>
      </w:r>
    </w:p>
    <w:p w14:paraId="6EB69321" w14:textId="77777777" w:rsidR="003268D8" w:rsidRPr="0021617C" w:rsidRDefault="003268D8" w:rsidP="00C24F93">
      <w:pPr>
        <w:spacing w:after="0" w:line="276" w:lineRule="auto"/>
        <w:ind w:left="426" w:firstLine="142"/>
        <w:jc w:val="both"/>
        <w:rPr>
          <w:rFonts w:ascii="Arial Narrow" w:eastAsia="Times New Roman" w:hAnsi="Arial Narrow" w:cs="Arial"/>
          <w:sz w:val="24"/>
          <w:szCs w:val="24"/>
          <w:lang w:eastAsia="pl-PL"/>
        </w:rPr>
      </w:pPr>
    </w:p>
    <w:p w14:paraId="6D374C86" w14:textId="77777777" w:rsidR="003268D8" w:rsidRPr="0021617C" w:rsidRDefault="003268D8" w:rsidP="008F4308">
      <w:pPr>
        <w:spacing w:after="0" w:line="276" w:lineRule="auto"/>
        <w:ind w:left="426"/>
        <w:jc w:val="both"/>
        <w:rPr>
          <w:rFonts w:ascii="Arial Narrow" w:eastAsia="Calibri" w:hAnsi="Arial Narrow" w:cs="Arial"/>
          <w:sz w:val="24"/>
          <w:szCs w:val="24"/>
          <w:shd w:val="clear" w:color="auto" w:fill="FFFFFF"/>
        </w:rPr>
      </w:pPr>
      <w:r w:rsidRPr="0021617C">
        <w:rPr>
          <w:rFonts w:ascii="Arial Narrow" w:eastAsia="Calibri" w:hAnsi="Arial Narrow" w:cs="Arial"/>
          <w:sz w:val="24"/>
          <w:szCs w:val="24"/>
          <w:shd w:val="clear" w:color="auto" w:fill="FFFFFF"/>
        </w:rPr>
        <w:t>Същността на поверителната информация е следователно нейната специална стойност, произтичаща от факта, че докато не бъде оповестена публично, тя е единствена собственост на емитента (или друго образувание, за което се отнася). По дефиниция тази информация представлява специфична стойност, имот или неимущество и следователно само няколко души имат достъп до нея. Специалната стойност на поверителната информация се състои и във факта, че нейното разкриване, особено „преждевременно“, може да повлияе на цената или стойността на конкретни финансови инструменти.</w:t>
      </w:r>
    </w:p>
    <w:p w14:paraId="6C2C43D5" w14:textId="77777777" w:rsidR="008F4308" w:rsidRDefault="008F4308" w:rsidP="008F4308">
      <w:pPr>
        <w:spacing w:after="0" w:line="276" w:lineRule="auto"/>
        <w:ind w:left="426"/>
        <w:jc w:val="both"/>
        <w:rPr>
          <w:rFonts w:ascii="Arial Narrow" w:eastAsia="Calibri" w:hAnsi="Arial Narrow" w:cs="Arial"/>
          <w:sz w:val="24"/>
          <w:szCs w:val="24"/>
          <w:shd w:val="clear" w:color="auto" w:fill="FFFFFF"/>
        </w:rPr>
      </w:pPr>
    </w:p>
    <w:p w14:paraId="7D7FB47A" w14:textId="4D7A6973" w:rsidR="003268D8" w:rsidRPr="0021617C" w:rsidRDefault="003268D8" w:rsidP="008F4308">
      <w:pPr>
        <w:spacing w:after="0" w:line="276" w:lineRule="auto"/>
        <w:ind w:left="426"/>
        <w:jc w:val="both"/>
        <w:rPr>
          <w:rFonts w:ascii="Arial Narrow" w:eastAsia="Calibri" w:hAnsi="Arial Narrow" w:cs="Arial"/>
          <w:sz w:val="24"/>
          <w:szCs w:val="24"/>
          <w:shd w:val="clear" w:color="auto" w:fill="FFFFFF"/>
        </w:rPr>
      </w:pPr>
      <w:r w:rsidRPr="0021617C">
        <w:rPr>
          <w:rFonts w:ascii="Arial Narrow" w:eastAsia="Calibri" w:hAnsi="Arial Narrow" w:cs="Arial"/>
          <w:sz w:val="24"/>
          <w:szCs w:val="24"/>
          <w:shd w:val="clear" w:color="auto" w:fill="FFFFFF"/>
        </w:rPr>
        <w:t>В разпоредбите на чл. 7 елемент 1 Регламент разграничава четири категории поверителна информация.</w:t>
      </w:r>
    </w:p>
    <w:p w14:paraId="34820305" w14:textId="77777777" w:rsidR="003268D8" w:rsidRPr="0021617C" w:rsidRDefault="003268D8" w:rsidP="008F4308">
      <w:pPr>
        <w:spacing w:after="0" w:line="276" w:lineRule="auto"/>
        <w:ind w:left="426"/>
        <w:jc w:val="both"/>
        <w:rPr>
          <w:rFonts w:ascii="Arial Narrow" w:eastAsia="Calibri" w:hAnsi="Arial Narrow" w:cs="Arial"/>
          <w:sz w:val="24"/>
          <w:szCs w:val="24"/>
          <w:shd w:val="clear" w:color="auto" w:fill="FFFFFF"/>
        </w:rPr>
      </w:pPr>
      <w:r w:rsidRPr="0021617C">
        <w:rPr>
          <w:rFonts w:ascii="Arial Narrow" w:eastAsia="Calibri" w:hAnsi="Arial Narrow" w:cs="Arial"/>
          <w:sz w:val="24"/>
          <w:szCs w:val="24"/>
          <w:shd w:val="clear" w:color="auto" w:fill="FFFFFF"/>
        </w:rPr>
        <w:t>Първата, най-често срещаната, се отнася до емитентите на акции и от други организирани платформи за търговия (като правило - акционерни дружества).</w:t>
      </w:r>
    </w:p>
    <w:p w14:paraId="7ABA9381" w14:textId="77777777" w:rsidR="003268D8" w:rsidRPr="0021617C" w:rsidRDefault="003268D8" w:rsidP="00C24F93">
      <w:pPr>
        <w:spacing w:after="0" w:line="276" w:lineRule="auto"/>
        <w:ind w:left="426" w:firstLine="142"/>
        <w:jc w:val="both"/>
        <w:rPr>
          <w:rFonts w:ascii="Arial Narrow" w:eastAsia="Calibri" w:hAnsi="Arial Narrow" w:cs="Arial"/>
          <w:sz w:val="24"/>
          <w:szCs w:val="24"/>
          <w:shd w:val="clear" w:color="auto" w:fill="FFFFFF"/>
        </w:rPr>
      </w:pPr>
    </w:p>
    <w:p w14:paraId="62B9C102" w14:textId="77777777" w:rsidR="003268D8" w:rsidRPr="0021617C" w:rsidRDefault="003268D8" w:rsidP="008F4308">
      <w:pPr>
        <w:spacing w:after="0" w:line="276" w:lineRule="auto"/>
        <w:ind w:left="426"/>
        <w:jc w:val="both"/>
        <w:rPr>
          <w:rFonts w:ascii="Arial Narrow" w:eastAsia="Calibri" w:hAnsi="Arial Narrow" w:cs="Arial"/>
          <w:sz w:val="24"/>
          <w:szCs w:val="24"/>
          <w:shd w:val="clear" w:color="auto" w:fill="FFFFFF"/>
        </w:rPr>
      </w:pPr>
      <w:r w:rsidRPr="0021617C">
        <w:rPr>
          <w:rFonts w:ascii="Arial Narrow" w:eastAsia="Calibri" w:hAnsi="Arial Narrow" w:cs="Arial"/>
          <w:sz w:val="24"/>
          <w:szCs w:val="24"/>
          <w:shd w:val="clear" w:color="auto" w:fill="FFFFFF"/>
        </w:rPr>
        <w:lastRenderedPageBreak/>
        <w:t>Втората категория се отнася до квотите за емисии или предлаганите на търг продукти въз основа на тях и участниците на пазара за квоти за емисии.</w:t>
      </w:r>
    </w:p>
    <w:p w14:paraId="0B2E6164" w14:textId="77777777" w:rsidR="003268D8" w:rsidRPr="0021617C" w:rsidRDefault="003268D8" w:rsidP="00C24F93">
      <w:pPr>
        <w:spacing w:after="0" w:line="276" w:lineRule="auto"/>
        <w:ind w:left="426" w:firstLine="142"/>
        <w:jc w:val="both"/>
        <w:rPr>
          <w:rFonts w:ascii="Arial Narrow" w:eastAsia="Calibri" w:hAnsi="Arial Narrow" w:cs="Arial"/>
          <w:sz w:val="24"/>
          <w:szCs w:val="24"/>
          <w:shd w:val="clear" w:color="auto" w:fill="FFFFFF"/>
        </w:rPr>
      </w:pPr>
    </w:p>
    <w:p w14:paraId="0D5AEFE1" w14:textId="63D7DB38" w:rsidR="003268D8" w:rsidRPr="0021617C" w:rsidRDefault="003268D8" w:rsidP="008F4308">
      <w:pPr>
        <w:spacing w:after="0" w:line="276" w:lineRule="auto"/>
        <w:ind w:left="426"/>
        <w:jc w:val="both"/>
        <w:rPr>
          <w:rFonts w:ascii="Arial Narrow" w:eastAsia="Calibri" w:hAnsi="Arial Narrow" w:cs="Arial"/>
          <w:sz w:val="24"/>
          <w:szCs w:val="24"/>
          <w:shd w:val="clear" w:color="auto" w:fill="FFFFFF"/>
        </w:rPr>
      </w:pPr>
      <w:r w:rsidRPr="0021617C">
        <w:rPr>
          <w:rFonts w:ascii="Arial Narrow" w:eastAsia="Calibri" w:hAnsi="Arial Narrow" w:cs="Arial"/>
          <w:sz w:val="24"/>
          <w:szCs w:val="24"/>
          <w:shd w:val="clear" w:color="auto" w:fill="FFFFFF"/>
        </w:rPr>
        <w:t xml:space="preserve">Третата категория се отнася до стоковите инструменти и техните емитенти. Четвъртият беше оформен като разширение на общото определение в </w:t>
      </w:r>
      <w:r w:rsidR="0041258F">
        <w:rPr>
          <w:rFonts w:ascii="Arial Narrow" w:eastAsia="Calibri" w:hAnsi="Arial Narrow" w:cs="Arial"/>
          <w:sz w:val="24"/>
          <w:szCs w:val="24"/>
          <w:shd w:val="clear" w:color="auto" w:fill="FFFFFF"/>
          <w:lang w:val="bg-BG"/>
        </w:rPr>
        <w:t>член</w:t>
      </w:r>
      <w:r w:rsidRPr="0021617C">
        <w:rPr>
          <w:rFonts w:ascii="Arial Narrow" w:eastAsia="Calibri" w:hAnsi="Arial Narrow" w:cs="Arial"/>
          <w:sz w:val="24"/>
          <w:szCs w:val="24"/>
          <w:shd w:val="clear" w:color="auto" w:fill="FFFFFF"/>
        </w:rPr>
        <w:t xml:space="preserve">. </w:t>
      </w:r>
      <w:r w:rsidR="0041258F">
        <w:rPr>
          <w:rFonts w:ascii="Arial Narrow" w:eastAsia="Calibri" w:hAnsi="Arial Narrow" w:cs="Arial"/>
          <w:sz w:val="24"/>
          <w:szCs w:val="24"/>
          <w:shd w:val="clear" w:color="auto" w:fill="FFFFFF"/>
          <w:lang w:val="bg-BG"/>
        </w:rPr>
        <w:t>аления</w:t>
      </w:r>
      <w:r w:rsidRPr="0021617C">
        <w:rPr>
          <w:rFonts w:ascii="Arial Narrow" w:eastAsia="Calibri" w:hAnsi="Arial Narrow" w:cs="Arial"/>
          <w:sz w:val="24"/>
          <w:szCs w:val="24"/>
          <w:shd w:val="clear" w:color="auto" w:fill="FFFFFF"/>
        </w:rPr>
        <w:t xml:space="preserve"> 1 </w:t>
      </w:r>
      <w:r w:rsidR="0041258F">
        <w:rPr>
          <w:rFonts w:ascii="Arial Narrow" w:eastAsia="Calibri" w:hAnsi="Arial Narrow" w:cs="Arial"/>
          <w:sz w:val="24"/>
          <w:szCs w:val="24"/>
          <w:shd w:val="clear" w:color="auto" w:fill="FFFFFF"/>
          <w:lang w:val="bg-BG"/>
        </w:rPr>
        <w:t xml:space="preserve"> - </w:t>
      </w:r>
      <w:r w:rsidRPr="0021617C">
        <w:rPr>
          <w:rFonts w:ascii="Arial Narrow" w:eastAsia="Calibri" w:hAnsi="Arial Narrow" w:cs="Arial"/>
          <w:sz w:val="24"/>
          <w:szCs w:val="24"/>
          <w:shd w:val="clear" w:color="auto" w:fill="FFFFFF"/>
        </w:rPr>
        <w:t>Наредб</w:t>
      </w:r>
      <w:r w:rsidR="0041258F">
        <w:rPr>
          <w:rFonts w:ascii="Arial Narrow" w:eastAsia="Calibri" w:hAnsi="Arial Narrow" w:cs="Arial"/>
          <w:sz w:val="24"/>
          <w:szCs w:val="24"/>
          <w:shd w:val="clear" w:color="auto" w:fill="FFFFFF"/>
          <w:lang w:val="bg-BG"/>
        </w:rPr>
        <w:t>а</w:t>
      </w:r>
      <w:r w:rsidRPr="0021617C">
        <w:rPr>
          <w:rFonts w:ascii="Arial Narrow" w:eastAsia="Calibri" w:hAnsi="Arial Narrow" w:cs="Arial"/>
          <w:sz w:val="24"/>
          <w:szCs w:val="24"/>
          <w:shd w:val="clear" w:color="auto" w:fill="FFFFFF"/>
        </w:rPr>
        <w:t xml:space="preserve"> за субекти, които професионално участват в приемането и изпълнението на поръчки относно финансови инструменти от клиенти (по принцип: борсови брокери / </w:t>
      </w:r>
      <w:r w:rsidR="0041258F">
        <w:rPr>
          <w:rFonts w:ascii="Arial Narrow" w:eastAsia="Calibri" w:hAnsi="Arial Narrow" w:cs="Arial"/>
          <w:sz w:val="24"/>
          <w:szCs w:val="24"/>
          <w:shd w:val="clear" w:color="auto" w:fill="FFFFFF"/>
          <w:lang w:val="bg-BG"/>
        </w:rPr>
        <w:t xml:space="preserve">само </w:t>
      </w:r>
      <w:r w:rsidRPr="0021617C">
        <w:rPr>
          <w:rFonts w:ascii="Arial Narrow" w:eastAsia="Calibri" w:hAnsi="Arial Narrow" w:cs="Arial"/>
          <w:sz w:val="24"/>
          <w:szCs w:val="24"/>
          <w:shd w:val="clear" w:color="auto" w:fill="FFFFFF"/>
        </w:rPr>
        <w:t>брокери)</w:t>
      </w:r>
    </w:p>
    <w:p w14:paraId="74B14734" w14:textId="77777777" w:rsidR="003268D8" w:rsidRPr="0021617C" w:rsidRDefault="003268D8" w:rsidP="00C24F93">
      <w:pPr>
        <w:spacing w:after="0" w:line="276" w:lineRule="auto"/>
        <w:ind w:left="426" w:firstLine="142"/>
        <w:jc w:val="both"/>
        <w:rPr>
          <w:rFonts w:ascii="Arial Narrow" w:eastAsia="Calibri" w:hAnsi="Arial Narrow" w:cs="Arial"/>
          <w:sz w:val="24"/>
          <w:szCs w:val="24"/>
          <w:shd w:val="clear" w:color="auto" w:fill="FFFFFF"/>
        </w:rPr>
      </w:pPr>
    </w:p>
    <w:p w14:paraId="50058622" w14:textId="77777777" w:rsidR="003268D8" w:rsidRPr="0021617C" w:rsidRDefault="003268D8" w:rsidP="008F4308">
      <w:pPr>
        <w:spacing w:after="0" w:line="276" w:lineRule="auto"/>
        <w:ind w:left="426"/>
        <w:jc w:val="both"/>
        <w:rPr>
          <w:rFonts w:ascii="Arial Narrow" w:eastAsia="Calibri" w:hAnsi="Arial Narrow" w:cs="Arial"/>
          <w:sz w:val="24"/>
          <w:szCs w:val="24"/>
          <w:shd w:val="clear" w:color="auto" w:fill="FFFFFF"/>
        </w:rPr>
      </w:pPr>
      <w:r w:rsidRPr="0021617C">
        <w:rPr>
          <w:rFonts w:ascii="Arial Narrow" w:eastAsia="Calibri" w:hAnsi="Arial Narrow" w:cs="Arial"/>
          <w:sz w:val="24"/>
          <w:szCs w:val="24"/>
          <w:shd w:val="clear" w:color="auto" w:fill="FFFFFF"/>
        </w:rPr>
        <w:t>Неразделна характеристика на информацията е нейният потенциал за създаване на цена. Това формиране на цените се разбира обективно и субективно от гледна точка на инвеститора и емитента.</w:t>
      </w:r>
    </w:p>
    <w:p w14:paraId="3CFE91C7" w14:textId="77777777" w:rsidR="008F4308" w:rsidRDefault="008F4308" w:rsidP="008F4308">
      <w:pPr>
        <w:spacing w:after="0" w:line="276" w:lineRule="auto"/>
        <w:ind w:left="426"/>
        <w:jc w:val="both"/>
        <w:rPr>
          <w:rFonts w:ascii="Arial Narrow" w:eastAsia="Calibri" w:hAnsi="Arial Narrow" w:cs="Arial"/>
          <w:sz w:val="24"/>
          <w:szCs w:val="24"/>
          <w:shd w:val="clear" w:color="auto" w:fill="FFFFFF"/>
        </w:rPr>
      </w:pPr>
    </w:p>
    <w:p w14:paraId="7EF7A415" w14:textId="6F021C57" w:rsidR="003268D8" w:rsidRPr="0021617C" w:rsidRDefault="003268D8" w:rsidP="008F4308">
      <w:pPr>
        <w:spacing w:after="0" w:line="276" w:lineRule="auto"/>
        <w:ind w:left="426"/>
        <w:jc w:val="both"/>
        <w:rPr>
          <w:rFonts w:ascii="Arial Narrow" w:eastAsia="Calibri" w:hAnsi="Arial Narrow" w:cs="Arial"/>
          <w:sz w:val="24"/>
          <w:szCs w:val="24"/>
          <w:shd w:val="clear" w:color="auto" w:fill="FFFFFF"/>
        </w:rPr>
      </w:pPr>
      <w:r w:rsidRPr="0021617C">
        <w:rPr>
          <w:rFonts w:ascii="Arial Narrow" w:eastAsia="Calibri" w:hAnsi="Arial Narrow" w:cs="Arial"/>
          <w:sz w:val="24"/>
          <w:szCs w:val="24"/>
          <w:shd w:val="clear" w:color="auto" w:fill="FFFFFF"/>
        </w:rPr>
        <w:t xml:space="preserve">В своето решение на </w:t>
      </w:r>
      <w:r w:rsidR="0041258F">
        <w:rPr>
          <w:rFonts w:ascii="Arial Narrow" w:eastAsia="Calibri" w:hAnsi="Arial Narrow" w:cs="Arial"/>
          <w:sz w:val="24"/>
          <w:szCs w:val="24"/>
          <w:shd w:val="clear" w:color="auto" w:fill="FFFFFF"/>
          <w:lang w:val="bg-BG"/>
        </w:rPr>
        <w:t xml:space="preserve">Съда на ЕС - </w:t>
      </w:r>
      <w:r w:rsidRPr="0021617C">
        <w:rPr>
          <w:rFonts w:ascii="Arial Narrow" w:eastAsia="Calibri" w:hAnsi="Arial Narrow" w:cs="Arial"/>
          <w:sz w:val="24"/>
          <w:szCs w:val="24"/>
          <w:shd w:val="clear" w:color="auto" w:fill="FFFFFF"/>
        </w:rPr>
        <w:t xml:space="preserve">CJEU (втори състав) от 11 март 2015 г. </w:t>
      </w:r>
      <w:r w:rsidR="008F4308">
        <w:rPr>
          <w:rFonts w:ascii="Arial Narrow" w:eastAsia="Calibri" w:hAnsi="Arial Narrow" w:cs="Arial"/>
          <w:sz w:val="24"/>
          <w:szCs w:val="24"/>
          <w:shd w:val="clear" w:color="auto" w:fill="FFFFFF"/>
          <w:lang w:val="bg-BG"/>
        </w:rPr>
        <w:t xml:space="preserve"> по дело № </w:t>
      </w:r>
      <w:r w:rsidRPr="0021617C">
        <w:rPr>
          <w:rFonts w:ascii="Arial Narrow" w:eastAsia="Calibri" w:hAnsi="Arial Narrow" w:cs="Arial"/>
          <w:sz w:val="24"/>
          <w:szCs w:val="24"/>
          <w:shd w:val="clear" w:color="auto" w:fill="FFFFFF"/>
        </w:rPr>
        <w:t xml:space="preserve">628/13, </w:t>
      </w:r>
      <w:r w:rsidR="008F4308">
        <w:rPr>
          <w:rFonts w:ascii="Arial Narrow" w:eastAsia="Calibri" w:hAnsi="Arial Narrow" w:cs="Arial"/>
          <w:sz w:val="24"/>
          <w:szCs w:val="24"/>
          <w:shd w:val="clear" w:color="auto" w:fill="FFFFFF"/>
          <w:lang w:val="bg-BG"/>
        </w:rPr>
        <w:t>с</w:t>
      </w:r>
      <w:r w:rsidRPr="0021617C">
        <w:rPr>
          <w:rFonts w:ascii="Arial Narrow" w:eastAsia="Calibri" w:hAnsi="Arial Narrow" w:cs="Arial"/>
          <w:sz w:val="24"/>
          <w:szCs w:val="24"/>
          <w:shd w:val="clear" w:color="auto" w:fill="FFFFFF"/>
        </w:rPr>
        <w:t>ъдът посочи, че за целите на признаването на информация като информация от строго определен характер по смисъла на тези разпоредби, не е необходимо тя да може да се извлече от нея достатъчно степента на вероятност потенциалното им въздействие върху цената на финансовите инструменти да има определена посока, когато се оповестяват публично. Достатъчно е информацията да е достатъчно конкретна и подробна (точна), за да се оцени потенциалното й въздействие върху цената на акцията. Само обща или неясна информация, която не позволява да се направи заключение за потенциалния й характер на създаване на цени, няма да бъде поверителна информация по смисъла на регламента за МАР.</w:t>
      </w:r>
    </w:p>
    <w:p w14:paraId="7D5EC2BF" w14:textId="0D2B5623" w:rsidR="003268D8" w:rsidRPr="0021617C" w:rsidRDefault="003268D8" w:rsidP="008F4308">
      <w:pPr>
        <w:spacing w:after="0" w:line="276" w:lineRule="auto"/>
        <w:ind w:left="426"/>
        <w:jc w:val="both"/>
        <w:rPr>
          <w:rFonts w:ascii="Arial Narrow" w:eastAsia="Calibri" w:hAnsi="Arial Narrow" w:cs="Arial"/>
          <w:sz w:val="24"/>
          <w:szCs w:val="24"/>
          <w:shd w:val="clear" w:color="auto" w:fill="FFFFFF"/>
        </w:rPr>
      </w:pPr>
      <w:r w:rsidRPr="0021617C">
        <w:rPr>
          <w:rFonts w:ascii="Arial Narrow" w:eastAsia="Calibri" w:hAnsi="Arial Narrow" w:cs="Arial"/>
          <w:sz w:val="24"/>
          <w:szCs w:val="24"/>
          <w:shd w:val="clear" w:color="auto" w:fill="FFFFFF"/>
        </w:rPr>
        <w:t>Поверителната информация трябва да е точна. Точността на информацията трябва да се разбира като състояние, при което съдържанието на дадена информация позволява оценка на възможното въздействие на дадени обстоятелства или събития върху цената или стойността на инструментите. Нивото на детайлност (т.е. прецизност) е основа за оценка на ценообразуващия характер на информацията.</w:t>
      </w:r>
    </w:p>
    <w:p w14:paraId="376202D0" w14:textId="77777777" w:rsidR="003268D8" w:rsidRPr="0021617C" w:rsidRDefault="003268D8" w:rsidP="008F4308">
      <w:pPr>
        <w:spacing w:after="0" w:line="276" w:lineRule="auto"/>
        <w:ind w:left="426"/>
        <w:jc w:val="both"/>
        <w:rPr>
          <w:rFonts w:ascii="Arial Narrow" w:eastAsia="Calibri" w:hAnsi="Arial Narrow" w:cs="Arial"/>
          <w:sz w:val="24"/>
          <w:szCs w:val="24"/>
          <w:shd w:val="clear" w:color="auto" w:fill="FFFFFF"/>
        </w:rPr>
      </w:pPr>
      <w:r w:rsidRPr="0021617C">
        <w:rPr>
          <w:rFonts w:ascii="Arial Narrow" w:eastAsia="Calibri" w:hAnsi="Arial Narrow" w:cs="Arial"/>
          <w:sz w:val="24"/>
          <w:szCs w:val="24"/>
          <w:shd w:val="clear" w:color="auto" w:fill="FFFFFF"/>
        </w:rPr>
        <w:t xml:space="preserve">Важен аспект на определянето на концепцията за поверителна информация в регламента за МАР и процеса на нейното разпознаване във всеки отделен случай е времевият хоризонт на поверителната информация и възможността за „разпространението“ във времето. Според съображение 16 от регламента, ако поверителната информация се отнася до процес, който протича на етапи, двата етапа на процеса и целият процес могат да представляват поверителна информация. Междинният етап в един дългосрочен процес сам по себе си може да бъде съвкупност от обстоятелства или събитие, настъпващи или за които - въз основа на цялостна оценка на факторите, възникващи в даден момент - реалистично може да се очаква, че той ще се случи или настъпи. Това понятие обаче не трябва да се тълкува като отчитане на значението на въздействието на този набор от обстоятелства или на това събитие върху цените на финансовите инструменти. Междинният етап следва да се счита за поверителен, ако сам по себе си отговаря на критериите за поверителна информация. Този въпрос беше допълнително изяснен в съображение 17 от Регламента. Информацията за събитие или съвкупност от обстоятелства, които са междинен етап в дългосрочен процес, може да се отнася, например, за състоянието на преговорите за договори, условията, предварително установени по време на преговори за договори, възможността за издаване на финансови инструменти, условията за търговия с финансови инструменти, първоначалните условия за издаване на финансови инструменти или дори самото разглеждане. </w:t>
      </w:r>
      <w:r w:rsidRPr="0021617C">
        <w:rPr>
          <w:rFonts w:ascii="Arial Narrow" w:eastAsia="Calibri" w:hAnsi="Arial Narrow" w:cs="Arial"/>
          <w:sz w:val="24"/>
          <w:szCs w:val="24"/>
          <w:shd w:val="clear" w:color="auto" w:fill="FFFFFF"/>
        </w:rPr>
        <w:lastRenderedPageBreak/>
        <w:t>възможността за класифициране на финансов инструмент като основен индекс или заличаване на даден финансов инструмент от такъв индекс.</w:t>
      </w:r>
    </w:p>
    <w:p w14:paraId="4612AEEB" w14:textId="77777777" w:rsidR="003268D8" w:rsidRPr="0021617C" w:rsidRDefault="003268D8" w:rsidP="008F4308">
      <w:pPr>
        <w:shd w:val="clear" w:color="auto" w:fill="FFFFFF"/>
        <w:spacing w:before="100" w:beforeAutospacing="1" w:after="100" w:afterAutospacing="1"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В обобщение, ако фрагмент от процеса, разпространен във времето, няма потенциал за генериране на цена, той не може да се счита за поверителна информация.</w:t>
      </w:r>
    </w:p>
    <w:p w14:paraId="55CD408A" w14:textId="77777777" w:rsidR="003268D8" w:rsidRPr="0021617C" w:rsidRDefault="003268D8" w:rsidP="008F4308">
      <w:pPr>
        <w:shd w:val="clear" w:color="auto" w:fill="FFFFFF"/>
        <w:spacing w:before="100" w:beforeAutospacing="1" w:after="100" w:afterAutospacing="1"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Член 8 от Регламента</w:t>
      </w:r>
      <w:r w:rsidRPr="0021617C">
        <w:rPr>
          <w:rFonts w:ascii="Arial Narrow" w:eastAsia="Times New Roman" w:hAnsi="Arial Narrow" w:cs="Arial"/>
          <w:sz w:val="24"/>
          <w:szCs w:val="24"/>
          <w:lang w:val="bg-BG" w:eastAsia="pl-PL"/>
        </w:rPr>
        <w:t xml:space="preserve"> </w:t>
      </w:r>
      <w:r w:rsidRPr="0021617C">
        <w:rPr>
          <w:rFonts w:ascii="Arial Narrow" w:eastAsia="Times New Roman" w:hAnsi="Arial Narrow" w:cs="Arial"/>
          <w:sz w:val="24"/>
          <w:szCs w:val="24"/>
          <w:lang w:eastAsia="pl-PL"/>
        </w:rPr>
        <w:t>регламентира използването на поверителна информация, която може да има различни форми. По смисъла на Регламента използването на поверителна информация е:</w:t>
      </w:r>
    </w:p>
    <w:p w14:paraId="3E31DFCD" w14:textId="77777777" w:rsidR="003268D8" w:rsidRPr="0021617C" w:rsidRDefault="003268D8" w:rsidP="00C24F93">
      <w:pPr>
        <w:shd w:val="clear" w:color="auto" w:fill="FFFFFF"/>
        <w:spacing w:before="100" w:beforeAutospacing="1" w:after="100" w:afterAutospacing="1" w:line="276" w:lineRule="auto"/>
        <w:ind w:left="426" w:firstLine="142"/>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1) ситуация, когато дадено лице притежава поверителна информация и използва тази информация по такъв начин, че продава или купува за своя сметка или финансови инструменти на трета страна, пряко или косвено, за които се отнася тази конкретна поверителна информация,</w:t>
      </w:r>
    </w:p>
    <w:p w14:paraId="1A638402" w14:textId="77777777" w:rsidR="003268D8" w:rsidRPr="0021617C" w:rsidRDefault="003268D8" w:rsidP="00C24F93">
      <w:pPr>
        <w:shd w:val="clear" w:color="auto" w:fill="FFFFFF"/>
        <w:spacing w:before="100" w:beforeAutospacing="1" w:after="100" w:afterAutospacing="1" w:line="276" w:lineRule="auto"/>
        <w:ind w:left="426" w:firstLine="142"/>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2) използването на поверителна информация е също отмяната или изменението на заповед, към която се отнася тази конкретна поверителна информация, също и в случай, че поръчката е била направена преди лицето да придобие поверителна информация,</w:t>
      </w:r>
    </w:p>
    <w:p w14:paraId="76CBED9B" w14:textId="77777777" w:rsidR="003268D8" w:rsidRPr="0021617C" w:rsidRDefault="003268D8" w:rsidP="00C24F93">
      <w:pPr>
        <w:shd w:val="clear" w:color="auto" w:fill="FFFFFF"/>
        <w:spacing w:after="0" w:line="276" w:lineRule="auto"/>
        <w:ind w:left="426" w:firstLine="142"/>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3) по отношение на търговете на квоти за емисии или други продукти, продавани на търг въз основа на тях, използването на поверителна информация включва освен горното, представяне, изменение или оттегляне на оферта от дадено лице, действащо за негова сметка или от името на трета страна.</w:t>
      </w:r>
    </w:p>
    <w:p w14:paraId="08674BF2" w14:textId="77777777" w:rsidR="003268D8" w:rsidRPr="0021617C" w:rsidRDefault="003268D8" w:rsidP="00C24F93">
      <w:pPr>
        <w:spacing w:after="0" w:line="276" w:lineRule="auto"/>
        <w:ind w:left="426" w:firstLine="142"/>
        <w:jc w:val="both"/>
        <w:rPr>
          <w:rFonts w:ascii="Arial Narrow" w:eastAsia="Times New Roman" w:hAnsi="Arial Narrow" w:cs="Arial"/>
          <w:sz w:val="24"/>
          <w:szCs w:val="24"/>
          <w:lang w:eastAsia="pl-PL"/>
        </w:rPr>
      </w:pPr>
    </w:p>
    <w:p w14:paraId="7DD94778" w14:textId="77777777" w:rsidR="003268D8" w:rsidRPr="0021617C" w:rsidRDefault="003268D8" w:rsidP="008F4308">
      <w:pPr>
        <w:spacing w:after="0"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Забраната за използване на поверителна информация изразява абсолютна, безусловна заповед за въздържане от действия, посочени в разпоредбата. Нарушение на забраната ще бъде всяко използване на поверителна информация за постигане - пряко или косвено - облаги (обикновено имущество) или намаляване на загуби (щети) в резултат на забранена транзакция.</w:t>
      </w:r>
    </w:p>
    <w:p w14:paraId="1397CE84" w14:textId="3F7DFC7A" w:rsidR="003268D8" w:rsidRPr="0021617C" w:rsidRDefault="003268D8" w:rsidP="008F4308">
      <w:pPr>
        <w:spacing w:after="0"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Член 8</w:t>
      </w:r>
      <w:r w:rsidR="0041258F">
        <w:rPr>
          <w:rFonts w:ascii="Arial Narrow" w:eastAsia="Times New Roman" w:hAnsi="Arial Narrow" w:cs="Arial"/>
          <w:sz w:val="24"/>
          <w:szCs w:val="24"/>
          <w:lang w:val="bg-BG" w:eastAsia="pl-PL"/>
        </w:rPr>
        <w:t xml:space="preserve"> точка</w:t>
      </w:r>
      <w:r w:rsidRPr="0021617C">
        <w:rPr>
          <w:rFonts w:ascii="Arial Narrow" w:eastAsia="Times New Roman" w:hAnsi="Arial Narrow" w:cs="Arial"/>
          <w:sz w:val="24"/>
          <w:szCs w:val="24"/>
          <w:lang w:eastAsia="pl-PL"/>
        </w:rPr>
        <w:t xml:space="preserve"> 4 от Регламента посочва субектите, обхванати от разпоредбата. Това са всички лица (физически или юридически), които притежават поверителна информация поради:</w:t>
      </w:r>
    </w:p>
    <w:p w14:paraId="41DA649C" w14:textId="77777777" w:rsidR="003268D8" w:rsidRPr="0021617C" w:rsidRDefault="003268D8" w:rsidP="00C24F93">
      <w:pPr>
        <w:spacing w:after="0" w:line="276" w:lineRule="auto"/>
        <w:ind w:left="426" w:firstLine="142"/>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а) член на административните, управителните или надзорните органи на емитента или участника на пазара на квоти за емисии;</w:t>
      </w:r>
    </w:p>
    <w:p w14:paraId="72529986" w14:textId="77777777" w:rsidR="003268D8" w:rsidRPr="0021617C" w:rsidRDefault="003268D8" w:rsidP="00C24F93">
      <w:pPr>
        <w:spacing w:after="0" w:line="276" w:lineRule="auto"/>
        <w:ind w:left="426" w:firstLine="142"/>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б) притежаване на дялове в капитала на емитента или участника на пазара на квоти за емисии;</w:t>
      </w:r>
    </w:p>
    <w:p w14:paraId="65D89640" w14:textId="77777777" w:rsidR="003268D8" w:rsidRPr="0021617C" w:rsidRDefault="003268D8" w:rsidP="00C24F93">
      <w:pPr>
        <w:spacing w:after="0" w:line="276" w:lineRule="auto"/>
        <w:ind w:left="426" w:firstLine="142"/>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в) достъп до информация за заетост, професия или задължения (членове на ЕРС); или</w:t>
      </w:r>
    </w:p>
    <w:p w14:paraId="4108F6BB" w14:textId="77777777" w:rsidR="003268D8" w:rsidRPr="0021617C" w:rsidRDefault="003268D8" w:rsidP="00C24F93">
      <w:pPr>
        <w:spacing w:after="0" w:line="276" w:lineRule="auto"/>
        <w:ind w:left="426" w:firstLine="142"/>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г) участие в престъпни дейности.</w:t>
      </w:r>
    </w:p>
    <w:p w14:paraId="0FEE49D7" w14:textId="77777777" w:rsidR="003268D8" w:rsidRPr="0021617C" w:rsidRDefault="003268D8" w:rsidP="00C24F93">
      <w:pPr>
        <w:spacing w:after="0" w:line="276" w:lineRule="auto"/>
        <w:ind w:left="426" w:firstLine="142"/>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Настоящият член се прилага също за всички лица, които са придобили вътрешна информация при обстоятелства, различни от посочените в първа алинея, ако знаят или трябва да знаят, че това е вътрешна информация.</w:t>
      </w:r>
    </w:p>
    <w:p w14:paraId="439371C8" w14:textId="77777777" w:rsidR="003268D8" w:rsidRPr="0021617C" w:rsidRDefault="003268D8" w:rsidP="008F4308">
      <w:pPr>
        <w:shd w:val="clear" w:color="auto" w:fill="FFFFFF"/>
        <w:spacing w:before="100" w:beforeAutospacing="1" w:after="100" w:afterAutospacing="1"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Член 10 от Регламента</w:t>
      </w:r>
      <w:r w:rsidRPr="0021617C">
        <w:rPr>
          <w:rFonts w:ascii="Arial Narrow" w:eastAsia="Times New Roman" w:hAnsi="Arial Narrow" w:cs="Arial"/>
          <w:sz w:val="24"/>
          <w:szCs w:val="24"/>
          <w:lang w:val="bg-BG" w:eastAsia="pl-PL"/>
        </w:rPr>
        <w:t xml:space="preserve"> </w:t>
      </w:r>
      <w:r w:rsidRPr="0021617C">
        <w:rPr>
          <w:rFonts w:ascii="Arial Narrow" w:eastAsia="Times New Roman" w:hAnsi="Arial Narrow" w:cs="Arial"/>
          <w:sz w:val="24"/>
          <w:szCs w:val="24"/>
          <w:lang w:eastAsia="pl-PL"/>
        </w:rPr>
        <w:t>определя какво е незаконно разкриване на поверителна информация. Защото незаконното разкриване на поверителна информация се случва, когато дадено лице притежава конфиденциална информация и разкрива тази информация на друго лице, с изключение на случаите, когато такова разкриване се извършва при нормално изпълнение на дейности като част от заетост, професия или задължения.</w:t>
      </w:r>
    </w:p>
    <w:p w14:paraId="0A80D3BC" w14:textId="11E469A2" w:rsidR="003268D8" w:rsidRPr="0041258F" w:rsidRDefault="008F4308" w:rsidP="008F4308">
      <w:pPr>
        <w:shd w:val="clear" w:color="auto" w:fill="FFFFFF"/>
        <w:spacing w:before="100" w:beforeAutospacing="1" w:after="100" w:afterAutospacing="1" w:line="276" w:lineRule="auto"/>
        <w:jc w:val="both"/>
        <w:rPr>
          <w:rFonts w:ascii="Arial Narrow" w:eastAsia="Times New Roman" w:hAnsi="Arial Narrow" w:cs="Arial"/>
          <w:sz w:val="24"/>
          <w:szCs w:val="24"/>
          <w:lang w:val="bg-BG" w:eastAsia="pl-PL"/>
        </w:rPr>
      </w:pPr>
      <w:r>
        <w:rPr>
          <w:rFonts w:ascii="Arial Narrow" w:eastAsia="Times New Roman" w:hAnsi="Arial Narrow" w:cs="Arial"/>
          <w:sz w:val="24"/>
          <w:szCs w:val="24"/>
          <w:lang w:val="bg-BG" w:eastAsia="pl-PL"/>
        </w:rPr>
        <w:t xml:space="preserve">       </w:t>
      </w:r>
      <w:r w:rsidR="003268D8" w:rsidRPr="0021617C">
        <w:rPr>
          <w:rFonts w:ascii="Arial Narrow" w:eastAsia="Times New Roman" w:hAnsi="Arial Narrow" w:cs="Arial"/>
          <w:sz w:val="24"/>
          <w:szCs w:val="24"/>
          <w:lang w:eastAsia="pl-PL"/>
        </w:rPr>
        <w:t xml:space="preserve">Разпоредбите на </w:t>
      </w:r>
      <w:r>
        <w:rPr>
          <w:rFonts w:ascii="Arial Narrow" w:eastAsia="Times New Roman" w:hAnsi="Arial Narrow" w:cs="Arial"/>
          <w:sz w:val="24"/>
          <w:szCs w:val="24"/>
          <w:lang w:val="bg-BG" w:eastAsia="pl-PL"/>
        </w:rPr>
        <w:t>член</w:t>
      </w:r>
      <w:r w:rsidR="003268D8" w:rsidRPr="0021617C">
        <w:rPr>
          <w:rFonts w:ascii="Arial Narrow" w:eastAsia="Times New Roman" w:hAnsi="Arial Narrow" w:cs="Arial"/>
          <w:sz w:val="24"/>
          <w:szCs w:val="24"/>
          <w:lang w:eastAsia="pl-PL"/>
        </w:rPr>
        <w:t xml:space="preserve"> 10 допълват разпоредбите на </w:t>
      </w:r>
      <w:r>
        <w:rPr>
          <w:rFonts w:ascii="Arial Narrow" w:eastAsia="Times New Roman" w:hAnsi="Arial Narrow" w:cs="Arial"/>
          <w:sz w:val="24"/>
          <w:szCs w:val="24"/>
          <w:lang w:val="bg-BG" w:eastAsia="pl-PL"/>
        </w:rPr>
        <w:t>член</w:t>
      </w:r>
      <w:r w:rsidR="003268D8" w:rsidRPr="0021617C">
        <w:rPr>
          <w:rFonts w:ascii="Arial Narrow" w:eastAsia="Times New Roman" w:hAnsi="Arial Narrow" w:cs="Arial"/>
          <w:sz w:val="24"/>
          <w:szCs w:val="24"/>
          <w:lang w:eastAsia="pl-PL"/>
        </w:rPr>
        <w:t xml:space="preserve"> 8 и - косвено </w:t>
      </w:r>
      <w:r w:rsidR="0041258F">
        <w:rPr>
          <w:rFonts w:ascii="Arial Narrow" w:eastAsia="Times New Roman" w:hAnsi="Arial Narrow" w:cs="Arial"/>
          <w:sz w:val="24"/>
          <w:szCs w:val="24"/>
          <w:lang w:eastAsia="pl-PL"/>
        </w:rPr>
        <w:t>–</w:t>
      </w:r>
      <w:r w:rsidR="003268D8" w:rsidRPr="0021617C">
        <w:rPr>
          <w:rFonts w:ascii="Arial Narrow" w:eastAsia="Times New Roman" w:hAnsi="Arial Narrow" w:cs="Arial"/>
          <w:sz w:val="24"/>
          <w:szCs w:val="24"/>
          <w:lang w:eastAsia="pl-PL"/>
        </w:rPr>
        <w:t xml:space="preserve"> </w:t>
      </w:r>
      <w:r w:rsidR="0041258F">
        <w:rPr>
          <w:rFonts w:ascii="Arial Narrow" w:eastAsia="Times New Roman" w:hAnsi="Arial Narrow" w:cs="Arial"/>
          <w:sz w:val="24"/>
          <w:szCs w:val="24"/>
          <w:lang w:val="bg-BG" w:eastAsia="pl-PL"/>
        </w:rPr>
        <w:t xml:space="preserve">на член </w:t>
      </w:r>
      <w:r w:rsidR="003268D8" w:rsidRPr="0021617C">
        <w:rPr>
          <w:rFonts w:ascii="Arial Narrow" w:eastAsia="Times New Roman" w:hAnsi="Arial Narrow" w:cs="Arial"/>
          <w:sz w:val="24"/>
          <w:szCs w:val="24"/>
          <w:lang w:eastAsia="pl-PL"/>
        </w:rPr>
        <w:t xml:space="preserve"> 9</w:t>
      </w:r>
      <w:r w:rsidR="0041258F">
        <w:rPr>
          <w:rFonts w:ascii="Arial Narrow" w:eastAsia="Times New Roman" w:hAnsi="Arial Narrow" w:cs="Arial"/>
          <w:sz w:val="24"/>
          <w:szCs w:val="24"/>
          <w:lang w:val="bg-BG" w:eastAsia="pl-PL"/>
        </w:rPr>
        <w:t>.</w:t>
      </w:r>
    </w:p>
    <w:p w14:paraId="0B47911E" w14:textId="77777777" w:rsidR="003268D8" w:rsidRPr="0021617C" w:rsidRDefault="003268D8" w:rsidP="005C6E65">
      <w:pPr>
        <w:shd w:val="clear" w:color="auto" w:fill="FFFFFF"/>
        <w:spacing w:after="0"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lastRenderedPageBreak/>
        <w:t>Съгласно Регламента, разкриването на поверителна информация, с изключение на публикуването й по предписаната процедура (член 17 от Регламента) и счетоводството, което е ясно допуснато като разрешено (член 9 от Регламента), е незаконно и е забранено. Под (незаконно) разкриване на вътрешна информация се разбира състояние, при което човек, който притежава вътрешна информация, я разкрива пред друго лице. Не е незаконно разкриване на вътрешна информация, разкриване на вътрешна информация в рамките на нормалния ход на заетостта, професията или задълженията. С други думи, разкриването на вътрешна информация в рамките на обичайния процес на работа, професия или дежурство изключва (и изключва) незаконното разкриване на вътрешна информация. Такова разкриване на поверителна информация е законно и съвместимо.</w:t>
      </w:r>
    </w:p>
    <w:p w14:paraId="5396D9C1" w14:textId="1C1535E6" w:rsidR="003268D8" w:rsidRPr="0021617C" w:rsidRDefault="003268D8" w:rsidP="005C6E65">
      <w:pPr>
        <w:shd w:val="clear" w:color="auto" w:fill="FFFFFF"/>
        <w:spacing w:before="100" w:beforeAutospacing="1" w:after="100" w:afterAutospacing="1"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 xml:space="preserve">Разпоредбата на </w:t>
      </w:r>
      <w:r w:rsidR="005C6E65">
        <w:rPr>
          <w:rFonts w:ascii="Arial Narrow" w:eastAsia="Times New Roman" w:hAnsi="Arial Narrow" w:cs="Arial"/>
          <w:sz w:val="24"/>
          <w:szCs w:val="24"/>
          <w:lang w:val="bg-BG" w:eastAsia="pl-PL"/>
        </w:rPr>
        <w:t>член</w:t>
      </w:r>
      <w:r w:rsidRPr="0021617C">
        <w:rPr>
          <w:rFonts w:ascii="Arial Narrow" w:eastAsia="Times New Roman" w:hAnsi="Arial Narrow" w:cs="Arial"/>
          <w:sz w:val="24"/>
          <w:szCs w:val="24"/>
          <w:lang w:eastAsia="pl-PL"/>
        </w:rPr>
        <w:t xml:space="preserve"> 10 от Регламента ще се прилага за членовете на ЕРС, на които централното ръководство ще предоставя поверителна информация.</w:t>
      </w:r>
    </w:p>
    <w:p w14:paraId="5D2CA13F" w14:textId="77777777" w:rsidR="003268D8" w:rsidRPr="0021617C" w:rsidRDefault="003268D8" w:rsidP="005C6E65">
      <w:pPr>
        <w:shd w:val="clear" w:color="auto" w:fill="FFFFFF"/>
        <w:spacing w:before="100" w:beforeAutospacing="1" w:after="100" w:afterAutospacing="1"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Член 14 от Регламента забранява използването и незаконното разкриване на поверителна информация. Тази разпоредба забранява всяко лице:</w:t>
      </w:r>
    </w:p>
    <w:p w14:paraId="1432C974" w14:textId="77777777" w:rsidR="003268D8" w:rsidRPr="0021617C" w:rsidRDefault="003268D8" w:rsidP="00C24F93">
      <w:pPr>
        <w:shd w:val="clear" w:color="auto" w:fill="FFFFFF"/>
        <w:spacing w:before="100" w:beforeAutospacing="1" w:after="100" w:afterAutospacing="1" w:line="276" w:lineRule="auto"/>
        <w:ind w:left="426" w:firstLine="142"/>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а) използване на поверителна информация или опит за поверителна информация;</w:t>
      </w:r>
    </w:p>
    <w:p w14:paraId="7B671944" w14:textId="77777777" w:rsidR="003268D8" w:rsidRPr="0021617C" w:rsidRDefault="003268D8" w:rsidP="00C24F93">
      <w:pPr>
        <w:shd w:val="clear" w:color="auto" w:fill="FFFFFF"/>
        <w:spacing w:before="100" w:beforeAutospacing="1" w:after="100" w:afterAutospacing="1" w:line="276" w:lineRule="auto"/>
        <w:ind w:left="426" w:firstLine="142"/>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б) препоръка на друго лице или убеждаване да използват поверителна информация; или</w:t>
      </w:r>
    </w:p>
    <w:p w14:paraId="3D413366" w14:textId="77777777" w:rsidR="003268D8" w:rsidRPr="0021617C" w:rsidRDefault="003268D8" w:rsidP="00C24F93">
      <w:pPr>
        <w:shd w:val="clear" w:color="auto" w:fill="FFFFFF"/>
        <w:spacing w:before="100" w:beforeAutospacing="1" w:after="100" w:afterAutospacing="1" w:line="276" w:lineRule="auto"/>
        <w:ind w:left="426" w:firstLine="142"/>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в) незаконно разкриване на поверителна информация.</w:t>
      </w:r>
    </w:p>
    <w:p w14:paraId="095DA6E6" w14:textId="77777777" w:rsidR="003268D8" w:rsidRPr="0021617C" w:rsidRDefault="003268D8" w:rsidP="005C6E65">
      <w:pPr>
        <w:shd w:val="clear" w:color="auto" w:fill="FFFFFF"/>
        <w:spacing w:before="100" w:beforeAutospacing="1" w:after="100" w:afterAutospacing="1"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Член 17 от Регламента</w:t>
      </w:r>
      <w:r w:rsidRPr="0021617C">
        <w:rPr>
          <w:rFonts w:ascii="Arial Narrow" w:eastAsia="Times New Roman" w:hAnsi="Arial Narrow" w:cs="Arial"/>
          <w:sz w:val="24"/>
          <w:szCs w:val="24"/>
          <w:lang w:val="bg-BG" w:eastAsia="pl-PL"/>
        </w:rPr>
        <w:t xml:space="preserve"> </w:t>
      </w:r>
      <w:r w:rsidRPr="0021617C">
        <w:rPr>
          <w:rFonts w:ascii="Arial Narrow" w:eastAsia="Times New Roman" w:hAnsi="Arial Narrow" w:cs="Arial"/>
          <w:sz w:val="24"/>
          <w:szCs w:val="24"/>
          <w:lang w:eastAsia="pl-PL"/>
        </w:rPr>
        <w:t>съдържа правила за разкриване на поверителна информация пред обществеността, което е в основата на този акт. В съответствие с чл. 17 клауза 1 от Регламента, издателите са длъжни незабавно да разкриват поверителна информация, пряко свързана с тях. Това задължение не се прилага за индиректно информация за емитента.</w:t>
      </w:r>
    </w:p>
    <w:p w14:paraId="68D88D09" w14:textId="54094880" w:rsidR="003268D8" w:rsidRPr="0021617C" w:rsidRDefault="003268D8" w:rsidP="005C6E65">
      <w:pPr>
        <w:shd w:val="clear" w:color="auto" w:fill="FFFFFF"/>
        <w:spacing w:before="100" w:beforeAutospacing="1" w:after="100" w:afterAutospacing="1"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Информация за емитента е всяка информация за ситуацията, събитията или обстоятелствата, които са пряко свързани с дейността на емитента, въпроси, свързани с организационната структура на емитента, състоянието на неговите финансови ресурси (капитали), състоянието или стойността на неговите активи, пасиви, задължения и вземания, финансовото състояние. Става дума и за ситуации, събития и обстоятелства, които са се случили извън структурата на емитента или неговото предприятие, в рамките на капиталовата група. В обхвата на поверителната информация дъщерното и господстващото образувание (членове на капиталовата група) се третират като единна организационна единица за целите на изпълнение на информационни задължения.</w:t>
      </w:r>
    </w:p>
    <w:p w14:paraId="56A7770C" w14:textId="4403DEB6" w:rsidR="003268D8" w:rsidRPr="0021617C" w:rsidRDefault="003268D8" w:rsidP="005C6E65">
      <w:pPr>
        <w:shd w:val="clear" w:color="auto" w:fill="FFFFFF"/>
        <w:spacing w:before="100" w:beforeAutospacing="1" w:after="100" w:afterAutospacing="1"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Поверителната информация трябва да бъде оповестена възможно най-</w:t>
      </w:r>
      <w:r w:rsidR="0041258F">
        <w:rPr>
          <w:rFonts w:ascii="Arial Narrow" w:eastAsia="Times New Roman" w:hAnsi="Arial Narrow" w:cs="Arial"/>
          <w:sz w:val="24"/>
          <w:szCs w:val="24"/>
          <w:lang w:val="bg-BG" w:eastAsia="pl-PL"/>
        </w:rPr>
        <w:t>бързо</w:t>
      </w:r>
      <w:r w:rsidRPr="0021617C">
        <w:rPr>
          <w:rFonts w:ascii="Arial Narrow" w:eastAsia="Times New Roman" w:hAnsi="Arial Narrow" w:cs="Arial"/>
          <w:sz w:val="24"/>
          <w:szCs w:val="24"/>
          <w:lang w:eastAsia="pl-PL"/>
        </w:rPr>
        <w:t>. Само в специални случаи, когато изпълнението на това задължение би могло да навреди на законните (законни) интереси на емитента, се допуска възможността да се забави разкриването на поверителна информация.</w:t>
      </w:r>
    </w:p>
    <w:p w14:paraId="27E565D9" w14:textId="032F4240" w:rsidR="0041258F" w:rsidRDefault="003268D8" w:rsidP="005C6E65">
      <w:pPr>
        <w:shd w:val="clear" w:color="auto" w:fill="FFFFFF"/>
        <w:spacing w:before="100" w:beforeAutospacing="1" w:after="100" w:afterAutospacing="1"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 xml:space="preserve">Както е посочено в съображение 50 от </w:t>
      </w:r>
      <w:r w:rsidR="0041258F">
        <w:rPr>
          <w:rFonts w:ascii="Arial Narrow" w:eastAsia="Times New Roman" w:hAnsi="Arial Narrow" w:cs="Arial"/>
          <w:sz w:val="24"/>
          <w:szCs w:val="24"/>
          <w:lang w:val="bg-BG" w:eastAsia="pl-PL"/>
        </w:rPr>
        <w:t>Р</w:t>
      </w:r>
      <w:r w:rsidRPr="0021617C">
        <w:rPr>
          <w:rFonts w:ascii="Arial Narrow" w:eastAsia="Times New Roman" w:hAnsi="Arial Narrow" w:cs="Arial"/>
          <w:sz w:val="24"/>
          <w:szCs w:val="24"/>
          <w:lang w:eastAsia="pl-PL"/>
        </w:rPr>
        <w:t>егламента, тези законни интереси могат да се отнасят до неограничен набор от обстоятелства, по-специално до:</w:t>
      </w:r>
    </w:p>
    <w:p w14:paraId="718EECF6" w14:textId="3648F4D5" w:rsidR="003268D8" w:rsidRPr="0021617C" w:rsidRDefault="003268D8" w:rsidP="00C24F93">
      <w:pPr>
        <w:shd w:val="clear" w:color="auto" w:fill="FFFFFF"/>
        <w:spacing w:before="100" w:beforeAutospacing="1" w:after="100" w:afterAutospacing="1" w:line="276" w:lineRule="auto"/>
        <w:ind w:left="426" w:firstLine="142"/>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lastRenderedPageBreak/>
        <w:t xml:space="preserve"> а) текущи преговори или свързани с тях въпроси, ако публичното оповестяване на информация за тях би могло, хипотетично, да повлияе на резултата или нормално провеждане на тези преговори;</w:t>
      </w:r>
    </w:p>
    <w:p w14:paraId="13257EE6" w14:textId="77777777" w:rsidR="003268D8" w:rsidRPr="0021617C" w:rsidRDefault="003268D8" w:rsidP="00C24F93">
      <w:pPr>
        <w:shd w:val="clear" w:color="auto" w:fill="FFFFFF"/>
        <w:spacing w:before="100" w:beforeAutospacing="1" w:after="100" w:afterAutospacing="1" w:line="276" w:lineRule="auto"/>
        <w:ind w:left="426" w:firstLine="142"/>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 б) решения или договори, сключени от управителния орган на емитента, които за своята ефективност изискват одобрение от друг орган на емитента (в двойната система на органите на емитента),</w:t>
      </w:r>
    </w:p>
    <w:p w14:paraId="2081F5D4" w14:textId="00A760AC" w:rsidR="003268D8" w:rsidRPr="0021617C" w:rsidRDefault="0041258F" w:rsidP="005C6E65">
      <w:pPr>
        <w:shd w:val="clear" w:color="auto" w:fill="FFFFFF"/>
        <w:spacing w:before="100" w:beforeAutospacing="1" w:after="100" w:afterAutospacing="1" w:line="276" w:lineRule="auto"/>
        <w:ind w:left="426"/>
        <w:jc w:val="both"/>
        <w:rPr>
          <w:rFonts w:ascii="Arial Narrow" w:eastAsia="Times New Roman" w:hAnsi="Arial Narrow" w:cs="Arial"/>
          <w:sz w:val="24"/>
          <w:szCs w:val="24"/>
          <w:lang w:eastAsia="pl-PL"/>
        </w:rPr>
      </w:pPr>
      <w:r>
        <w:rPr>
          <w:rFonts w:ascii="Arial Narrow" w:eastAsia="Times New Roman" w:hAnsi="Arial Narrow" w:cs="Arial"/>
          <w:sz w:val="24"/>
          <w:szCs w:val="24"/>
          <w:lang w:val="bg-BG" w:eastAsia="pl-PL"/>
        </w:rPr>
        <w:t xml:space="preserve">При </w:t>
      </w:r>
      <w:r w:rsidR="003268D8" w:rsidRPr="0021617C">
        <w:rPr>
          <w:rFonts w:ascii="Arial Narrow" w:eastAsia="Times New Roman" w:hAnsi="Arial Narrow" w:cs="Arial"/>
          <w:sz w:val="24"/>
          <w:szCs w:val="24"/>
          <w:lang w:eastAsia="pl-PL"/>
        </w:rPr>
        <w:t>условие</w:t>
      </w:r>
      <w:r>
        <w:rPr>
          <w:rFonts w:ascii="Arial Narrow" w:eastAsia="Times New Roman" w:hAnsi="Arial Narrow" w:cs="Arial"/>
          <w:sz w:val="24"/>
          <w:szCs w:val="24"/>
          <w:lang w:val="bg-BG" w:eastAsia="pl-PL"/>
        </w:rPr>
        <w:t>,</w:t>
      </w:r>
      <w:r w:rsidR="003268D8" w:rsidRPr="0021617C">
        <w:rPr>
          <w:rFonts w:ascii="Arial Narrow" w:eastAsia="Times New Roman" w:hAnsi="Arial Narrow" w:cs="Arial"/>
          <w:sz w:val="24"/>
          <w:szCs w:val="24"/>
          <w:lang w:eastAsia="pl-PL"/>
        </w:rPr>
        <w:t xml:space="preserve"> че разкриването на такава информация пред обществеността преди </w:t>
      </w:r>
      <w:r>
        <w:rPr>
          <w:rFonts w:ascii="Arial Narrow" w:eastAsia="Times New Roman" w:hAnsi="Arial Narrow" w:cs="Arial"/>
          <w:sz w:val="24"/>
          <w:szCs w:val="24"/>
          <w:lang w:val="bg-BG" w:eastAsia="pl-PL"/>
        </w:rPr>
        <w:t xml:space="preserve"> получаването на </w:t>
      </w:r>
      <w:r w:rsidR="003268D8" w:rsidRPr="0021617C">
        <w:rPr>
          <w:rFonts w:ascii="Arial Narrow" w:eastAsia="Times New Roman" w:hAnsi="Arial Narrow" w:cs="Arial"/>
          <w:sz w:val="24"/>
          <w:szCs w:val="24"/>
          <w:lang w:eastAsia="pl-PL"/>
        </w:rPr>
        <w:t xml:space="preserve">одобрение, заедно с </w:t>
      </w:r>
      <w:r>
        <w:rPr>
          <w:rFonts w:ascii="Arial Narrow" w:eastAsia="Times New Roman" w:hAnsi="Arial Narrow" w:cs="Arial"/>
          <w:sz w:val="24"/>
          <w:szCs w:val="24"/>
          <w:lang w:val="bg-BG" w:eastAsia="pl-PL"/>
        </w:rPr>
        <w:t>ясни доказателства</w:t>
      </w:r>
      <w:r w:rsidR="003268D8" w:rsidRPr="0021617C">
        <w:rPr>
          <w:rFonts w:ascii="Arial Narrow" w:eastAsia="Times New Roman" w:hAnsi="Arial Narrow" w:cs="Arial"/>
          <w:sz w:val="24"/>
          <w:szCs w:val="24"/>
          <w:lang w:eastAsia="pl-PL"/>
        </w:rPr>
        <w:t xml:space="preserve">, че процедурата по одобрение е в ход, </w:t>
      </w:r>
      <w:r>
        <w:rPr>
          <w:rFonts w:ascii="Arial Narrow" w:eastAsia="Times New Roman" w:hAnsi="Arial Narrow" w:cs="Arial"/>
          <w:sz w:val="24"/>
          <w:szCs w:val="24"/>
          <w:lang w:val="bg-BG" w:eastAsia="pl-PL"/>
        </w:rPr>
        <w:t>би могла</w:t>
      </w:r>
      <w:r w:rsidR="003268D8" w:rsidRPr="0021617C">
        <w:rPr>
          <w:rFonts w:ascii="Arial Narrow" w:eastAsia="Times New Roman" w:hAnsi="Arial Narrow" w:cs="Arial"/>
          <w:sz w:val="24"/>
          <w:szCs w:val="24"/>
          <w:lang w:eastAsia="pl-PL"/>
        </w:rPr>
        <w:t xml:space="preserve"> да застраши правилната оценка на информацията от обществеността.</w:t>
      </w:r>
    </w:p>
    <w:p w14:paraId="34C0894D" w14:textId="77777777" w:rsidR="003268D8" w:rsidRPr="0021617C" w:rsidRDefault="003268D8" w:rsidP="005C6E65">
      <w:pPr>
        <w:shd w:val="clear" w:color="auto" w:fill="FFFFFF"/>
        <w:spacing w:before="100" w:beforeAutospacing="1" w:after="100" w:afterAutospacing="1"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Публикуването на поверителна информация по правило трябва да се извършва на уебсайта на емитента и след това да остане там най-малко пет години.</w:t>
      </w:r>
    </w:p>
    <w:p w14:paraId="59602D28" w14:textId="77777777" w:rsidR="003268D8" w:rsidRPr="0021617C" w:rsidRDefault="003268D8" w:rsidP="005C6E65">
      <w:pPr>
        <w:shd w:val="clear" w:color="auto" w:fill="FFFFFF"/>
        <w:spacing w:after="0"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В допълнение към задължението за разкриване на поверителна информация на своя уебсайт, издателят е длъжен да предостави тази информация по канала, посочен за дадената система за търговия във всяка държава-членка (в Полша това е системата ESPI).</w:t>
      </w:r>
    </w:p>
    <w:p w14:paraId="59B13DBB" w14:textId="77777777" w:rsidR="003268D8" w:rsidRPr="0021617C" w:rsidRDefault="003268D8" w:rsidP="005C6E65">
      <w:pPr>
        <w:shd w:val="clear" w:color="auto" w:fill="FFFFFF"/>
        <w:spacing w:before="100" w:beforeAutospacing="1" w:after="100" w:afterAutospacing="1"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Разкриване на поверителна информация на трети страни. Групата от субекти, на които поверителната информация може да бъде законно прехвърлена в рамките на нормалния ход на дейностите, е посочена в чл. 17 клауза 8 от Регламент. Ако участникът на пазара на емитент или квоти за емисии или лице, действащо от името на или сред тези субекти, разкрие всяка поверителна информация на трета страна при нормалното изпълнение на дейности като част от заетост, професия или задължения съгласно чл. 10 параграф 1 от Регламента, той трябва да направи пълно и ефективно разкриване на такава информация:</w:t>
      </w:r>
    </w:p>
    <w:p w14:paraId="7F9A25D7" w14:textId="77777777" w:rsidR="003268D8" w:rsidRPr="0021617C" w:rsidRDefault="003268D8" w:rsidP="00C24F93">
      <w:pPr>
        <w:shd w:val="clear" w:color="auto" w:fill="FFFFFF"/>
        <w:spacing w:before="100" w:beforeAutospacing="1" w:after="100" w:afterAutospacing="1" w:line="276" w:lineRule="auto"/>
        <w:ind w:left="426" w:firstLine="142"/>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а) едновременно в случай на умишлено разкриване на информация, или</w:t>
      </w:r>
    </w:p>
    <w:p w14:paraId="57AAB36C" w14:textId="77777777" w:rsidR="003268D8" w:rsidRPr="0021617C" w:rsidRDefault="003268D8" w:rsidP="00C24F93">
      <w:pPr>
        <w:shd w:val="clear" w:color="auto" w:fill="FFFFFF"/>
        <w:spacing w:before="100" w:beforeAutospacing="1" w:after="100" w:afterAutospacing="1" w:line="276" w:lineRule="auto"/>
        <w:ind w:left="426" w:firstLine="142"/>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б) незабавно в случай на неволно разкриване на информация.</w:t>
      </w:r>
    </w:p>
    <w:p w14:paraId="4AB21C10" w14:textId="77777777" w:rsidR="003268D8" w:rsidRPr="0021617C" w:rsidRDefault="003268D8" w:rsidP="005C6E65">
      <w:pPr>
        <w:shd w:val="clear" w:color="auto" w:fill="FFFFFF"/>
        <w:spacing w:before="100" w:beforeAutospacing="1" w:after="100" w:afterAutospacing="1"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Това обаче не се прилага, ако лицето, което получава поверителна информация, е длъжно да запази своята поверителност, независимо от източника на такова задължение.</w:t>
      </w:r>
    </w:p>
    <w:p w14:paraId="2DEB65E2" w14:textId="77777777" w:rsidR="003268D8" w:rsidRPr="0021617C" w:rsidRDefault="003268D8" w:rsidP="005C6E65">
      <w:pPr>
        <w:shd w:val="clear" w:color="auto" w:fill="FFFFFF"/>
        <w:spacing w:after="0"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Съгласно тази разпоредба централното ръководство може да предоставя на ЕРС конфиденциална информация, която все още не е оповестена за обществеността, при условие че членовете на ЕРС са задължени и се задължават да запазят своята поверителност. В противен случай, съгласно разпоредбата, когато се предоставя тази информация, възниква едновременно задължение за пълно и ефективно разкриване на тази информация.</w:t>
      </w:r>
    </w:p>
    <w:p w14:paraId="3AB0614C" w14:textId="77777777" w:rsidR="003268D8" w:rsidRPr="0021617C" w:rsidRDefault="003268D8" w:rsidP="00C24F93">
      <w:pPr>
        <w:shd w:val="clear" w:color="auto" w:fill="FFFFFF"/>
        <w:spacing w:after="0" w:line="276" w:lineRule="auto"/>
        <w:ind w:left="426" w:firstLine="142"/>
        <w:jc w:val="both"/>
        <w:rPr>
          <w:rFonts w:ascii="Arial Narrow" w:eastAsia="Times New Roman" w:hAnsi="Arial Narrow" w:cs="Arial"/>
          <w:sz w:val="24"/>
          <w:szCs w:val="24"/>
          <w:shd w:val="clear" w:color="auto" w:fill="FFFFFF"/>
          <w:lang w:eastAsia="pl-PL"/>
        </w:rPr>
      </w:pPr>
    </w:p>
    <w:p w14:paraId="1B91846B" w14:textId="77777777" w:rsidR="003268D8" w:rsidRPr="005C6E65" w:rsidRDefault="003268D8" w:rsidP="00C24F93">
      <w:pPr>
        <w:shd w:val="clear" w:color="auto" w:fill="FFFFFF"/>
        <w:spacing w:before="100" w:beforeAutospacing="1" w:after="100" w:afterAutospacing="1" w:line="276" w:lineRule="auto"/>
        <w:ind w:left="426" w:firstLine="142"/>
        <w:jc w:val="both"/>
        <w:rPr>
          <w:rFonts w:ascii="Arial Narrow" w:eastAsia="Times New Roman" w:hAnsi="Arial Narrow" w:cs="Arial"/>
          <w:b/>
          <w:bCs/>
          <w:sz w:val="24"/>
          <w:szCs w:val="24"/>
          <w:lang w:val="bg-BG" w:eastAsia="pl-PL"/>
        </w:rPr>
      </w:pPr>
      <w:r w:rsidRPr="005C6E65">
        <w:rPr>
          <w:rFonts w:ascii="Arial Narrow" w:eastAsia="Times New Roman" w:hAnsi="Arial Narrow" w:cs="Arial"/>
          <w:b/>
          <w:bCs/>
          <w:sz w:val="24"/>
          <w:szCs w:val="24"/>
          <w:lang w:val="bg-BG" w:eastAsia="pl-PL"/>
        </w:rPr>
        <w:t>С</w:t>
      </w:r>
      <w:r w:rsidRPr="005C6E65">
        <w:rPr>
          <w:rFonts w:ascii="Arial Narrow" w:eastAsia="Times New Roman" w:hAnsi="Arial Narrow" w:cs="Arial"/>
          <w:b/>
          <w:bCs/>
          <w:sz w:val="24"/>
          <w:szCs w:val="24"/>
          <w:lang w:eastAsia="pl-PL"/>
        </w:rPr>
        <w:t>анкции</w:t>
      </w:r>
      <w:r w:rsidRPr="005C6E65">
        <w:rPr>
          <w:rFonts w:ascii="Arial Narrow" w:eastAsia="Times New Roman" w:hAnsi="Arial Narrow" w:cs="Arial"/>
          <w:b/>
          <w:bCs/>
          <w:sz w:val="24"/>
          <w:szCs w:val="24"/>
          <w:lang w:val="bg-BG" w:eastAsia="pl-PL"/>
        </w:rPr>
        <w:t>:</w:t>
      </w:r>
    </w:p>
    <w:p w14:paraId="3891AE40" w14:textId="77777777" w:rsidR="003268D8" w:rsidRPr="0021617C" w:rsidRDefault="003268D8" w:rsidP="005C6E65">
      <w:pPr>
        <w:shd w:val="clear" w:color="auto" w:fill="FFFFFF"/>
        <w:spacing w:before="100" w:beforeAutospacing="1" w:after="100" w:afterAutospacing="1"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 xml:space="preserve">Член 30 от Регламента предвижда, че държавите-членки, в съответствие с националното законодателство, могат да прилагат административни санкции и други административни мерки чрез своите органи. Те включват нарушение на Чл. 14 относно забраната за използване и незаконно </w:t>
      </w:r>
      <w:r w:rsidRPr="0021617C">
        <w:rPr>
          <w:rFonts w:ascii="Arial Narrow" w:eastAsia="Times New Roman" w:hAnsi="Arial Narrow" w:cs="Arial"/>
          <w:sz w:val="24"/>
          <w:szCs w:val="24"/>
          <w:lang w:eastAsia="pl-PL"/>
        </w:rPr>
        <w:lastRenderedPageBreak/>
        <w:t>разкриване на поверителна информация. Както е обяснено в съображение 17, действителният размер на административните глоби, наложени в конкретни случаи, може да достигне максималното ниво, предвидено в настоящия регламент, или по-високото ниво, предвидено в националното законодателство за много сериозни нарушения, докато глобите, значително по-ниски от максималното, могат да бъдат приложени за по-малко значителни нарушение или в случай на споразумение. Настоящият регламент не ограничава възможността държавите-членки да въведат по-строги санкции или други административни мерки.</w:t>
      </w:r>
    </w:p>
    <w:p w14:paraId="47D69BA0" w14:textId="77777777" w:rsidR="003268D8" w:rsidRPr="005C6E65" w:rsidRDefault="003268D8" w:rsidP="00C24F93">
      <w:pPr>
        <w:shd w:val="clear" w:color="auto" w:fill="FFFFFF"/>
        <w:spacing w:before="100" w:beforeAutospacing="1" w:after="100" w:afterAutospacing="1" w:line="276" w:lineRule="auto"/>
        <w:ind w:left="426" w:firstLine="142"/>
        <w:jc w:val="both"/>
        <w:rPr>
          <w:rFonts w:ascii="Arial Narrow" w:eastAsia="Times New Roman" w:hAnsi="Arial Narrow" w:cs="Arial"/>
          <w:b/>
          <w:bCs/>
          <w:sz w:val="24"/>
          <w:szCs w:val="24"/>
          <w:lang w:eastAsia="pl-PL"/>
        </w:rPr>
      </w:pPr>
      <w:r w:rsidRPr="005C6E65">
        <w:rPr>
          <w:rFonts w:ascii="Arial Narrow" w:eastAsia="Times New Roman" w:hAnsi="Arial Narrow" w:cs="Arial"/>
          <w:b/>
          <w:bCs/>
          <w:sz w:val="24"/>
          <w:szCs w:val="24"/>
          <w:lang w:eastAsia="pl-PL"/>
        </w:rPr>
        <w:t>Наказателни санкции</w:t>
      </w:r>
    </w:p>
    <w:p w14:paraId="0F1D22D1" w14:textId="77777777" w:rsidR="003268D8" w:rsidRPr="0021617C" w:rsidRDefault="003268D8" w:rsidP="005C6E65">
      <w:pPr>
        <w:shd w:val="clear" w:color="auto" w:fill="FFFFFF"/>
        <w:spacing w:after="0"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Регламенти на ЕС, определящи размера на наказателните санкции, се съдържат в ДИРЕКТИВА 2014/57 / ЕС НА ЕВРОПЕЙСКИЯ ПАРЛАМЕНТ И НА СЪВЕТА от 16 април 2014 г. относно наказателните санкции за пазарна злоупотреба (Директива за пазарна злоупотреба). След съображение 23 - обхватът на директивата е определен по начин, който допълва и гарантира ефективното прилагане на Регламент (ЕС) № 596/2014. Престъпленията трябва да бъдат наказуеми в съответствие с настоящата директива, ако са извършени умишлено и поне в сериозни случаи, докато санкциите за нарушение на Регламент (ЕС) № 596/2014 не изискват доказателство за намерение или деянието за сериозно. При прилагането на национални разпоредби, транспониращи настоящата директива, държавите-членки следва да гарантират, че налагането на наказателни санкции за нарушения в съответствие с настоящата директива и административните санкции в съответствие с Регламент (ЕС) № 596/2014 не води до нарушаване на принципа ne bis in idem.</w:t>
      </w:r>
    </w:p>
    <w:tbl>
      <w:tblPr>
        <w:tblW w:w="5000" w:type="pct"/>
        <w:shd w:val="clear" w:color="auto" w:fill="FFFFFF"/>
        <w:tblCellMar>
          <w:left w:w="0" w:type="dxa"/>
          <w:right w:w="0" w:type="dxa"/>
        </w:tblCellMar>
        <w:tblLook w:val="04A0" w:firstRow="1" w:lastRow="0" w:firstColumn="1" w:lastColumn="0" w:noHBand="0" w:noVBand="1"/>
      </w:tblPr>
      <w:tblGrid>
        <w:gridCol w:w="4819"/>
        <w:gridCol w:w="4819"/>
      </w:tblGrid>
      <w:tr w:rsidR="003268D8" w:rsidRPr="0021617C" w14:paraId="440C4218" w14:textId="77777777" w:rsidTr="003268D8">
        <w:tc>
          <w:tcPr>
            <w:tcW w:w="0" w:type="auto"/>
            <w:shd w:val="clear" w:color="auto" w:fill="FFFFFF"/>
            <w:hideMark/>
          </w:tcPr>
          <w:p w14:paraId="6BCD6FA9" w14:textId="77777777" w:rsidR="003268D8" w:rsidRPr="0021617C" w:rsidRDefault="003268D8" w:rsidP="00C24F93">
            <w:pPr>
              <w:spacing w:line="276" w:lineRule="auto"/>
              <w:ind w:left="426" w:firstLine="142"/>
              <w:rPr>
                <w:rFonts w:ascii="Arial Narrow" w:eastAsia="Calibri" w:hAnsi="Arial Narrow" w:cs="Arial"/>
                <w:sz w:val="24"/>
                <w:szCs w:val="24"/>
              </w:rPr>
            </w:pPr>
          </w:p>
        </w:tc>
        <w:tc>
          <w:tcPr>
            <w:tcW w:w="0" w:type="auto"/>
            <w:shd w:val="clear" w:color="auto" w:fill="FFFFFF"/>
            <w:hideMark/>
          </w:tcPr>
          <w:p w14:paraId="43418807" w14:textId="77777777" w:rsidR="003268D8" w:rsidRPr="0021617C" w:rsidRDefault="003268D8" w:rsidP="00C24F93">
            <w:pPr>
              <w:spacing w:line="276" w:lineRule="auto"/>
              <w:ind w:left="426" w:firstLine="142"/>
              <w:rPr>
                <w:rFonts w:ascii="Arial Narrow" w:eastAsia="Calibri" w:hAnsi="Arial Narrow" w:cs="Times New Roman"/>
                <w:sz w:val="24"/>
                <w:szCs w:val="24"/>
                <w:lang w:val="bg-BG" w:eastAsia="bg-BG"/>
              </w:rPr>
            </w:pPr>
          </w:p>
        </w:tc>
      </w:tr>
    </w:tbl>
    <w:p w14:paraId="25506C7C" w14:textId="08813DD3" w:rsidR="003268D8" w:rsidRPr="0021617C" w:rsidRDefault="003268D8" w:rsidP="005C6E65">
      <w:pPr>
        <w:shd w:val="clear" w:color="auto" w:fill="FFFFFF"/>
        <w:spacing w:after="0"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 xml:space="preserve">Директивата определя минимални стандарти за наказателни санкции за използването на поверителна информация и незаконно разкриване на поверителна информация. „Поверителна информация“ означава информация по смисъла на чл. 7 </w:t>
      </w:r>
      <w:r w:rsidR="0041258F">
        <w:rPr>
          <w:rFonts w:ascii="Arial Narrow" w:eastAsia="Times New Roman" w:hAnsi="Arial Narrow" w:cs="Arial"/>
          <w:sz w:val="24"/>
          <w:szCs w:val="24"/>
          <w:lang w:val="bg-BG" w:eastAsia="pl-PL"/>
        </w:rPr>
        <w:t>точка</w:t>
      </w:r>
      <w:r w:rsidRPr="0021617C">
        <w:rPr>
          <w:rFonts w:ascii="Arial Narrow" w:eastAsia="Times New Roman" w:hAnsi="Arial Narrow" w:cs="Arial"/>
          <w:sz w:val="24"/>
          <w:szCs w:val="24"/>
          <w:lang w:eastAsia="pl-PL"/>
        </w:rPr>
        <w:t xml:space="preserve"> 1-4 от Регламент (ЕС) № 596/2014 (член 2, точка 2 от </w:t>
      </w:r>
      <w:r w:rsidR="0041258F">
        <w:rPr>
          <w:rFonts w:ascii="Arial Narrow" w:eastAsia="Times New Roman" w:hAnsi="Arial Narrow" w:cs="Arial"/>
          <w:sz w:val="24"/>
          <w:szCs w:val="24"/>
          <w:lang w:val="bg-BG" w:eastAsia="pl-PL"/>
        </w:rPr>
        <w:t>Д</w:t>
      </w:r>
      <w:r w:rsidRPr="0021617C">
        <w:rPr>
          <w:rFonts w:ascii="Arial Narrow" w:eastAsia="Times New Roman" w:hAnsi="Arial Narrow" w:cs="Arial"/>
          <w:sz w:val="24"/>
          <w:szCs w:val="24"/>
          <w:lang w:eastAsia="pl-PL"/>
        </w:rPr>
        <w:t>ирективата)</w:t>
      </w:r>
    </w:p>
    <w:p w14:paraId="195E9BC1" w14:textId="77777777" w:rsidR="003268D8" w:rsidRPr="0021617C" w:rsidRDefault="003268D8" w:rsidP="00C24F93">
      <w:pPr>
        <w:shd w:val="clear" w:color="auto" w:fill="FFFFFF"/>
        <w:spacing w:after="0" w:line="276" w:lineRule="auto"/>
        <w:ind w:left="426" w:firstLine="142"/>
        <w:jc w:val="both"/>
        <w:rPr>
          <w:rFonts w:ascii="Arial Narrow" w:eastAsia="Times New Roman" w:hAnsi="Arial Narrow" w:cs="Arial"/>
          <w:sz w:val="24"/>
          <w:szCs w:val="24"/>
          <w:lang w:eastAsia="pl-PL"/>
        </w:rPr>
      </w:pPr>
    </w:p>
    <w:p w14:paraId="5D89F242" w14:textId="6BD85593" w:rsidR="003268D8" w:rsidRPr="0021617C" w:rsidRDefault="003268D8" w:rsidP="005C6E65">
      <w:pPr>
        <w:shd w:val="clear" w:color="auto" w:fill="FFFFFF"/>
        <w:spacing w:after="0"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 xml:space="preserve">В съответствие с </w:t>
      </w:r>
      <w:r w:rsidR="0041258F">
        <w:rPr>
          <w:rFonts w:ascii="Arial Narrow" w:eastAsia="Times New Roman" w:hAnsi="Arial Narrow" w:cs="Arial"/>
          <w:sz w:val="24"/>
          <w:szCs w:val="24"/>
          <w:lang w:val="bg-BG" w:eastAsia="pl-PL"/>
        </w:rPr>
        <w:t xml:space="preserve">член </w:t>
      </w:r>
      <w:r w:rsidRPr="0021617C">
        <w:rPr>
          <w:rFonts w:ascii="Arial Narrow" w:eastAsia="Times New Roman" w:hAnsi="Arial Narrow" w:cs="Arial"/>
          <w:sz w:val="24"/>
          <w:szCs w:val="24"/>
          <w:lang w:eastAsia="pl-PL"/>
        </w:rPr>
        <w:t xml:space="preserve">3 от </w:t>
      </w:r>
      <w:r w:rsidR="000A6D7E">
        <w:rPr>
          <w:rFonts w:ascii="Arial Narrow" w:eastAsia="Times New Roman" w:hAnsi="Arial Narrow" w:cs="Arial"/>
          <w:sz w:val="24"/>
          <w:szCs w:val="24"/>
          <w:lang w:val="bg-BG" w:eastAsia="pl-PL"/>
        </w:rPr>
        <w:t>Директивата</w:t>
      </w:r>
      <w:r w:rsidRPr="0021617C">
        <w:rPr>
          <w:rFonts w:ascii="Arial Narrow" w:eastAsia="Times New Roman" w:hAnsi="Arial Narrow" w:cs="Arial"/>
          <w:sz w:val="24"/>
          <w:szCs w:val="24"/>
          <w:lang w:eastAsia="pl-PL"/>
        </w:rPr>
        <w:t xml:space="preserve">, използване на поверителна информация </w:t>
      </w:r>
      <w:r w:rsidR="002224C9">
        <w:rPr>
          <w:rFonts w:ascii="Arial Narrow" w:eastAsia="Times New Roman" w:hAnsi="Arial Narrow" w:cs="Arial"/>
          <w:sz w:val="24"/>
          <w:szCs w:val="24"/>
          <w:lang w:val="bg-BG" w:eastAsia="pl-PL"/>
        </w:rPr>
        <w:t xml:space="preserve">е случая, при който </w:t>
      </w:r>
      <w:r w:rsidRPr="0021617C">
        <w:rPr>
          <w:rFonts w:ascii="Arial Narrow" w:eastAsia="Times New Roman" w:hAnsi="Arial Narrow" w:cs="Arial"/>
          <w:sz w:val="24"/>
          <w:szCs w:val="24"/>
          <w:lang w:eastAsia="pl-PL"/>
        </w:rPr>
        <w:t>дадено лице притежава поверителна информация и използва тази информация при покупка или продажба, за своя сметка или за трета страна, пряко или косвено,</w:t>
      </w:r>
      <w:r w:rsidR="002224C9">
        <w:rPr>
          <w:rFonts w:ascii="Arial Narrow" w:eastAsia="Times New Roman" w:hAnsi="Arial Narrow" w:cs="Arial"/>
          <w:sz w:val="24"/>
          <w:szCs w:val="24"/>
          <w:lang w:val="bg-BG" w:eastAsia="pl-PL"/>
        </w:rPr>
        <w:t xml:space="preserve"> на </w:t>
      </w:r>
      <w:r w:rsidRPr="0021617C">
        <w:rPr>
          <w:rFonts w:ascii="Arial Narrow" w:eastAsia="Times New Roman" w:hAnsi="Arial Narrow" w:cs="Arial"/>
          <w:sz w:val="24"/>
          <w:szCs w:val="24"/>
          <w:lang w:eastAsia="pl-PL"/>
        </w:rPr>
        <w:t>финансовите инструменти, за които се отнася тази информация.</w:t>
      </w:r>
    </w:p>
    <w:p w14:paraId="101FC232" w14:textId="77777777" w:rsidR="003268D8" w:rsidRPr="0021617C" w:rsidRDefault="003268D8" w:rsidP="00C24F93">
      <w:pPr>
        <w:shd w:val="clear" w:color="auto" w:fill="FFFFFF"/>
        <w:spacing w:after="0" w:line="276" w:lineRule="auto"/>
        <w:ind w:left="426" w:firstLine="142"/>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Тази разпоредба се прилага за всички лица, които притежават поверителна информация поради:</w:t>
      </w:r>
    </w:p>
    <w:p w14:paraId="2D69A114" w14:textId="77777777" w:rsidR="003268D8" w:rsidRPr="0021617C" w:rsidRDefault="003268D8" w:rsidP="00C24F93">
      <w:pPr>
        <w:shd w:val="clear" w:color="auto" w:fill="FFFFFF"/>
        <w:spacing w:after="0" w:line="276" w:lineRule="auto"/>
        <w:ind w:left="426" w:firstLine="142"/>
        <w:jc w:val="both"/>
        <w:rPr>
          <w:rFonts w:ascii="Arial Narrow" w:eastAsia="Times New Roman" w:hAnsi="Arial Narrow" w:cs="Arial"/>
          <w:sz w:val="24"/>
          <w:szCs w:val="24"/>
          <w:lang w:eastAsia="pl-PL"/>
        </w:rPr>
      </w:pPr>
    </w:p>
    <w:tbl>
      <w:tblPr>
        <w:tblW w:w="5000" w:type="pct"/>
        <w:shd w:val="clear" w:color="auto" w:fill="FFFFFF"/>
        <w:tblCellMar>
          <w:left w:w="0" w:type="dxa"/>
          <w:right w:w="0" w:type="dxa"/>
        </w:tblCellMar>
        <w:tblLook w:val="04A0" w:firstRow="1" w:lastRow="0" w:firstColumn="1" w:lastColumn="0" w:noHBand="0" w:noVBand="1"/>
      </w:tblPr>
      <w:tblGrid>
        <w:gridCol w:w="601"/>
        <w:gridCol w:w="6"/>
        <w:gridCol w:w="9031"/>
      </w:tblGrid>
      <w:tr w:rsidR="002224C9" w:rsidRPr="0021617C" w14:paraId="3791CC90" w14:textId="77777777" w:rsidTr="002224C9">
        <w:tc>
          <w:tcPr>
            <w:tcW w:w="0" w:type="auto"/>
            <w:shd w:val="clear" w:color="auto" w:fill="FFFFFF"/>
            <w:hideMark/>
          </w:tcPr>
          <w:p w14:paraId="4855367C" w14:textId="77777777" w:rsidR="002224C9" w:rsidRPr="0021617C" w:rsidRDefault="002224C9" w:rsidP="009620CB">
            <w:pPr>
              <w:spacing w:after="0" w:line="276" w:lineRule="auto"/>
              <w:ind w:left="426"/>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a)</w:t>
            </w:r>
          </w:p>
        </w:tc>
        <w:tc>
          <w:tcPr>
            <w:tcW w:w="0" w:type="auto"/>
            <w:shd w:val="clear" w:color="auto" w:fill="FFFFFF"/>
          </w:tcPr>
          <w:p w14:paraId="5008D0E8" w14:textId="77777777" w:rsidR="002224C9" w:rsidRPr="0021617C" w:rsidRDefault="002224C9" w:rsidP="009620CB">
            <w:pPr>
              <w:spacing w:after="0" w:line="276" w:lineRule="auto"/>
              <w:ind w:left="426"/>
              <w:rPr>
                <w:rFonts w:ascii="Arial Narrow" w:eastAsia="Times New Roman" w:hAnsi="Arial Narrow" w:cs="Arial"/>
                <w:sz w:val="24"/>
                <w:szCs w:val="24"/>
                <w:lang w:eastAsia="pl-PL"/>
              </w:rPr>
            </w:pPr>
          </w:p>
        </w:tc>
        <w:tc>
          <w:tcPr>
            <w:tcW w:w="0" w:type="auto"/>
            <w:shd w:val="clear" w:color="auto" w:fill="FFFFFF"/>
          </w:tcPr>
          <w:p w14:paraId="1E798937" w14:textId="2C7CEFD0" w:rsidR="002224C9" w:rsidRPr="0021617C" w:rsidRDefault="002224C9" w:rsidP="009620CB">
            <w:pPr>
              <w:spacing w:after="0" w:line="276" w:lineRule="auto"/>
              <w:ind w:left="426"/>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член на административните, управителните или надзорните органи на емитента или участника на пазара на квоти за емисии;</w:t>
            </w:r>
          </w:p>
        </w:tc>
      </w:tr>
    </w:tbl>
    <w:p w14:paraId="6F617206" w14:textId="77777777" w:rsidR="003268D8" w:rsidRPr="0021617C" w:rsidRDefault="003268D8" w:rsidP="009620CB">
      <w:pPr>
        <w:spacing w:after="0" w:line="276" w:lineRule="auto"/>
        <w:ind w:left="426"/>
        <w:rPr>
          <w:rFonts w:ascii="Arial Narrow" w:eastAsia="Times New Roman" w:hAnsi="Arial Narrow" w:cs="Arial"/>
          <w:vanish/>
          <w:sz w:val="24"/>
          <w:szCs w:val="24"/>
          <w:lang w:eastAsia="pl-PL"/>
        </w:rPr>
      </w:pPr>
    </w:p>
    <w:tbl>
      <w:tblPr>
        <w:tblW w:w="5000" w:type="pct"/>
        <w:shd w:val="clear" w:color="auto" w:fill="FFFFFF"/>
        <w:tblCellMar>
          <w:left w:w="0" w:type="dxa"/>
          <w:right w:w="0" w:type="dxa"/>
        </w:tblCellMar>
        <w:tblLook w:val="04A0" w:firstRow="1" w:lastRow="0" w:firstColumn="1" w:lastColumn="0" w:noHBand="0" w:noVBand="1"/>
      </w:tblPr>
      <w:tblGrid>
        <w:gridCol w:w="605"/>
        <w:gridCol w:w="9033"/>
      </w:tblGrid>
      <w:tr w:rsidR="003268D8" w:rsidRPr="0021617C" w14:paraId="432B8512" w14:textId="77777777" w:rsidTr="003268D8">
        <w:tc>
          <w:tcPr>
            <w:tcW w:w="0" w:type="auto"/>
            <w:shd w:val="clear" w:color="auto" w:fill="FFFFFF"/>
            <w:hideMark/>
          </w:tcPr>
          <w:p w14:paraId="0860357D" w14:textId="773BA2CC" w:rsidR="003268D8" w:rsidRPr="0021617C" w:rsidRDefault="002224C9" w:rsidP="009620CB">
            <w:pPr>
              <w:spacing w:after="0" w:line="276" w:lineRule="auto"/>
              <w:ind w:left="426"/>
              <w:rPr>
                <w:rFonts w:ascii="Arial Narrow" w:eastAsia="Times New Roman" w:hAnsi="Arial Narrow" w:cs="Arial"/>
                <w:sz w:val="24"/>
                <w:szCs w:val="24"/>
                <w:lang w:eastAsia="pl-PL"/>
              </w:rPr>
            </w:pPr>
            <w:r>
              <w:rPr>
                <w:rFonts w:ascii="Arial Narrow" w:eastAsia="Times New Roman" w:hAnsi="Arial Narrow" w:cs="Arial"/>
                <w:sz w:val="24"/>
                <w:szCs w:val="24"/>
                <w:lang w:val="bg-BG" w:eastAsia="pl-PL"/>
              </w:rPr>
              <w:t>б</w:t>
            </w:r>
            <w:r w:rsidR="003268D8" w:rsidRPr="0021617C">
              <w:rPr>
                <w:rFonts w:ascii="Arial Narrow" w:eastAsia="Times New Roman" w:hAnsi="Arial Narrow" w:cs="Arial"/>
                <w:sz w:val="24"/>
                <w:szCs w:val="24"/>
                <w:lang w:eastAsia="pl-PL"/>
              </w:rPr>
              <w:t>)</w:t>
            </w:r>
          </w:p>
        </w:tc>
        <w:tc>
          <w:tcPr>
            <w:tcW w:w="0" w:type="auto"/>
            <w:shd w:val="clear" w:color="auto" w:fill="FFFFFF"/>
            <w:hideMark/>
          </w:tcPr>
          <w:p w14:paraId="6DF09FB3" w14:textId="77777777" w:rsidR="003268D8" w:rsidRPr="0021617C" w:rsidRDefault="003268D8" w:rsidP="009620CB">
            <w:pPr>
              <w:spacing w:after="0" w:line="276" w:lineRule="auto"/>
              <w:ind w:left="426"/>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притежаване на дялове в капитала на емитента или участника на пазара на квоти за емисии;</w:t>
            </w:r>
          </w:p>
        </w:tc>
      </w:tr>
    </w:tbl>
    <w:p w14:paraId="779CE4DE" w14:textId="77777777" w:rsidR="003268D8" w:rsidRPr="0021617C" w:rsidRDefault="003268D8" w:rsidP="009620CB">
      <w:pPr>
        <w:spacing w:after="0" w:line="276" w:lineRule="auto"/>
        <w:ind w:left="426"/>
        <w:rPr>
          <w:rFonts w:ascii="Arial Narrow" w:eastAsia="Times New Roman" w:hAnsi="Arial Narrow" w:cs="Arial"/>
          <w:vanish/>
          <w:sz w:val="24"/>
          <w:szCs w:val="24"/>
          <w:lang w:eastAsia="pl-PL"/>
        </w:rPr>
      </w:pPr>
    </w:p>
    <w:tbl>
      <w:tblPr>
        <w:tblW w:w="4571" w:type="pct"/>
        <w:shd w:val="clear" w:color="auto" w:fill="FFFFFF"/>
        <w:tblCellMar>
          <w:left w:w="0" w:type="dxa"/>
          <w:right w:w="0" w:type="dxa"/>
        </w:tblCellMar>
        <w:tblLook w:val="04A0" w:firstRow="1" w:lastRow="0" w:firstColumn="1" w:lastColumn="0" w:noHBand="0" w:noVBand="1"/>
      </w:tblPr>
      <w:tblGrid>
        <w:gridCol w:w="722"/>
        <w:gridCol w:w="8089"/>
      </w:tblGrid>
      <w:tr w:rsidR="003268D8" w:rsidRPr="0021617C" w14:paraId="05F96A84" w14:textId="77777777" w:rsidTr="002224C9">
        <w:trPr>
          <w:trHeight w:val="312"/>
        </w:trPr>
        <w:tc>
          <w:tcPr>
            <w:tcW w:w="0" w:type="auto"/>
            <w:shd w:val="clear" w:color="auto" w:fill="FFFFFF"/>
            <w:hideMark/>
          </w:tcPr>
          <w:p w14:paraId="590516FA" w14:textId="77777777" w:rsidR="003268D8" w:rsidRPr="0021617C" w:rsidRDefault="003268D8" w:rsidP="009620CB">
            <w:pPr>
              <w:spacing w:after="0" w:line="240" w:lineRule="auto"/>
              <w:ind w:left="426"/>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c)</w:t>
            </w:r>
          </w:p>
        </w:tc>
        <w:tc>
          <w:tcPr>
            <w:tcW w:w="0" w:type="auto"/>
            <w:shd w:val="clear" w:color="auto" w:fill="FFFFFF"/>
            <w:hideMark/>
          </w:tcPr>
          <w:p w14:paraId="334F5840" w14:textId="77777777" w:rsidR="003268D8" w:rsidRPr="0021617C" w:rsidRDefault="003268D8" w:rsidP="009620CB">
            <w:pPr>
              <w:spacing w:after="0" w:line="240" w:lineRule="auto"/>
              <w:ind w:left="426"/>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достъп до информация за заетост, професия или задължения; или</w:t>
            </w:r>
          </w:p>
        </w:tc>
      </w:tr>
      <w:tr w:rsidR="003268D8" w:rsidRPr="0021617C" w14:paraId="3EC534E7" w14:textId="77777777" w:rsidTr="002224C9">
        <w:trPr>
          <w:trHeight w:val="312"/>
        </w:trPr>
        <w:tc>
          <w:tcPr>
            <w:tcW w:w="0" w:type="auto"/>
            <w:shd w:val="clear" w:color="auto" w:fill="FFFFFF"/>
          </w:tcPr>
          <w:p w14:paraId="4C780692" w14:textId="77777777" w:rsidR="003268D8" w:rsidRPr="0021617C" w:rsidRDefault="003268D8" w:rsidP="009620CB">
            <w:pPr>
              <w:spacing w:after="0" w:line="240" w:lineRule="auto"/>
              <w:ind w:left="426"/>
              <w:rPr>
                <w:rFonts w:ascii="Arial Narrow" w:eastAsia="Times New Roman" w:hAnsi="Arial Narrow" w:cs="Arial"/>
                <w:sz w:val="24"/>
                <w:szCs w:val="24"/>
                <w:lang w:eastAsia="pl-PL"/>
              </w:rPr>
            </w:pPr>
          </w:p>
        </w:tc>
        <w:tc>
          <w:tcPr>
            <w:tcW w:w="0" w:type="auto"/>
            <w:shd w:val="clear" w:color="auto" w:fill="FFFFFF"/>
          </w:tcPr>
          <w:p w14:paraId="33A0E6DB" w14:textId="77777777" w:rsidR="003268D8" w:rsidRPr="0021617C" w:rsidRDefault="003268D8" w:rsidP="009620CB">
            <w:pPr>
              <w:spacing w:after="0" w:line="240" w:lineRule="auto"/>
              <w:ind w:left="426"/>
              <w:rPr>
                <w:rFonts w:ascii="Arial Narrow" w:eastAsia="Times New Roman" w:hAnsi="Arial Narrow" w:cs="Arial"/>
                <w:sz w:val="24"/>
                <w:szCs w:val="24"/>
                <w:u w:val="single"/>
                <w:lang w:eastAsia="pl-PL"/>
              </w:rPr>
            </w:pPr>
          </w:p>
        </w:tc>
      </w:tr>
    </w:tbl>
    <w:p w14:paraId="2E8B577D" w14:textId="77777777" w:rsidR="003268D8" w:rsidRPr="0021617C" w:rsidRDefault="003268D8" w:rsidP="009620CB">
      <w:pPr>
        <w:spacing w:after="0" w:line="240" w:lineRule="auto"/>
        <w:ind w:left="426"/>
        <w:rPr>
          <w:rFonts w:ascii="Arial Narrow" w:eastAsia="Times New Roman" w:hAnsi="Arial Narrow" w:cs="Arial"/>
          <w:vanish/>
          <w:sz w:val="24"/>
          <w:szCs w:val="24"/>
          <w:lang w:eastAsia="pl-PL"/>
        </w:rPr>
      </w:pPr>
    </w:p>
    <w:tbl>
      <w:tblPr>
        <w:tblW w:w="5000" w:type="pct"/>
        <w:shd w:val="clear" w:color="auto" w:fill="FFFFFF"/>
        <w:tblCellMar>
          <w:left w:w="0" w:type="dxa"/>
          <w:right w:w="0" w:type="dxa"/>
        </w:tblCellMar>
        <w:tblLook w:val="04A0" w:firstRow="1" w:lastRow="0" w:firstColumn="1" w:lastColumn="0" w:noHBand="0" w:noVBand="1"/>
      </w:tblPr>
      <w:tblGrid>
        <w:gridCol w:w="1374"/>
        <w:gridCol w:w="8264"/>
      </w:tblGrid>
      <w:tr w:rsidR="003268D8" w:rsidRPr="0021617C" w14:paraId="1B7DBAD6" w14:textId="77777777" w:rsidTr="003268D8">
        <w:tc>
          <w:tcPr>
            <w:tcW w:w="0" w:type="auto"/>
            <w:shd w:val="clear" w:color="auto" w:fill="FFFFFF"/>
            <w:hideMark/>
          </w:tcPr>
          <w:p w14:paraId="32A81A85" w14:textId="6437980D" w:rsidR="003268D8" w:rsidRPr="0021617C" w:rsidRDefault="005C6E65" w:rsidP="009620CB">
            <w:pPr>
              <w:spacing w:after="0" w:line="240" w:lineRule="auto"/>
              <w:ind w:left="426"/>
              <w:rPr>
                <w:rFonts w:ascii="Arial Narrow" w:eastAsia="Times New Roman" w:hAnsi="Arial Narrow" w:cs="Arial"/>
                <w:sz w:val="24"/>
                <w:szCs w:val="24"/>
                <w:lang w:eastAsia="pl-PL"/>
              </w:rPr>
            </w:pPr>
            <w:r>
              <w:rPr>
                <w:rFonts w:ascii="Arial Narrow" w:eastAsia="Times New Roman" w:hAnsi="Arial Narrow" w:cs="Arial"/>
                <w:sz w:val="24"/>
                <w:szCs w:val="24"/>
                <w:lang w:val="bg-BG" w:eastAsia="pl-PL"/>
              </w:rPr>
              <w:t>г</w:t>
            </w:r>
            <w:r w:rsidR="003268D8" w:rsidRPr="0021617C">
              <w:rPr>
                <w:rFonts w:ascii="Arial Narrow" w:eastAsia="Times New Roman" w:hAnsi="Arial Narrow" w:cs="Arial"/>
                <w:sz w:val="24"/>
                <w:szCs w:val="24"/>
                <w:lang w:eastAsia="pl-PL"/>
              </w:rPr>
              <w:t>)</w:t>
            </w:r>
          </w:p>
        </w:tc>
        <w:tc>
          <w:tcPr>
            <w:tcW w:w="0" w:type="auto"/>
            <w:shd w:val="clear" w:color="auto" w:fill="FFFFFF"/>
            <w:hideMark/>
          </w:tcPr>
          <w:p w14:paraId="760E3E6C" w14:textId="77777777" w:rsidR="003268D8" w:rsidRPr="0021617C" w:rsidRDefault="003268D8" w:rsidP="009620CB">
            <w:pPr>
              <w:spacing w:after="0" w:line="240" w:lineRule="auto"/>
              <w:ind w:left="-314" w:firstLine="851"/>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участие в престъпни дейности.</w:t>
            </w:r>
          </w:p>
        </w:tc>
      </w:tr>
    </w:tbl>
    <w:p w14:paraId="4175521F" w14:textId="77777777" w:rsidR="003268D8" w:rsidRPr="0021617C" w:rsidRDefault="003268D8" w:rsidP="009620CB">
      <w:pPr>
        <w:shd w:val="clear" w:color="auto" w:fill="FFFFFF"/>
        <w:spacing w:after="0" w:line="240" w:lineRule="auto"/>
        <w:ind w:left="426"/>
        <w:rPr>
          <w:rFonts w:ascii="Arial Narrow" w:eastAsia="Times New Roman" w:hAnsi="Arial Narrow" w:cs="Arial"/>
          <w:sz w:val="24"/>
          <w:szCs w:val="24"/>
          <w:lang w:eastAsia="pl-PL"/>
        </w:rPr>
      </w:pPr>
    </w:p>
    <w:p w14:paraId="4CDC59CF" w14:textId="77777777" w:rsidR="003268D8" w:rsidRPr="0021617C" w:rsidRDefault="003268D8" w:rsidP="009620CB">
      <w:pPr>
        <w:shd w:val="clear" w:color="auto" w:fill="FFFFFF"/>
        <w:spacing w:before="100" w:beforeAutospacing="1" w:after="100" w:afterAutospacing="1"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Настоящият член се прилага за всяко лице, което е получило вътрешна информация при обстоятелства, различни от посочените в първа алинея, когато това лице знае, че въпросната информация представлява вътрешна информация.</w:t>
      </w:r>
    </w:p>
    <w:p w14:paraId="3C6E3F47" w14:textId="2D74A935" w:rsidR="003268D8" w:rsidRPr="0021617C" w:rsidRDefault="003268D8" w:rsidP="00C24F93">
      <w:pPr>
        <w:shd w:val="clear" w:color="auto" w:fill="FFFFFF"/>
        <w:spacing w:before="100" w:beforeAutospacing="1" w:after="100" w:afterAutospacing="1" w:line="276" w:lineRule="auto"/>
        <w:ind w:left="426" w:firstLine="142"/>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lastRenderedPageBreak/>
        <w:t xml:space="preserve">В съответствие с чл. 4 </w:t>
      </w:r>
      <w:r w:rsidR="002224C9">
        <w:rPr>
          <w:rFonts w:ascii="Arial Narrow" w:eastAsia="Times New Roman" w:hAnsi="Arial Narrow" w:cs="Arial"/>
          <w:sz w:val="24"/>
          <w:szCs w:val="24"/>
          <w:lang w:val="bg-BG" w:eastAsia="pl-PL"/>
        </w:rPr>
        <w:t>точка</w:t>
      </w:r>
      <w:r w:rsidRPr="0021617C">
        <w:rPr>
          <w:rFonts w:ascii="Arial Narrow" w:eastAsia="Times New Roman" w:hAnsi="Arial Narrow" w:cs="Arial"/>
          <w:sz w:val="24"/>
          <w:szCs w:val="24"/>
          <w:lang w:eastAsia="pl-PL"/>
        </w:rPr>
        <w:t xml:space="preserve"> 2 от </w:t>
      </w:r>
      <w:r w:rsidR="002224C9">
        <w:rPr>
          <w:rFonts w:ascii="Arial Narrow" w:eastAsia="Times New Roman" w:hAnsi="Arial Narrow" w:cs="Arial"/>
          <w:sz w:val="24"/>
          <w:szCs w:val="24"/>
          <w:lang w:val="bg-BG" w:eastAsia="pl-PL"/>
        </w:rPr>
        <w:t>Д</w:t>
      </w:r>
      <w:r w:rsidRPr="0021617C">
        <w:rPr>
          <w:rFonts w:ascii="Arial Narrow" w:eastAsia="Times New Roman" w:hAnsi="Arial Narrow" w:cs="Arial"/>
          <w:sz w:val="24"/>
          <w:szCs w:val="24"/>
          <w:lang w:eastAsia="pl-PL"/>
        </w:rPr>
        <w:t>ирективата, сериозните случаи на незаконно разкриване на поверителна информация са престъпление, ако са извършени умишлено. Защото неправомерното разкриване на поверителна информация се случва, когато дадено лице притежава поверителна информация и разкрива тази информация на друго лице, с изключение на случаите, когато такова разкриване се извършва при обичайната работа, професия или задължения.</w:t>
      </w:r>
    </w:p>
    <w:p w14:paraId="6C7E61E7" w14:textId="5DE6BCE6" w:rsidR="003268D8" w:rsidRPr="0021617C" w:rsidRDefault="003268D8" w:rsidP="009620CB">
      <w:pPr>
        <w:shd w:val="clear" w:color="auto" w:fill="FFFFFF"/>
        <w:spacing w:after="0"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 xml:space="preserve">В съответствие с чл. 7 </w:t>
      </w:r>
      <w:r w:rsidR="002224C9">
        <w:rPr>
          <w:rFonts w:ascii="Arial Narrow" w:eastAsia="Times New Roman" w:hAnsi="Arial Narrow" w:cs="Arial"/>
          <w:sz w:val="24"/>
          <w:szCs w:val="24"/>
          <w:lang w:val="bg-BG" w:eastAsia="pl-PL"/>
        </w:rPr>
        <w:t>член</w:t>
      </w:r>
      <w:r w:rsidRPr="0021617C">
        <w:rPr>
          <w:rFonts w:ascii="Arial Narrow" w:eastAsia="Times New Roman" w:hAnsi="Arial Narrow" w:cs="Arial"/>
          <w:sz w:val="24"/>
          <w:szCs w:val="24"/>
          <w:lang w:eastAsia="pl-PL"/>
        </w:rPr>
        <w:t xml:space="preserve"> 2 от </w:t>
      </w:r>
      <w:r w:rsidR="002224C9">
        <w:rPr>
          <w:rFonts w:ascii="Arial Narrow" w:eastAsia="Times New Roman" w:hAnsi="Arial Narrow" w:cs="Arial"/>
          <w:sz w:val="24"/>
          <w:szCs w:val="24"/>
          <w:lang w:val="bg-BG" w:eastAsia="pl-PL"/>
        </w:rPr>
        <w:t>Д</w:t>
      </w:r>
      <w:r w:rsidRPr="0021617C">
        <w:rPr>
          <w:rFonts w:ascii="Arial Narrow" w:eastAsia="Times New Roman" w:hAnsi="Arial Narrow" w:cs="Arial"/>
          <w:sz w:val="24"/>
          <w:szCs w:val="24"/>
          <w:lang w:eastAsia="pl-PL"/>
        </w:rPr>
        <w:t>ирективата, престъплението при използване на поверителна информация се наказва с максимален срок на лишаване от свобода от най-малко четири години. Престъплението за незаконно разкриване на поверителна информация обаче се наказва с максимален срок на лишаване от свобода от най-малко две години.</w:t>
      </w:r>
    </w:p>
    <w:p w14:paraId="477ED653" w14:textId="77777777" w:rsidR="003268D8" w:rsidRPr="0021617C" w:rsidRDefault="003268D8" w:rsidP="00C24F93">
      <w:pPr>
        <w:tabs>
          <w:tab w:val="left" w:pos="567"/>
        </w:tabs>
        <w:spacing w:after="0" w:line="276" w:lineRule="auto"/>
        <w:ind w:left="426" w:firstLine="142"/>
        <w:jc w:val="both"/>
        <w:rPr>
          <w:rFonts w:ascii="Arial Narrow" w:eastAsia="Calibri" w:hAnsi="Arial Narrow" w:cs="Arial"/>
          <w:sz w:val="24"/>
          <w:szCs w:val="24"/>
          <w:shd w:val="clear" w:color="auto" w:fill="FFFFFF"/>
        </w:rPr>
      </w:pPr>
    </w:p>
    <w:p w14:paraId="67F10E49" w14:textId="536C2281" w:rsidR="003268D8" w:rsidRPr="009620CB" w:rsidRDefault="009620CB" w:rsidP="009620CB">
      <w:pPr>
        <w:spacing w:after="0" w:line="276" w:lineRule="auto"/>
        <w:jc w:val="both"/>
        <w:rPr>
          <w:rFonts w:ascii="Arial Narrow" w:eastAsia="Calibri" w:hAnsi="Arial Narrow" w:cs="Arial"/>
          <w:b/>
          <w:bCs/>
          <w:sz w:val="24"/>
          <w:szCs w:val="24"/>
        </w:rPr>
      </w:pPr>
      <w:r>
        <w:rPr>
          <w:rFonts w:ascii="Arial Narrow" w:eastAsia="Calibri" w:hAnsi="Arial Narrow" w:cs="Arial"/>
          <w:b/>
          <w:bCs/>
          <w:sz w:val="24"/>
          <w:szCs w:val="24"/>
          <w:lang w:val="bg-BG"/>
        </w:rPr>
        <w:t xml:space="preserve">         Законови</w:t>
      </w:r>
      <w:r w:rsidR="003268D8" w:rsidRPr="009620CB">
        <w:rPr>
          <w:rFonts w:ascii="Arial Narrow" w:eastAsia="Calibri" w:hAnsi="Arial Narrow" w:cs="Arial"/>
          <w:b/>
          <w:bCs/>
          <w:sz w:val="24"/>
          <w:szCs w:val="24"/>
        </w:rPr>
        <w:t xml:space="preserve"> начини за получаване на информация за предприятие</w:t>
      </w:r>
    </w:p>
    <w:p w14:paraId="25BDE215" w14:textId="77777777" w:rsidR="003268D8" w:rsidRPr="0021617C" w:rsidRDefault="003268D8" w:rsidP="00C24F93">
      <w:pPr>
        <w:shd w:val="clear" w:color="auto" w:fill="FFFFFF"/>
        <w:spacing w:after="0" w:line="276" w:lineRule="auto"/>
        <w:ind w:left="426" w:firstLine="142"/>
        <w:jc w:val="both"/>
        <w:rPr>
          <w:rFonts w:ascii="Arial Narrow" w:eastAsia="Calibri" w:hAnsi="Arial Narrow" w:cs="Arial"/>
          <w:sz w:val="24"/>
          <w:szCs w:val="24"/>
        </w:rPr>
      </w:pPr>
    </w:p>
    <w:p w14:paraId="00971820" w14:textId="77777777" w:rsidR="003268D8" w:rsidRPr="0021617C" w:rsidRDefault="003268D8" w:rsidP="009620CB">
      <w:pPr>
        <w:spacing w:after="0"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Законът, както на национално, така и на европейско равнище, налага редица задължения за оповестяване на дружествата емитиращи. Информационните задължения включват необходимостта издателите да разкриват поверителна информация, текущи и периодични отчети.</w:t>
      </w:r>
    </w:p>
    <w:p w14:paraId="3F852498" w14:textId="77777777" w:rsidR="003268D8" w:rsidRPr="0021617C" w:rsidRDefault="003268D8" w:rsidP="00C24F93">
      <w:pPr>
        <w:spacing w:after="0" w:line="276" w:lineRule="auto"/>
        <w:ind w:left="426" w:firstLine="142"/>
        <w:jc w:val="both"/>
        <w:rPr>
          <w:rFonts w:ascii="Arial Narrow" w:eastAsia="Times New Roman" w:hAnsi="Arial Narrow" w:cs="Arial"/>
          <w:sz w:val="24"/>
          <w:szCs w:val="24"/>
          <w:lang w:eastAsia="pl-PL"/>
        </w:rPr>
      </w:pPr>
    </w:p>
    <w:p w14:paraId="71D9B20F" w14:textId="77777777" w:rsidR="003268D8" w:rsidRPr="0021617C" w:rsidRDefault="003268D8" w:rsidP="009620CB">
      <w:pPr>
        <w:spacing w:after="0"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Тези задължения възникват, наред с други от следните правни актове на Европейския съюз и национални правни актове по тяхното прилагане:</w:t>
      </w:r>
    </w:p>
    <w:p w14:paraId="4790E2C2" w14:textId="77E9AD47" w:rsidR="003268D8" w:rsidRPr="0021617C" w:rsidRDefault="003268D8" w:rsidP="00C24F93">
      <w:pPr>
        <w:spacing w:after="0" w:line="276" w:lineRule="auto"/>
        <w:ind w:left="426" w:firstLine="142"/>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1. Директива 2003/71 /ЕО на Европейския парламент и на Съвета от 4 ноември 2003 г. относно проспекта, публикуван във връзка с публична оферта или допускане до търговия с ценни книжа и за изменение на Директива 2001/34 / ЕО, изменена г. и Регламент (ЕС) 2017/1129 на Европейския парламент и на Съвета от 14 юни 2017 г. относно проспекта, който ще бъде публикуван във връзка с публичното предлагане на ценни книжа или допускане до търговия на регулиран пазар и отмяна на Директива 2003/71 / ЕО ;</w:t>
      </w:r>
    </w:p>
    <w:p w14:paraId="1C580951" w14:textId="76A00CF0" w:rsidR="003268D8" w:rsidRPr="002224C9" w:rsidRDefault="003268D8" w:rsidP="00C24F93">
      <w:pPr>
        <w:spacing w:after="0" w:line="276" w:lineRule="auto"/>
        <w:ind w:left="426" w:firstLine="142"/>
        <w:jc w:val="both"/>
        <w:rPr>
          <w:rFonts w:ascii="Arial Narrow" w:eastAsia="Times New Roman" w:hAnsi="Arial Narrow" w:cs="Arial"/>
          <w:sz w:val="24"/>
          <w:szCs w:val="24"/>
          <w:lang w:val="bg-BG" w:eastAsia="pl-PL"/>
        </w:rPr>
      </w:pPr>
      <w:r w:rsidRPr="0021617C">
        <w:rPr>
          <w:rFonts w:ascii="Arial Narrow" w:eastAsia="Times New Roman" w:hAnsi="Arial Narrow" w:cs="Arial"/>
          <w:sz w:val="24"/>
          <w:szCs w:val="24"/>
          <w:lang w:eastAsia="pl-PL"/>
        </w:rPr>
        <w:t>2. Регламент (ЕС) № 596/2014 на Европейския парламент и на Съвета от 16 април 2014 г. относно пазарна злоупотреба (Регламент относно пазарната злоупотреба) и за отмяна на Директива 2003/6 / ЕО на Европейския парламент и на Директива на Съвета и на Комисията от 2003 г. /124/ЕО, 2003/125/ЕО и 2004/72 / ЕО, изменени</w:t>
      </w:r>
      <w:r w:rsidR="002224C9">
        <w:rPr>
          <w:rFonts w:ascii="Arial Narrow" w:eastAsia="Times New Roman" w:hAnsi="Arial Narrow" w:cs="Arial"/>
          <w:sz w:val="24"/>
          <w:szCs w:val="24"/>
          <w:lang w:val="bg-BG" w:eastAsia="pl-PL"/>
        </w:rPr>
        <w:t>.</w:t>
      </w:r>
    </w:p>
    <w:p w14:paraId="786A1DEC" w14:textId="00F5566D" w:rsidR="003268D8" w:rsidRPr="0021617C" w:rsidRDefault="003268D8" w:rsidP="00C24F93">
      <w:pPr>
        <w:spacing w:after="0" w:line="276" w:lineRule="auto"/>
        <w:ind w:left="426" w:firstLine="142"/>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3. Директива 2004/109 / ЕО на Европейския парламент и на Съвета от 15 декември 2014 г. относно хармонизирането на изискванията относно прозрачността на информацията за емитентите, чиито ценни книжа са допуснати до търговия на регулиран пазар и за изменение на Директива 2001/34 / ЕО, изменена. с измененията, включително промените, произтичащи от Директива 2013/50/ЕС на Европейския парламент и на Съвета от 22 октомври 2013 г.</w:t>
      </w:r>
    </w:p>
    <w:p w14:paraId="1A0ADB1A" w14:textId="77777777" w:rsidR="003268D8" w:rsidRPr="0021617C" w:rsidRDefault="003268D8" w:rsidP="00C24F93">
      <w:pPr>
        <w:spacing w:after="0" w:line="276" w:lineRule="auto"/>
        <w:ind w:left="426" w:firstLine="142"/>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Информацията, която задължително се предоставя от компаниите емитенти на техните уебсайтове, е основа за инвеститорите да оценят икономическото и финансовото състояние на даден емитент и перспективите му за развитие. Те могат да бъдат и ценен източник на информация за членовете на ЕРС, независимо от това, което получават от централното ръководство.</w:t>
      </w:r>
    </w:p>
    <w:p w14:paraId="2D842B5F" w14:textId="77777777" w:rsidR="003268D8" w:rsidRPr="0021617C" w:rsidRDefault="003268D8" w:rsidP="00C24F93">
      <w:pPr>
        <w:spacing w:after="0" w:line="276" w:lineRule="auto"/>
        <w:ind w:left="426" w:firstLine="142"/>
        <w:jc w:val="both"/>
        <w:rPr>
          <w:rFonts w:ascii="Arial Narrow" w:eastAsia="Times New Roman" w:hAnsi="Arial Narrow" w:cs="Arial"/>
          <w:sz w:val="24"/>
          <w:szCs w:val="24"/>
          <w:lang w:eastAsia="pl-PL"/>
        </w:rPr>
      </w:pPr>
    </w:p>
    <w:p w14:paraId="42809475" w14:textId="2D2DDC7C" w:rsidR="003268D8" w:rsidRPr="009620CB" w:rsidRDefault="003268D8" w:rsidP="009620CB">
      <w:pPr>
        <w:spacing w:after="0" w:line="276" w:lineRule="auto"/>
        <w:ind w:left="426" w:hanging="142"/>
        <w:jc w:val="both"/>
        <w:rPr>
          <w:rFonts w:ascii="Arial Narrow" w:eastAsia="Times New Roman" w:hAnsi="Arial Narrow" w:cs="Arial"/>
          <w:b/>
          <w:bCs/>
          <w:sz w:val="24"/>
          <w:szCs w:val="24"/>
          <w:lang w:eastAsia="pl-PL"/>
        </w:rPr>
      </w:pPr>
      <w:r w:rsidRPr="009620CB">
        <w:rPr>
          <w:rFonts w:ascii="Arial Narrow" w:eastAsia="Times New Roman" w:hAnsi="Arial Narrow" w:cs="Arial"/>
          <w:b/>
          <w:bCs/>
          <w:sz w:val="24"/>
          <w:szCs w:val="24"/>
          <w:lang w:eastAsia="pl-PL"/>
        </w:rPr>
        <w:t xml:space="preserve">Концентрация </w:t>
      </w:r>
      <w:r w:rsidR="009620CB">
        <w:rPr>
          <w:rFonts w:ascii="Arial Narrow" w:eastAsia="Times New Roman" w:hAnsi="Arial Narrow" w:cs="Arial"/>
          <w:b/>
          <w:bCs/>
          <w:sz w:val="24"/>
          <w:szCs w:val="24"/>
          <w:lang w:val="bg-BG" w:eastAsia="pl-PL"/>
        </w:rPr>
        <w:t>и</w:t>
      </w:r>
      <w:r w:rsidRPr="009620CB">
        <w:rPr>
          <w:rFonts w:ascii="Arial Narrow" w:eastAsia="Times New Roman" w:hAnsi="Arial Narrow" w:cs="Arial"/>
          <w:b/>
          <w:bCs/>
          <w:sz w:val="24"/>
          <w:szCs w:val="24"/>
          <w:lang w:eastAsia="pl-PL"/>
        </w:rPr>
        <w:t xml:space="preserve"> бизнес сливания</w:t>
      </w:r>
    </w:p>
    <w:p w14:paraId="59CC2824" w14:textId="77777777" w:rsidR="003268D8" w:rsidRPr="0021617C" w:rsidRDefault="003268D8" w:rsidP="00C24F93">
      <w:pPr>
        <w:spacing w:after="0" w:line="276" w:lineRule="auto"/>
        <w:ind w:left="426" w:firstLine="142"/>
        <w:jc w:val="both"/>
        <w:rPr>
          <w:rFonts w:ascii="Arial Narrow" w:eastAsia="Calibri" w:hAnsi="Arial Narrow" w:cs="Arial"/>
          <w:sz w:val="24"/>
          <w:szCs w:val="24"/>
        </w:rPr>
      </w:pPr>
    </w:p>
    <w:p w14:paraId="082CCC8A" w14:textId="2DC6CFCE" w:rsidR="003268D8" w:rsidRPr="0021617C" w:rsidRDefault="003268D8" w:rsidP="009620CB">
      <w:pPr>
        <w:autoSpaceDE w:val="0"/>
        <w:autoSpaceDN w:val="0"/>
        <w:adjustRightInd w:val="0"/>
        <w:spacing w:after="0" w:line="276" w:lineRule="auto"/>
        <w:ind w:left="426"/>
        <w:jc w:val="both"/>
        <w:rPr>
          <w:rFonts w:ascii="Arial Narrow" w:eastAsia="Calibri" w:hAnsi="Arial Narrow" w:cs="Arial"/>
          <w:sz w:val="24"/>
          <w:szCs w:val="24"/>
        </w:rPr>
      </w:pPr>
      <w:r w:rsidRPr="0021617C">
        <w:rPr>
          <w:rFonts w:ascii="Arial Narrow" w:eastAsia="Calibri" w:hAnsi="Arial Narrow" w:cs="Arial"/>
          <w:sz w:val="24"/>
          <w:szCs w:val="24"/>
        </w:rPr>
        <w:t>Информацията за намерението да се концентрира</w:t>
      </w:r>
      <w:r w:rsidR="002224C9">
        <w:rPr>
          <w:rFonts w:ascii="Arial Narrow" w:eastAsia="Calibri" w:hAnsi="Arial Narrow" w:cs="Arial"/>
          <w:sz w:val="24"/>
          <w:szCs w:val="24"/>
          <w:lang w:val="bg-BG"/>
        </w:rPr>
        <w:t xml:space="preserve"> бизнеса</w:t>
      </w:r>
      <w:r w:rsidRPr="0021617C">
        <w:rPr>
          <w:rFonts w:ascii="Arial Narrow" w:eastAsia="Calibri" w:hAnsi="Arial Narrow" w:cs="Arial"/>
          <w:sz w:val="24"/>
          <w:szCs w:val="24"/>
        </w:rPr>
        <w:t xml:space="preserve"> може да предостави </w:t>
      </w:r>
      <w:r w:rsidR="002224C9">
        <w:rPr>
          <w:rFonts w:ascii="Arial Narrow" w:eastAsia="Calibri" w:hAnsi="Arial Narrow" w:cs="Arial"/>
          <w:sz w:val="24"/>
          <w:szCs w:val="24"/>
          <w:lang w:val="bg-BG"/>
        </w:rPr>
        <w:t>ако съществуват</w:t>
      </w:r>
      <w:r w:rsidRPr="0021617C">
        <w:rPr>
          <w:rFonts w:ascii="Arial Narrow" w:eastAsia="Calibri" w:hAnsi="Arial Narrow" w:cs="Arial"/>
          <w:sz w:val="24"/>
          <w:szCs w:val="24"/>
        </w:rPr>
        <w:t xml:space="preserve"> планирани преобразувания на предприяти</w:t>
      </w:r>
      <w:r w:rsidR="002224C9">
        <w:rPr>
          <w:rFonts w:ascii="Arial Narrow" w:eastAsia="Calibri" w:hAnsi="Arial Narrow" w:cs="Arial"/>
          <w:sz w:val="24"/>
          <w:szCs w:val="24"/>
          <w:lang w:val="bg-BG"/>
        </w:rPr>
        <w:t>то</w:t>
      </w:r>
      <w:r w:rsidRPr="0021617C">
        <w:rPr>
          <w:rFonts w:ascii="Arial Narrow" w:eastAsia="Calibri" w:hAnsi="Arial Narrow" w:cs="Arial"/>
          <w:sz w:val="24"/>
          <w:szCs w:val="24"/>
        </w:rPr>
        <w:t>е в рамките на Общността</w:t>
      </w:r>
      <w:r w:rsidR="002224C9">
        <w:rPr>
          <w:rFonts w:ascii="Arial Narrow" w:eastAsia="Calibri" w:hAnsi="Arial Narrow" w:cs="Arial"/>
          <w:sz w:val="24"/>
          <w:szCs w:val="24"/>
          <w:lang w:val="bg-BG"/>
        </w:rPr>
        <w:t xml:space="preserve">. Това зависи също от </w:t>
      </w:r>
      <w:r w:rsidRPr="0021617C">
        <w:rPr>
          <w:rFonts w:ascii="Arial Narrow" w:eastAsia="Calibri" w:hAnsi="Arial Narrow" w:cs="Arial"/>
          <w:sz w:val="24"/>
          <w:szCs w:val="24"/>
        </w:rPr>
        <w:lastRenderedPageBreak/>
        <w:t>обхвата на трансформацията. Концентрацията</w:t>
      </w:r>
      <w:r w:rsidR="002224C9">
        <w:rPr>
          <w:rFonts w:ascii="Arial Narrow" w:eastAsia="Calibri" w:hAnsi="Arial Narrow" w:cs="Arial"/>
          <w:sz w:val="24"/>
          <w:szCs w:val="24"/>
          <w:lang w:val="bg-BG"/>
        </w:rPr>
        <w:t xml:space="preserve"> на бизнеса</w:t>
      </w:r>
      <w:r w:rsidRPr="0021617C">
        <w:rPr>
          <w:rFonts w:ascii="Arial Narrow" w:eastAsia="Calibri" w:hAnsi="Arial Narrow" w:cs="Arial"/>
          <w:sz w:val="24"/>
          <w:szCs w:val="24"/>
        </w:rPr>
        <w:t xml:space="preserve"> може да има национално и общностно измерение.</w:t>
      </w:r>
    </w:p>
    <w:p w14:paraId="39AF8D58" w14:textId="77777777" w:rsidR="003268D8" w:rsidRPr="0021617C" w:rsidRDefault="003268D8" w:rsidP="00C24F93">
      <w:pPr>
        <w:autoSpaceDE w:val="0"/>
        <w:autoSpaceDN w:val="0"/>
        <w:adjustRightInd w:val="0"/>
        <w:spacing w:after="0" w:line="276" w:lineRule="auto"/>
        <w:ind w:left="426" w:firstLine="142"/>
        <w:jc w:val="both"/>
        <w:rPr>
          <w:rFonts w:ascii="Arial Narrow" w:eastAsia="Calibri" w:hAnsi="Arial Narrow" w:cs="Arial"/>
          <w:sz w:val="24"/>
          <w:szCs w:val="24"/>
        </w:rPr>
      </w:pPr>
    </w:p>
    <w:p w14:paraId="1ECE4030" w14:textId="77777777" w:rsidR="003268D8" w:rsidRPr="0021617C" w:rsidRDefault="003268D8" w:rsidP="009620CB">
      <w:pPr>
        <w:autoSpaceDE w:val="0"/>
        <w:autoSpaceDN w:val="0"/>
        <w:adjustRightInd w:val="0"/>
        <w:spacing w:after="0" w:line="276" w:lineRule="auto"/>
        <w:ind w:left="426"/>
        <w:jc w:val="both"/>
        <w:rPr>
          <w:rFonts w:ascii="Arial Narrow" w:eastAsia="Calibri" w:hAnsi="Arial Narrow" w:cs="Arial"/>
          <w:sz w:val="24"/>
          <w:szCs w:val="24"/>
        </w:rPr>
      </w:pPr>
      <w:r w:rsidRPr="0021617C">
        <w:rPr>
          <w:rFonts w:ascii="Arial Narrow" w:eastAsia="Calibri" w:hAnsi="Arial Narrow" w:cs="Arial"/>
          <w:sz w:val="24"/>
          <w:szCs w:val="24"/>
        </w:rPr>
        <w:t>Системата за контрол на сливанията в Европейския съюз е създадена с Регламент (ЕО) № 139/2004 на Съвета от 20 януари 2004 г. относно контрола върху концентрациите между предприятия и Регламент (ЕО) № 802/2004 на Комисията.</w:t>
      </w:r>
    </w:p>
    <w:p w14:paraId="69813565" w14:textId="77777777" w:rsidR="003268D8" w:rsidRPr="0021617C" w:rsidRDefault="003268D8" w:rsidP="00C24F93">
      <w:pPr>
        <w:autoSpaceDE w:val="0"/>
        <w:autoSpaceDN w:val="0"/>
        <w:adjustRightInd w:val="0"/>
        <w:spacing w:after="0" w:line="276" w:lineRule="auto"/>
        <w:ind w:left="426" w:firstLine="142"/>
        <w:jc w:val="both"/>
        <w:rPr>
          <w:rFonts w:ascii="Arial Narrow" w:eastAsia="Calibri" w:hAnsi="Arial Narrow" w:cs="Arial"/>
          <w:sz w:val="24"/>
          <w:szCs w:val="24"/>
        </w:rPr>
      </w:pPr>
    </w:p>
    <w:p w14:paraId="1CEA5A3B" w14:textId="77777777" w:rsidR="003268D8" w:rsidRPr="0021617C" w:rsidRDefault="003268D8" w:rsidP="00C24F93">
      <w:pPr>
        <w:autoSpaceDE w:val="0"/>
        <w:autoSpaceDN w:val="0"/>
        <w:adjustRightInd w:val="0"/>
        <w:spacing w:after="0" w:line="276" w:lineRule="auto"/>
        <w:ind w:left="426" w:firstLine="142"/>
        <w:jc w:val="both"/>
        <w:rPr>
          <w:rFonts w:ascii="Arial Narrow" w:eastAsia="Calibri" w:hAnsi="Arial Narrow" w:cs="Arial"/>
          <w:sz w:val="24"/>
          <w:szCs w:val="24"/>
        </w:rPr>
      </w:pPr>
      <w:r w:rsidRPr="0021617C">
        <w:rPr>
          <w:rFonts w:ascii="Arial Narrow" w:eastAsia="Calibri" w:hAnsi="Arial Narrow" w:cs="Arial"/>
          <w:sz w:val="24"/>
          <w:szCs w:val="24"/>
        </w:rPr>
        <w:t>Концентрацията в Общността е включена в ситуацията на:</w:t>
      </w:r>
    </w:p>
    <w:p w14:paraId="65944A8B" w14:textId="77777777" w:rsidR="003268D8" w:rsidRPr="0021617C" w:rsidRDefault="003268D8" w:rsidP="00C24F93">
      <w:pPr>
        <w:autoSpaceDE w:val="0"/>
        <w:autoSpaceDN w:val="0"/>
        <w:adjustRightInd w:val="0"/>
        <w:spacing w:after="0" w:line="276" w:lineRule="auto"/>
        <w:ind w:left="426" w:firstLine="142"/>
        <w:jc w:val="both"/>
        <w:rPr>
          <w:rFonts w:ascii="Arial Narrow" w:eastAsia="Calibri" w:hAnsi="Arial Narrow" w:cs="Arial"/>
          <w:sz w:val="24"/>
          <w:szCs w:val="24"/>
        </w:rPr>
      </w:pPr>
      <w:r w:rsidRPr="0021617C">
        <w:rPr>
          <w:rFonts w:ascii="Arial Narrow" w:eastAsia="Calibri" w:hAnsi="Arial Narrow" w:cs="Arial"/>
          <w:sz w:val="24"/>
          <w:szCs w:val="24"/>
        </w:rPr>
        <w:t>- сливания на две или повече по-рано независими предприятия или части от предприятия;</w:t>
      </w:r>
    </w:p>
    <w:p w14:paraId="04FCB0C8" w14:textId="77777777" w:rsidR="003268D8" w:rsidRPr="0021617C" w:rsidRDefault="003268D8" w:rsidP="00C24F93">
      <w:pPr>
        <w:autoSpaceDE w:val="0"/>
        <w:autoSpaceDN w:val="0"/>
        <w:adjustRightInd w:val="0"/>
        <w:spacing w:after="0" w:line="276" w:lineRule="auto"/>
        <w:ind w:left="426" w:firstLine="142"/>
        <w:jc w:val="both"/>
        <w:rPr>
          <w:rFonts w:ascii="Arial Narrow" w:eastAsia="Calibri" w:hAnsi="Arial Narrow" w:cs="Arial"/>
          <w:sz w:val="24"/>
          <w:szCs w:val="24"/>
        </w:rPr>
      </w:pPr>
      <w:r w:rsidRPr="0021617C">
        <w:rPr>
          <w:rFonts w:ascii="Arial Narrow" w:eastAsia="Calibri" w:hAnsi="Arial Narrow" w:cs="Arial"/>
          <w:sz w:val="24"/>
          <w:szCs w:val="24"/>
        </w:rPr>
        <w:t>- поглъщания от едно или повече лица, които вече контролират поне едно</w:t>
      </w:r>
    </w:p>
    <w:p w14:paraId="6D16ACEA" w14:textId="77777777" w:rsidR="003268D8" w:rsidRPr="0021617C" w:rsidRDefault="003268D8" w:rsidP="00C24F93">
      <w:pPr>
        <w:autoSpaceDE w:val="0"/>
        <w:autoSpaceDN w:val="0"/>
        <w:adjustRightInd w:val="0"/>
        <w:spacing w:after="0" w:line="276" w:lineRule="auto"/>
        <w:ind w:left="426" w:firstLine="142"/>
        <w:jc w:val="both"/>
        <w:rPr>
          <w:rFonts w:ascii="Arial Narrow" w:eastAsia="Calibri" w:hAnsi="Arial Narrow" w:cs="Arial"/>
          <w:sz w:val="24"/>
          <w:szCs w:val="24"/>
        </w:rPr>
      </w:pPr>
      <w:r w:rsidRPr="0021617C">
        <w:rPr>
          <w:rFonts w:ascii="Arial Narrow" w:eastAsia="Calibri" w:hAnsi="Arial Narrow" w:cs="Arial"/>
          <w:sz w:val="24"/>
          <w:szCs w:val="24"/>
        </w:rPr>
        <w:t>предприятие, било от едно или повече предприятия, пряко или косвено контролиращо всички или част от едно или повече други предприятия, независимо дали чрез покупка на ценни книжа или активи, било чрез договор или по някакъв друг начин;</w:t>
      </w:r>
    </w:p>
    <w:p w14:paraId="19F4790F" w14:textId="77777777" w:rsidR="003268D8" w:rsidRPr="0021617C" w:rsidRDefault="003268D8" w:rsidP="00C24F93">
      <w:pPr>
        <w:autoSpaceDE w:val="0"/>
        <w:autoSpaceDN w:val="0"/>
        <w:adjustRightInd w:val="0"/>
        <w:spacing w:after="0" w:line="276" w:lineRule="auto"/>
        <w:ind w:left="426" w:firstLine="142"/>
        <w:jc w:val="both"/>
        <w:rPr>
          <w:rFonts w:ascii="Arial Narrow" w:eastAsia="Calibri" w:hAnsi="Arial Narrow" w:cs="Arial"/>
          <w:sz w:val="24"/>
          <w:szCs w:val="24"/>
        </w:rPr>
      </w:pPr>
      <w:r w:rsidRPr="0021617C">
        <w:rPr>
          <w:rFonts w:ascii="Arial Narrow" w:eastAsia="Calibri" w:hAnsi="Arial Narrow" w:cs="Arial"/>
          <w:sz w:val="24"/>
          <w:szCs w:val="24"/>
        </w:rPr>
        <w:t>- създаване на съвместно предприятие, което да изпълнява трайно всички функции на независим икономически субект.</w:t>
      </w:r>
    </w:p>
    <w:p w14:paraId="52D4E53A" w14:textId="77777777" w:rsidR="003268D8" w:rsidRPr="0021617C" w:rsidRDefault="003268D8" w:rsidP="00C24F93">
      <w:pPr>
        <w:autoSpaceDE w:val="0"/>
        <w:autoSpaceDN w:val="0"/>
        <w:adjustRightInd w:val="0"/>
        <w:spacing w:after="0" w:line="276" w:lineRule="auto"/>
        <w:ind w:left="426" w:firstLine="142"/>
        <w:jc w:val="both"/>
        <w:rPr>
          <w:rFonts w:ascii="Arial Narrow" w:eastAsia="Calibri" w:hAnsi="Arial Narrow" w:cs="Arial"/>
          <w:sz w:val="24"/>
          <w:szCs w:val="24"/>
        </w:rPr>
      </w:pPr>
    </w:p>
    <w:p w14:paraId="4C6AC56D" w14:textId="77777777" w:rsidR="003268D8" w:rsidRPr="0021617C" w:rsidRDefault="003268D8" w:rsidP="00C24F93">
      <w:pPr>
        <w:autoSpaceDE w:val="0"/>
        <w:autoSpaceDN w:val="0"/>
        <w:adjustRightInd w:val="0"/>
        <w:spacing w:after="0" w:line="276" w:lineRule="auto"/>
        <w:ind w:left="426" w:firstLine="142"/>
        <w:jc w:val="both"/>
        <w:rPr>
          <w:rFonts w:ascii="Arial Narrow" w:eastAsia="Calibri" w:hAnsi="Arial Narrow" w:cs="Arial"/>
          <w:sz w:val="24"/>
          <w:szCs w:val="24"/>
        </w:rPr>
      </w:pPr>
      <w:r w:rsidRPr="0021617C">
        <w:rPr>
          <w:rFonts w:ascii="Arial Narrow" w:eastAsia="Calibri" w:hAnsi="Arial Narrow" w:cs="Arial"/>
          <w:sz w:val="24"/>
          <w:szCs w:val="24"/>
        </w:rPr>
        <w:t>Концентрацията е от общностен характер (член 1, параграф 2 от Регламент 139/2004), когато:</w:t>
      </w:r>
    </w:p>
    <w:p w14:paraId="3724BAE5" w14:textId="77777777" w:rsidR="003268D8" w:rsidRPr="0021617C" w:rsidRDefault="003268D8" w:rsidP="00C24F93">
      <w:pPr>
        <w:autoSpaceDE w:val="0"/>
        <w:autoSpaceDN w:val="0"/>
        <w:adjustRightInd w:val="0"/>
        <w:spacing w:after="0" w:line="276" w:lineRule="auto"/>
        <w:ind w:left="426" w:firstLine="142"/>
        <w:jc w:val="both"/>
        <w:rPr>
          <w:rFonts w:ascii="Arial Narrow" w:eastAsia="Calibri" w:hAnsi="Arial Narrow" w:cs="Arial"/>
          <w:sz w:val="24"/>
          <w:szCs w:val="24"/>
        </w:rPr>
      </w:pPr>
      <w:r w:rsidRPr="0021617C">
        <w:rPr>
          <w:rFonts w:ascii="Arial Narrow" w:eastAsia="Calibri" w:hAnsi="Arial Narrow" w:cs="Arial"/>
          <w:sz w:val="24"/>
          <w:szCs w:val="24"/>
        </w:rPr>
        <w:t>- общият оборот на всички участници възлиза на над 5 милиарда евро; и</w:t>
      </w:r>
    </w:p>
    <w:p w14:paraId="1722A3EF" w14:textId="77777777" w:rsidR="003268D8" w:rsidRPr="0021617C" w:rsidRDefault="003268D8" w:rsidP="00C24F93">
      <w:pPr>
        <w:autoSpaceDE w:val="0"/>
        <w:autoSpaceDN w:val="0"/>
        <w:adjustRightInd w:val="0"/>
        <w:spacing w:after="0" w:line="276" w:lineRule="auto"/>
        <w:ind w:left="426" w:firstLine="142"/>
        <w:jc w:val="both"/>
        <w:rPr>
          <w:rFonts w:ascii="Arial Narrow" w:eastAsia="Calibri" w:hAnsi="Arial Narrow" w:cs="Arial"/>
          <w:sz w:val="24"/>
          <w:szCs w:val="24"/>
        </w:rPr>
      </w:pPr>
      <w:r w:rsidRPr="0021617C">
        <w:rPr>
          <w:rFonts w:ascii="Arial Narrow" w:eastAsia="Calibri" w:hAnsi="Arial Narrow" w:cs="Arial"/>
          <w:sz w:val="24"/>
          <w:szCs w:val="24"/>
        </w:rPr>
        <w:t>- общият оборот на ЕС за всеки от поне двама участници е над 250 милиона евро.</w:t>
      </w:r>
    </w:p>
    <w:p w14:paraId="26F7B8E7" w14:textId="77777777" w:rsidR="003268D8" w:rsidRPr="0021617C" w:rsidRDefault="003268D8" w:rsidP="00C24F93">
      <w:pPr>
        <w:autoSpaceDE w:val="0"/>
        <w:autoSpaceDN w:val="0"/>
        <w:adjustRightInd w:val="0"/>
        <w:spacing w:after="0" w:line="276" w:lineRule="auto"/>
        <w:ind w:left="426" w:firstLine="142"/>
        <w:jc w:val="both"/>
        <w:rPr>
          <w:rFonts w:ascii="Arial Narrow" w:eastAsia="Calibri" w:hAnsi="Arial Narrow" w:cs="Arial"/>
          <w:sz w:val="24"/>
          <w:szCs w:val="24"/>
        </w:rPr>
      </w:pPr>
      <w:r w:rsidRPr="0021617C">
        <w:rPr>
          <w:rFonts w:ascii="Arial Narrow" w:eastAsia="Calibri" w:hAnsi="Arial Narrow" w:cs="Arial"/>
          <w:sz w:val="24"/>
          <w:szCs w:val="24"/>
        </w:rPr>
        <w:t>Изключване на ситуацията, при която всеки участник постига повече от две трети от общия си оборот в рамките на ЕС в една държава-членка (така нареченото две трети). В такава ситуация, въпреки постигането на горните прагове, няма измерение на Общността.</w:t>
      </w:r>
    </w:p>
    <w:p w14:paraId="087D4EC9" w14:textId="77777777" w:rsidR="003268D8" w:rsidRPr="0021617C" w:rsidRDefault="003268D8" w:rsidP="00C24F93">
      <w:pPr>
        <w:autoSpaceDE w:val="0"/>
        <w:autoSpaceDN w:val="0"/>
        <w:adjustRightInd w:val="0"/>
        <w:spacing w:after="0" w:line="276" w:lineRule="auto"/>
        <w:ind w:left="426" w:firstLine="142"/>
        <w:jc w:val="both"/>
        <w:rPr>
          <w:rFonts w:ascii="Arial Narrow" w:eastAsia="Calibri" w:hAnsi="Arial Narrow" w:cs="Arial"/>
          <w:sz w:val="24"/>
          <w:szCs w:val="24"/>
        </w:rPr>
      </w:pPr>
    </w:p>
    <w:p w14:paraId="4A4438D4" w14:textId="77777777" w:rsidR="003268D8" w:rsidRPr="0021617C" w:rsidRDefault="003268D8" w:rsidP="00C24F93">
      <w:pPr>
        <w:autoSpaceDE w:val="0"/>
        <w:autoSpaceDN w:val="0"/>
        <w:adjustRightInd w:val="0"/>
        <w:spacing w:after="0" w:line="276" w:lineRule="auto"/>
        <w:ind w:left="426" w:firstLine="142"/>
        <w:jc w:val="both"/>
        <w:rPr>
          <w:rFonts w:ascii="Arial Narrow" w:eastAsia="Calibri" w:hAnsi="Arial Narrow" w:cs="Arial"/>
          <w:sz w:val="24"/>
          <w:szCs w:val="24"/>
        </w:rPr>
      </w:pPr>
      <w:r w:rsidRPr="0021617C">
        <w:rPr>
          <w:rFonts w:ascii="Arial Narrow" w:eastAsia="Calibri" w:hAnsi="Arial Narrow" w:cs="Arial"/>
          <w:sz w:val="24"/>
          <w:szCs w:val="24"/>
        </w:rPr>
        <w:t>Концентрацията има и измерение на Общността, когато са изпълнени съвместно следните условия (член 1, параграф 3 от Регламент 139/2004):</w:t>
      </w:r>
    </w:p>
    <w:p w14:paraId="3645059E" w14:textId="77777777" w:rsidR="003268D8" w:rsidRPr="0021617C" w:rsidRDefault="003268D8" w:rsidP="00C24F93">
      <w:pPr>
        <w:autoSpaceDE w:val="0"/>
        <w:autoSpaceDN w:val="0"/>
        <w:adjustRightInd w:val="0"/>
        <w:spacing w:after="0" w:line="276" w:lineRule="auto"/>
        <w:ind w:left="426" w:firstLine="142"/>
        <w:jc w:val="both"/>
        <w:rPr>
          <w:rFonts w:ascii="Arial Narrow" w:eastAsia="Calibri" w:hAnsi="Arial Narrow" w:cs="Arial"/>
          <w:sz w:val="24"/>
          <w:szCs w:val="24"/>
        </w:rPr>
      </w:pPr>
      <w:r w:rsidRPr="0021617C">
        <w:rPr>
          <w:rFonts w:ascii="Arial Narrow" w:eastAsia="Calibri" w:hAnsi="Arial Narrow" w:cs="Arial"/>
          <w:sz w:val="24"/>
          <w:szCs w:val="24"/>
        </w:rPr>
        <w:t>- общият глобален оборот на всички участници е над 2,5 милиарда евро;</w:t>
      </w:r>
    </w:p>
    <w:p w14:paraId="10F547C2" w14:textId="77777777" w:rsidR="003268D8" w:rsidRPr="0021617C" w:rsidRDefault="003268D8" w:rsidP="00C24F93">
      <w:pPr>
        <w:autoSpaceDE w:val="0"/>
        <w:autoSpaceDN w:val="0"/>
        <w:adjustRightInd w:val="0"/>
        <w:spacing w:after="0" w:line="276" w:lineRule="auto"/>
        <w:ind w:left="426" w:firstLine="142"/>
        <w:jc w:val="both"/>
        <w:rPr>
          <w:rFonts w:ascii="Arial Narrow" w:eastAsia="Calibri" w:hAnsi="Arial Narrow" w:cs="Arial"/>
          <w:sz w:val="24"/>
          <w:szCs w:val="24"/>
        </w:rPr>
      </w:pPr>
      <w:r w:rsidRPr="0021617C">
        <w:rPr>
          <w:rFonts w:ascii="Arial Narrow" w:eastAsia="Calibri" w:hAnsi="Arial Narrow" w:cs="Arial"/>
          <w:sz w:val="24"/>
          <w:szCs w:val="24"/>
        </w:rPr>
        <w:t>- във всяка от поне три държави-членки общият оборот на всички участници е над 100 милиона евро;</w:t>
      </w:r>
    </w:p>
    <w:p w14:paraId="2CCE8A49" w14:textId="77777777" w:rsidR="003268D8" w:rsidRPr="0021617C" w:rsidRDefault="003268D8" w:rsidP="00C24F93">
      <w:pPr>
        <w:autoSpaceDE w:val="0"/>
        <w:autoSpaceDN w:val="0"/>
        <w:adjustRightInd w:val="0"/>
        <w:spacing w:after="0" w:line="276" w:lineRule="auto"/>
        <w:ind w:left="426" w:firstLine="142"/>
        <w:jc w:val="both"/>
        <w:rPr>
          <w:rFonts w:ascii="Arial Narrow" w:eastAsia="Calibri" w:hAnsi="Arial Narrow" w:cs="Arial"/>
          <w:sz w:val="24"/>
          <w:szCs w:val="24"/>
        </w:rPr>
      </w:pPr>
      <w:r w:rsidRPr="0021617C">
        <w:rPr>
          <w:rFonts w:ascii="Arial Narrow" w:eastAsia="Calibri" w:hAnsi="Arial Narrow" w:cs="Arial"/>
          <w:sz w:val="24"/>
          <w:szCs w:val="24"/>
        </w:rPr>
        <w:t>- във всяка от поне три държави-членки, включени за целите на горепосочените точка, общият оборот на всеки от поне двама участници е над 25 милиона евро; и</w:t>
      </w:r>
    </w:p>
    <w:p w14:paraId="0A9BDDD3" w14:textId="77777777" w:rsidR="003268D8" w:rsidRPr="0021617C" w:rsidRDefault="003268D8" w:rsidP="00C24F93">
      <w:pPr>
        <w:autoSpaceDE w:val="0"/>
        <w:autoSpaceDN w:val="0"/>
        <w:adjustRightInd w:val="0"/>
        <w:spacing w:after="0" w:line="276" w:lineRule="auto"/>
        <w:ind w:left="426" w:firstLine="142"/>
        <w:jc w:val="both"/>
        <w:rPr>
          <w:rFonts w:ascii="Arial Narrow" w:eastAsia="Calibri" w:hAnsi="Arial Narrow" w:cs="Arial"/>
          <w:sz w:val="24"/>
          <w:szCs w:val="24"/>
        </w:rPr>
      </w:pPr>
      <w:r w:rsidRPr="0021617C">
        <w:rPr>
          <w:rFonts w:ascii="Arial Narrow" w:eastAsia="Calibri" w:hAnsi="Arial Narrow" w:cs="Arial"/>
          <w:sz w:val="24"/>
          <w:szCs w:val="24"/>
        </w:rPr>
        <w:t>- общият оборот на ЕС за всеки от поне двама участници е над 100 милиона евро.</w:t>
      </w:r>
    </w:p>
    <w:p w14:paraId="1899B030" w14:textId="77777777" w:rsidR="003268D8" w:rsidRPr="0021617C" w:rsidRDefault="003268D8" w:rsidP="00C24F93">
      <w:pPr>
        <w:autoSpaceDE w:val="0"/>
        <w:autoSpaceDN w:val="0"/>
        <w:adjustRightInd w:val="0"/>
        <w:spacing w:after="0" w:line="276" w:lineRule="auto"/>
        <w:ind w:left="426" w:firstLine="142"/>
        <w:jc w:val="both"/>
        <w:rPr>
          <w:rFonts w:ascii="Arial Narrow" w:eastAsia="Calibri" w:hAnsi="Arial Narrow" w:cs="Arial"/>
          <w:sz w:val="24"/>
          <w:szCs w:val="24"/>
        </w:rPr>
      </w:pPr>
    </w:p>
    <w:p w14:paraId="5B08CE51" w14:textId="77777777" w:rsidR="003268D8" w:rsidRPr="0021617C" w:rsidRDefault="003268D8" w:rsidP="00C24F93">
      <w:pPr>
        <w:autoSpaceDE w:val="0"/>
        <w:autoSpaceDN w:val="0"/>
        <w:adjustRightInd w:val="0"/>
        <w:spacing w:after="0" w:line="276" w:lineRule="auto"/>
        <w:ind w:left="426" w:firstLine="142"/>
        <w:jc w:val="both"/>
        <w:rPr>
          <w:rFonts w:ascii="Arial Narrow" w:eastAsia="Calibri" w:hAnsi="Arial Narrow" w:cs="Arial"/>
          <w:sz w:val="24"/>
          <w:szCs w:val="24"/>
        </w:rPr>
      </w:pPr>
      <w:r w:rsidRPr="0021617C">
        <w:rPr>
          <w:rFonts w:ascii="Arial Narrow" w:eastAsia="Calibri" w:hAnsi="Arial Narrow" w:cs="Arial"/>
          <w:sz w:val="24"/>
          <w:szCs w:val="24"/>
        </w:rPr>
        <w:t>Изключение е, когато всеки участник постигне повече от две трети от общия си оборот в ЕС в една държава-членка (правило за две трети). В такава ситуация, въпреки постигането на горните прагове, концентрацията също няма измерение на Общността.</w:t>
      </w:r>
    </w:p>
    <w:p w14:paraId="7BDFF20F" w14:textId="77777777" w:rsidR="003268D8" w:rsidRPr="0021617C" w:rsidRDefault="003268D8" w:rsidP="00C24F93">
      <w:pPr>
        <w:autoSpaceDE w:val="0"/>
        <w:autoSpaceDN w:val="0"/>
        <w:adjustRightInd w:val="0"/>
        <w:spacing w:after="0" w:line="276" w:lineRule="auto"/>
        <w:ind w:left="426" w:firstLine="142"/>
        <w:jc w:val="both"/>
        <w:rPr>
          <w:rFonts w:ascii="Arial Narrow" w:eastAsia="Calibri" w:hAnsi="Arial Narrow" w:cs="Arial"/>
          <w:sz w:val="24"/>
          <w:szCs w:val="24"/>
        </w:rPr>
      </w:pPr>
    </w:p>
    <w:p w14:paraId="59561439" w14:textId="77777777" w:rsidR="003268D8" w:rsidRPr="0021617C" w:rsidRDefault="003268D8" w:rsidP="009620CB">
      <w:pPr>
        <w:spacing w:after="0"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Сделките, които не попадат в този обхват, не подлежат на уведомяване на Европейската комисия. При липса на задължение за нотифициране на намерението за концентрация по принцип възниква задължение за уведомяване за намерението за концентрация на председателя на съответната национална служба. Това представлява прилагането на принципа на "единната институция", установен в Регламент 139/2004, регулиращ контрола върху концентрациите на предприемачите от Европейската комисия.</w:t>
      </w:r>
    </w:p>
    <w:p w14:paraId="3B2D1F23" w14:textId="71F9C9D5" w:rsidR="003268D8" w:rsidRPr="0021617C" w:rsidRDefault="003268D8" w:rsidP="009620CB">
      <w:pPr>
        <w:spacing w:after="0" w:line="276" w:lineRule="auto"/>
        <w:ind w:left="426"/>
        <w:jc w:val="both"/>
        <w:rPr>
          <w:rFonts w:ascii="Arial Narrow" w:eastAsia="Times New Roman" w:hAnsi="Arial Narrow" w:cs="Arial"/>
          <w:sz w:val="24"/>
          <w:szCs w:val="24"/>
          <w:lang w:eastAsia="pl-PL"/>
        </w:rPr>
      </w:pPr>
      <w:r w:rsidRPr="0021617C">
        <w:rPr>
          <w:rFonts w:ascii="Arial Narrow" w:eastAsia="Times New Roman" w:hAnsi="Arial Narrow" w:cs="Arial"/>
          <w:sz w:val="24"/>
          <w:szCs w:val="24"/>
          <w:lang w:eastAsia="pl-PL"/>
        </w:rPr>
        <w:t>Следващата страница съдържа всички открити производства, проведени от Европейската комисия:</w:t>
      </w:r>
    </w:p>
    <w:p w14:paraId="4D1053C3" w14:textId="77777777" w:rsidR="003268D8" w:rsidRPr="0021617C" w:rsidRDefault="005C6E65" w:rsidP="00C24F93">
      <w:pPr>
        <w:spacing w:after="0" w:line="276" w:lineRule="auto"/>
        <w:ind w:left="426" w:firstLine="142"/>
        <w:jc w:val="both"/>
        <w:rPr>
          <w:rFonts w:ascii="Arial Narrow" w:eastAsia="Times New Roman" w:hAnsi="Arial Narrow" w:cs="Arial"/>
          <w:sz w:val="24"/>
          <w:szCs w:val="24"/>
          <w:lang w:eastAsia="pl-PL"/>
        </w:rPr>
      </w:pPr>
      <w:hyperlink r:id="rId7" w:history="1">
        <w:r w:rsidR="003268D8" w:rsidRPr="0021617C">
          <w:rPr>
            <w:rFonts w:ascii="Arial Narrow" w:eastAsia="Calibri" w:hAnsi="Arial Narrow" w:cs="Arial"/>
            <w:sz w:val="24"/>
            <w:szCs w:val="24"/>
            <w:u w:val="single"/>
          </w:rPr>
          <w:t>http://ec.europa.eu/competition/elojade/isef/index.cfm?fuseaction=dsp_merger_ongoing</w:t>
        </w:r>
      </w:hyperlink>
    </w:p>
    <w:p w14:paraId="066A35B6" w14:textId="77777777" w:rsidR="003268D8" w:rsidRPr="0021617C" w:rsidRDefault="003268D8" w:rsidP="00C24F93">
      <w:pPr>
        <w:spacing w:after="0" w:line="276" w:lineRule="auto"/>
        <w:ind w:left="426" w:firstLine="142"/>
        <w:jc w:val="both"/>
        <w:rPr>
          <w:rFonts w:ascii="Arial Narrow" w:eastAsia="Calibri" w:hAnsi="Arial Narrow" w:cs="Arial"/>
          <w:sz w:val="24"/>
          <w:szCs w:val="24"/>
        </w:rPr>
      </w:pPr>
    </w:p>
    <w:p w14:paraId="339B40BD" w14:textId="77777777" w:rsidR="003268D8" w:rsidRPr="0021617C" w:rsidRDefault="003268D8" w:rsidP="00C24F93">
      <w:pPr>
        <w:spacing w:after="0" w:line="276" w:lineRule="auto"/>
        <w:ind w:left="426" w:firstLine="142"/>
        <w:jc w:val="both"/>
        <w:rPr>
          <w:rFonts w:ascii="Arial Narrow" w:eastAsia="Calibri" w:hAnsi="Arial Narrow" w:cs="Arial"/>
          <w:sz w:val="24"/>
          <w:szCs w:val="24"/>
        </w:rPr>
      </w:pPr>
    </w:p>
    <w:p w14:paraId="660F6049" w14:textId="77777777" w:rsidR="003268D8" w:rsidRPr="0021617C" w:rsidRDefault="003268D8" w:rsidP="009620CB">
      <w:pPr>
        <w:shd w:val="clear" w:color="auto" w:fill="FFFFFF"/>
        <w:spacing w:after="0" w:line="276" w:lineRule="auto"/>
        <w:ind w:left="426"/>
        <w:jc w:val="both"/>
        <w:rPr>
          <w:rFonts w:ascii="Arial Narrow" w:eastAsia="Calibri" w:hAnsi="Arial Narrow" w:cs="Arial"/>
          <w:sz w:val="24"/>
          <w:szCs w:val="24"/>
          <w:shd w:val="clear" w:color="auto" w:fill="FFFFFF"/>
          <w:lang w:val="bg-BG"/>
        </w:rPr>
      </w:pPr>
      <w:r w:rsidRPr="0021617C">
        <w:rPr>
          <w:rFonts w:ascii="Arial Narrow" w:eastAsia="Calibri" w:hAnsi="Arial Narrow" w:cs="Arial"/>
          <w:sz w:val="24"/>
          <w:szCs w:val="24"/>
          <w:shd w:val="clear" w:color="auto" w:fill="FFFFFF"/>
        </w:rPr>
        <w:t>Информацията относно антитръстовите производства по отношение на концентрацията понастоящем е публикувана на уебсайта на Службата за конкуренция и защита на потребителите</w:t>
      </w:r>
      <w:r w:rsidRPr="0021617C">
        <w:rPr>
          <w:rFonts w:ascii="Arial Narrow" w:eastAsia="Calibri" w:hAnsi="Arial Narrow" w:cs="Arial"/>
          <w:sz w:val="24"/>
          <w:szCs w:val="24"/>
          <w:shd w:val="clear" w:color="auto" w:fill="FFFFFF"/>
          <w:lang w:val="bg-BG"/>
        </w:rPr>
        <w:t xml:space="preserve"> </w:t>
      </w:r>
      <w:r w:rsidRPr="0021617C">
        <w:rPr>
          <w:rFonts w:ascii="Arial Narrow" w:eastAsia="Calibri" w:hAnsi="Arial Narrow" w:cs="Arial"/>
          <w:sz w:val="24"/>
          <w:szCs w:val="24"/>
          <w:shd w:val="clear" w:color="auto" w:fill="FFFFFF"/>
        </w:rPr>
        <w:t>(</w:t>
      </w:r>
      <w:hyperlink r:id="rId8" w:history="1">
        <w:r w:rsidRPr="0021617C">
          <w:rPr>
            <w:rFonts w:ascii="Arial Narrow" w:eastAsia="Calibri" w:hAnsi="Arial Narrow" w:cs="Arial"/>
            <w:sz w:val="24"/>
            <w:szCs w:val="24"/>
            <w:u w:val="single"/>
            <w:shd w:val="clear" w:color="auto" w:fill="FFFFFF"/>
          </w:rPr>
          <w:t>http://www.uokik.gov.pl/koncentracje.php</w:t>
        </w:r>
      </w:hyperlink>
      <w:r w:rsidRPr="0021617C">
        <w:rPr>
          <w:rFonts w:ascii="Arial Narrow" w:eastAsia="Calibri" w:hAnsi="Arial Narrow" w:cs="Arial"/>
          <w:sz w:val="24"/>
          <w:szCs w:val="24"/>
          <w:shd w:val="clear" w:color="auto" w:fill="FFFFFF"/>
        </w:rPr>
        <w:t>).</w:t>
      </w:r>
      <w:r w:rsidRPr="0021617C">
        <w:rPr>
          <w:rFonts w:ascii="Arial Narrow" w:eastAsia="Calibri" w:hAnsi="Arial Narrow" w:cs="Arial"/>
          <w:sz w:val="24"/>
          <w:szCs w:val="24"/>
          <w:shd w:val="clear" w:color="auto" w:fill="FFFFFF"/>
          <w:lang w:val="bg-BG"/>
        </w:rPr>
        <w:t xml:space="preserve"> </w:t>
      </w:r>
    </w:p>
    <w:p w14:paraId="76EDB140" w14:textId="52D18A6A" w:rsidR="003268D8" w:rsidRPr="0021617C" w:rsidRDefault="009620CB" w:rsidP="009620CB">
      <w:pPr>
        <w:shd w:val="clear" w:color="auto" w:fill="FFFFFF"/>
        <w:spacing w:after="0" w:line="276" w:lineRule="auto"/>
        <w:jc w:val="both"/>
        <w:rPr>
          <w:rFonts w:ascii="Arial Narrow" w:eastAsia="Calibri" w:hAnsi="Arial Narrow" w:cs="Arial"/>
          <w:sz w:val="24"/>
          <w:szCs w:val="24"/>
          <w:shd w:val="clear" w:color="auto" w:fill="FFFFFF"/>
        </w:rPr>
      </w:pPr>
      <w:r>
        <w:rPr>
          <w:rFonts w:ascii="Arial Narrow" w:eastAsia="Calibri" w:hAnsi="Arial Narrow" w:cs="Arial"/>
          <w:sz w:val="24"/>
          <w:szCs w:val="24"/>
          <w:shd w:val="clear" w:color="auto" w:fill="FFFFFF"/>
          <w:lang w:val="bg-BG"/>
        </w:rPr>
        <w:t xml:space="preserve">       </w:t>
      </w:r>
      <w:r w:rsidR="003268D8" w:rsidRPr="0021617C">
        <w:rPr>
          <w:rFonts w:ascii="Arial Narrow" w:eastAsia="Calibri" w:hAnsi="Arial Narrow" w:cs="Arial"/>
          <w:sz w:val="24"/>
          <w:szCs w:val="24"/>
          <w:shd w:val="clear" w:color="auto" w:fill="FFFFFF"/>
        </w:rPr>
        <w:t>Решенията по делата се публикуват на следните уебсайтове:</w:t>
      </w:r>
    </w:p>
    <w:p w14:paraId="17B5D133" w14:textId="77777777" w:rsidR="003268D8" w:rsidRPr="0021617C" w:rsidRDefault="005C6E65" w:rsidP="00C24F93">
      <w:pPr>
        <w:shd w:val="clear" w:color="auto" w:fill="FFFFFF"/>
        <w:spacing w:after="0" w:line="276" w:lineRule="auto"/>
        <w:ind w:left="426" w:firstLine="142"/>
        <w:jc w:val="both"/>
        <w:rPr>
          <w:rFonts w:ascii="Arial Narrow" w:eastAsia="Calibri" w:hAnsi="Arial Narrow" w:cs="Arial"/>
          <w:sz w:val="24"/>
          <w:szCs w:val="24"/>
          <w:shd w:val="clear" w:color="auto" w:fill="FFFFFF"/>
          <w:lang w:val="bg-BG"/>
        </w:rPr>
      </w:pPr>
      <w:hyperlink r:id="rId9" w:history="1">
        <w:r w:rsidR="003268D8" w:rsidRPr="0021617C">
          <w:rPr>
            <w:rFonts w:ascii="Arial Narrow" w:eastAsia="Calibri" w:hAnsi="Arial Narrow" w:cs="Arial"/>
            <w:sz w:val="24"/>
            <w:szCs w:val="24"/>
            <w:u w:val="single"/>
            <w:shd w:val="clear" w:color="auto" w:fill="FFFFFF"/>
          </w:rPr>
          <w:t>http://www.uokik.gov.pl/decyzje_prezesa_uokik2.php</w:t>
        </w:r>
      </w:hyperlink>
      <w:r w:rsidR="003268D8" w:rsidRPr="0021617C">
        <w:rPr>
          <w:rFonts w:ascii="Arial Narrow" w:eastAsia="Calibri" w:hAnsi="Arial Narrow" w:cs="Arial"/>
          <w:sz w:val="24"/>
          <w:szCs w:val="24"/>
          <w:shd w:val="clear" w:color="auto" w:fill="FFFFFF"/>
        </w:rPr>
        <w:t>).</w:t>
      </w:r>
      <w:r w:rsidR="003268D8" w:rsidRPr="0021617C">
        <w:rPr>
          <w:rFonts w:ascii="Arial Narrow" w:eastAsia="Calibri" w:hAnsi="Arial Narrow" w:cs="Arial"/>
          <w:sz w:val="24"/>
          <w:szCs w:val="24"/>
          <w:shd w:val="clear" w:color="auto" w:fill="FFFFFF"/>
          <w:lang w:val="bg-BG"/>
        </w:rPr>
        <w:t xml:space="preserve">  </w:t>
      </w:r>
    </w:p>
    <w:p w14:paraId="35274933" w14:textId="77777777" w:rsidR="003268D8" w:rsidRPr="0021617C" w:rsidRDefault="003268D8" w:rsidP="00C24F93">
      <w:pPr>
        <w:shd w:val="clear" w:color="auto" w:fill="FFFFFF"/>
        <w:spacing w:after="0" w:line="276" w:lineRule="auto"/>
        <w:ind w:left="426" w:firstLine="142"/>
        <w:jc w:val="both"/>
        <w:rPr>
          <w:rFonts w:ascii="Arial Narrow" w:eastAsia="Calibri" w:hAnsi="Arial Narrow" w:cs="Arial"/>
          <w:sz w:val="24"/>
          <w:szCs w:val="24"/>
          <w:shd w:val="clear" w:color="auto" w:fill="FFFFFF"/>
        </w:rPr>
      </w:pPr>
      <w:r w:rsidRPr="0021617C">
        <w:rPr>
          <w:rFonts w:ascii="Arial Narrow" w:eastAsia="Calibri" w:hAnsi="Arial Narrow" w:cs="Arial"/>
          <w:sz w:val="24"/>
          <w:szCs w:val="24"/>
          <w:shd w:val="clear" w:color="auto" w:fill="FFFFFF"/>
        </w:rPr>
        <w:t>Следователно субектите, които се интересуват от информация за провежданите понастоящем процедури за концентрация, както и решения, издадени в тези случаи, могат да ги следват на посочените по-горе уебсайтове.</w:t>
      </w:r>
    </w:p>
    <w:p w14:paraId="3F3001CB" w14:textId="77777777" w:rsidR="003268D8" w:rsidRPr="0021617C" w:rsidRDefault="003268D8" w:rsidP="00C24F93">
      <w:pPr>
        <w:shd w:val="clear" w:color="auto" w:fill="FFFFFF"/>
        <w:spacing w:after="0" w:line="276" w:lineRule="auto"/>
        <w:ind w:left="426" w:firstLine="142"/>
        <w:jc w:val="both"/>
        <w:rPr>
          <w:rFonts w:ascii="Arial Narrow" w:eastAsia="Calibri" w:hAnsi="Arial Narrow" w:cs="Arial"/>
          <w:sz w:val="24"/>
          <w:szCs w:val="24"/>
          <w:shd w:val="clear" w:color="auto" w:fill="FFFFFF"/>
        </w:rPr>
      </w:pPr>
    </w:p>
    <w:p w14:paraId="2FC1A18A" w14:textId="15980216" w:rsidR="003268D8" w:rsidRPr="0021617C" w:rsidRDefault="003268D8" w:rsidP="00C24F93">
      <w:pPr>
        <w:shd w:val="clear" w:color="auto" w:fill="FFFFFF"/>
        <w:spacing w:after="0" w:line="276" w:lineRule="auto"/>
        <w:ind w:left="426" w:firstLine="142"/>
        <w:jc w:val="both"/>
        <w:rPr>
          <w:rFonts w:ascii="Arial Narrow" w:eastAsia="Calibri" w:hAnsi="Arial Narrow" w:cs="Arial"/>
          <w:sz w:val="24"/>
          <w:szCs w:val="24"/>
          <w:shd w:val="clear" w:color="auto" w:fill="FFFFFF"/>
        </w:rPr>
      </w:pPr>
      <w:r w:rsidRPr="0021617C">
        <w:rPr>
          <w:rFonts w:ascii="Arial Narrow" w:eastAsia="Calibri" w:hAnsi="Arial Narrow" w:cs="Arial"/>
          <w:sz w:val="24"/>
          <w:szCs w:val="24"/>
          <w:shd w:val="clear" w:color="auto" w:fill="FFFFFF"/>
        </w:rPr>
        <w:t xml:space="preserve">Достъп до информация </w:t>
      </w:r>
      <w:r w:rsidR="002224C9">
        <w:rPr>
          <w:rFonts w:ascii="Arial Narrow" w:eastAsia="Calibri" w:hAnsi="Arial Narrow" w:cs="Arial"/>
          <w:sz w:val="24"/>
          <w:szCs w:val="24"/>
          <w:shd w:val="clear" w:color="auto" w:fill="FFFFFF"/>
          <w:lang w:val="bg-BG"/>
        </w:rPr>
        <w:t>съгласно</w:t>
      </w:r>
      <w:r w:rsidRPr="0021617C">
        <w:rPr>
          <w:rFonts w:ascii="Arial Narrow" w:eastAsia="Calibri" w:hAnsi="Arial Narrow" w:cs="Arial"/>
          <w:sz w:val="24"/>
          <w:szCs w:val="24"/>
          <w:shd w:val="clear" w:color="auto" w:fill="FFFFFF"/>
        </w:rPr>
        <w:t xml:space="preserve"> </w:t>
      </w:r>
      <w:r w:rsidR="002224C9" w:rsidRPr="0021617C">
        <w:rPr>
          <w:rFonts w:ascii="Arial Narrow" w:eastAsia="Calibri" w:hAnsi="Arial Narrow" w:cs="Arial"/>
          <w:sz w:val="24"/>
          <w:szCs w:val="24"/>
        </w:rPr>
        <w:t>GDPR,</w:t>
      </w:r>
      <w:r w:rsidR="002224C9">
        <w:rPr>
          <w:rFonts w:ascii="Arial Narrow" w:eastAsia="Calibri" w:hAnsi="Arial Narrow" w:cs="Arial"/>
          <w:sz w:val="24"/>
          <w:szCs w:val="24"/>
          <w:lang w:val="bg-BG"/>
        </w:rPr>
        <w:t>/</w:t>
      </w:r>
      <w:r w:rsidR="002224C9" w:rsidRPr="0021617C">
        <w:rPr>
          <w:rFonts w:ascii="Arial Narrow" w:eastAsia="Calibri" w:hAnsi="Arial Narrow" w:cs="Arial"/>
          <w:sz w:val="24"/>
          <w:szCs w:val="24"/>
        </w:rPr>
        <w:t xml:space="preserve">Общ регламент за защита на </w:t>
      </w:r>
      <w:r w:rsidR="002224C9">
        <w:rPr>
          <w:rFonts w:ascii="Arial Narrow" w:eastAsia="Calibri" w:hAnsi="Arial Narrow" w:cs="Arial"/>
          <w:sz w:val="24"/>
          <w:szCs w:val="24"/>
          <w:lang w:val="bg-BG"/>
        </w:rPr>
        <w:t xml:space="preserve">личните </w:t>
      </w:r>
      <w:r w:rsidR="002224C9" w:rsidRPr="0021617C">
        <w:rPr>
          <w:rFonts w:ascii="Arial Narrow" w:eastAsia="Calibri" w:hAnsi="Arial Narrow" w:cs="Arial"/>
          <w:sz w:val="24"/>
          <w:szCs w:val="24"/>
        </w:rPr>
        <w:t>данните</w:t>
      </w:r>
      <w:r w:rsidR="002224C9">
        <w:rPr>
          <w:rFonts w:ascii="Arial Narrow" w:eastAsia="Calibri" w:hAnsi="Arial Narrow" w:cs="Arial"/>
          <w:sz w:val="24"/>
          <w:szCs w:val="24"/>
          <w:lang w:val="bg-BG"/>
        </w:rPr>
        <w:t>/</w:t>
      </w:r>
      <w:r w:rsidR="002224C9" w:rsidRPr="0021617C">
        <w:rPr>
          <w:rFonts w:ascii="Arial Narrow" w:eastAsia="Calibri" w:hAnsi="Arial Narrow" w:cs="Arial"/>
          <w:sz w:val="24"/>
          <w:szCs w:val="24"/>
          <w:shd w:val="clear" w:color="auto" w:fill="FFFFFF"/>
        </w:rPr>
        <w:t xml:space="preserve"> </w:t>
      </w:r>
      <w:r w:rsidRPr="0021617C">
        <w:rPr>
          <w:rFonts w:ascii="Arial Narrow" w:eastAsia="Calibri" w:hAnsi="Arial Narrow" w:cs="Arial"/>
          <w:sz w:val="24"/>
          <w:szCs w:val="24"/>
          <w:shd w:val="clear" w:color="auto" w:fill="FFFFFF"/>
        </w:rPr>
        <w:t xml:space="preserve">и </w:t>
      </w:r>
      <w:r w:rsidR="002224C9">
        <w:rPr>
          <w:rFonts w:ascii="Arial Narrow" w:eastAsia="Calibri" w:hAnsi="Arial Narrow" w:cs="Arial"/>
          <w:sz w:val="24"/>
          <w:szCs w:val="24"/>
          <w:shd w:val="clear" w:color="auto" w:fill="FFFFFF"/>
          <w:lang w:val="bg-BG"/>
        </w:rPr>
        <w:t>ЕРС</w:t>
      </w:r>
    </w:p>
    <w:p w14:paraId="325EE7FA" w14:textId="77777777" w:rsidR="003268D8" w:rsidRPr="0021617C" w:rsidRDefault="003268D8" w:rsidP="00C24F93">
      <w:pPr>
        <w:autoSpaceDE w:val="0"/>
        <w:autoSpaceDN w:val="0"/>
        <w:adjustRightInd w:val="0"/>
        <w:spacing w:after="0" w:line="276" w:lineRule="auto"/>
        <w:ind w:left="426" w:firstLine="142"/>
        <w:jc w:val="both"/>
        <w:rPr>
          <w:rFonts w:ascii="Arial Narrow" w:eastAsia="Calibri" w:hAnsi="Arial Narrow" w:cs="Arial"/>
          <w:sz w:val="24"/>
          <w:szCs w:val="24"/>
        </w:rPr>
      </w:pPr>
    </w:p>
    <w:p w14:paraId="7DF6282D" w14:textId="5D56F4A1" w:rsidR="003268D8" w:rsidRPr="0021617C" w:rsidRDefault="003268D8" w:rsidP="00C24F93">
      <w:pPr>
        <w:shd w:val="clear" w:color="auto" w:fill="FFFFFF"/>
        <w:spacing w:after="0" w:line="276" w:lineRule="auto"/>
        <w:ind w:left="426" w:firstLine="142"/>
        <w:jc w:val="both"/>
        <w:rPr>
          <w:rFonts w:ascii="Arial Narrow" w:eastAsia="Calibri" w:hAnsi="Arial Narrow" w:cs="Arial"/>
          <w:sz w:val="24"/>
          <w:szCs w:val="24"/>
        </w:rPr>
      </w:pPr>
      <w:r w:rsidRPr="0021617C">
        <w:rPr>
          <w:rFonts w:ascii="Arial Narrow" w:eastAsia="Calibri" w:hAnsi="Arial Narrow" w:cs="Arial"/>
          <w:sz w:val="24"/>
          <w:szCs w:val="24"/>
        </w:rPr>
        <w:t xml:space="preserve">РЕГЛАМЕНТ (ЕС) 2016/679 НА ЕВРОПЕЙСКИЯ ПАРЛАМЕНТ И НА СЪВЕТА от 27 април 2016 г. относно защитата на физическите лица по отношение на обработката на лични данни и относно свободното движение на такива данни и за отмяна на Директива 95/46 / ЕО (Общ регламент за защита на </w:t>
      </w:r>
      <w:r w:rsidR="002224C9">
        <w:rPr>
          <w:rFonts w:ascii="Arial Narrow" w:eastAsia="Calibri" w:hAnsi="Arial Narrow" w:cs="Arial"/>
          <w:sz w:val="24"/>
          <w:szCs w:val="24"/>
          <w:lang w:val="bg-BG"/>
        </w:rPr>
        <w:t xml:space="preserve">личните </w:t>
      </w:r>
      <w:r w:rsidRPr="0021617C">
        <w:rPr>
          <w:rFonts w:ascii="Arial Narrow" w:eastAsia="Calibri" w:hAnsi="Arial Narrow" w:cs="Arial"/>
          <w:sz w:val="24"/>
          <w:szCs w:val="24"/>
        </w:rPr>
        <w:t>данни),</w:t>
      </w:r>
      <w:r w:rsidR="002224C9">
        <w:rPr>
          <w:rFonts w:ascii="Arial Narrow" w:eastAsia="Calibri" w:hAnsi="Arial Narrow" w:cs="Arial"/>
          <w:sz w:val="24"/>
          <w:szCs w:val="24"/>
          <w:lang w:val="bg-BG"/>
        </w:rPr>
        <w:t>наричан</w:t>
      </w:r>
      <w:r w:rsidRPr="0021617C">
        <w:rPr>
          <w:rFonts w:ascii="Arial Narrow" w:eastAsia="Calibri" w:hAnsi="Arial Narrow" w:cs="Arial"/>
          <w:sz w:val="24"/>
          <w:szCs w:val="24"/>
        </w:rPr>
        <w:t xml:space="preserve"> по-долу: GDPR, съдържа разпоредби, регулиращи защитата на лицата по отношение на обработването на лични данни, и разпоредби за свободния поток на лични данни. Прилагането на GDPR се осигурява от националното законодателство. GDPR е в сила от 25 май 2018 г., като по този начин налага специални задължения на компаниите и институциите в областта на защитата на личните данни на своите клиенти, изпълнители или служители.</w:t>
      </w:r>
    </w:p>
    <w:p w14:paraId="677035B0" w14:textId="59390951" w:rsidR="003268D8" w:rsidRPr="0021617C" w:rsidRDefault="003268D8" w:rsidP="00C24F93">
      <w:pPr>
        <w:shd w:val="clear" w:color="auto" w:fill="FFFFFF"/>
        <w:spacing w:after="0" w:line="276" w:lineRule="auto"/>
        <w:ind w:left="426" w:firstLine="142"/>
        <w:jc w:val="both"/>
        <w:rPr>
          <w:rFonts w:ascii="Arial Narrow" w:eastAsia="Calibri" w:hAnsi="Arial Narrow" w:cs="Arial"/>
          <w:sz w:val="24"/>
          <w:szCs w:val="24"/>
        </w:rPr>
      </w:pPr>
      <w:r w:rsidRPr="0021617C">
        <w:rPr>
          <w:rFonts w:ascii="Arial Narrow" w:eastAsia="Calibri" w:hAnsi="Arial Narrow" w:cs="Arial"/>
          <w:sz w:val="24"/>
          <w:szCs w:val="24"/>
        </w:rPr>
        <w:t xml:space="preserve">GDPR определя правила за обработка на лични данни и в </w:t>
      </w:r>
      <w:r w:rsidR="002224C9">
        <w:rPr>
          <w:rFonts w:ascii="Arial Narrow" w:eastAsia="Calibri" w:hAnsi="Arial Narrow" w:cs="Arial"/>
          <w:sz w:val="24"/>
          <w:szCs w:val="24"/>
          <w:lang w:val="bg-BG"/>
        </w:rPr>
        <w:t>своя член</w:t>
      </w:r>
      <w:r w:rsidRPr="0021617C">
        <w:rPr>
          <w:rFonts w:ascii="Arial Narrow" w:eastAsia="Calibri" w:hAnsi="Arial Narrow" w:cs="Arial"/>
          <w:sz w:val="24"/>
          <w:szCs w:val="24"/>
        </w:rPr>
        <w:t>. 83 въвежда високи санкции за нарушаване на тези принципи. Поради тази причина, от датата на влизане в сила на GDPR, компаниите често отказват да предоставят данни за служителите, позовавайки се на GDPR. Горният анализ има за цел да отговори на въпроса, когато отказът да се предоставят данни от централното ръководство ще бъде обоснован и кога разчитането на GDPR ще бъде само извинение да откажете предоставянето на данни.</w:t>
      </w:r>
    </w:p>
    <w:p w14:paraId="56C89E24" w14:textId="77777777" w:rsidR="003268D8" w:rsidRPr="0021617C" w:rsidRDefault="003268D8" w:rsidP="00C24F93">
      <w:pPr>
        <w:shd w:val="clear" w:color="auto" w:fill="FFFFFF"/>
        <w:spacing w:after="0" w:line="276" w:lineRule="auto"/>
        <w:ind w:left="426" w:firstLine="142"/>
        <w:jc w:val="both"/>
        <w:rPr>
          <w:rFonts w:ascii="Arial Narrow" w:eastAsia="Calibri" w:hAnsi="Arial Narrow" w:cs="Arial"/>
          <w:sz w:val="24"/>
          <w:szCs w:val="24"/>
        </w:rPr>
      </w:pPr>
    </w:p>
    <w:p w14:paraId="6967B8EC" w14:textId="77777777" w:rsidR="003268D8" w:rsidRPr="0021617C" w:rsidRDefault="003268D8" w:rsidP="00C24F93">
      <w:pPr>
        <w:shd w:val="clear" w:color="auto" w:fill="FFFFFF"/>
        <w:spacing w:after="0" w:line="276" w:lineRule="auto"/>
        <w:ind w:left="426" w:firstLine="142"/>
        <w:jc w:val="both"/>
        <w:rPr>
          <w:rFonts w:ascii="Arial Narrow" w:eastAsia="Calibri" w:hAnsi="Arial Narrow" w:cs="Arial"/>
          <w:sz w:val="24"/>
          <w:szCs w:val="24"/>
        </w:rPr>
      </w:pPr>
      <w:r w:rsidRPr="0021617C">
        <w:rPr>
          <w:rFonts w:ascii="Arial Narrow" w:eastAsia="Calibri" w:hAnsi="Arial Narrow" w:cs="Arial"/>
          <w:sz w:val="24"/>
          <w:szCs w:val="24"/>
        </w:rPr>
        <w:t>И така, какви са личните данни, обхванати от обхвата на GDPR?</w:t>
      </w:r>
    </w:p>
    <w:p w14:paraId="4B2E1A83" w14:textId="615B1C0A" w:rsidR="003268D8" w:rsidRPr="0021617C" w:rsidRDefault="003268D8" w:rsidP="009620CB">
      <w:pPr>
        <w:shd w:val="clear" w:color="auto" w:fill="FFFFFF"/>
        <w:spacing w:after="0" w:line="276" w:lineRule="auto"/>
        <w:ind w:left="426"/>
        <w:jc w:val="both"/>
        <w:rPr>
          <w:rFonts w:ascii="Arial Narrow" w:eastAsia="Calibri" w:hAnsi="Arial Narrow" w:cs="Arial"/>
          <w:sz w:val="24"/>
          <w:szCs w:val="24"/>
        </w:rPr>
      </w:pPr>
      <w:r w:rsidRPr="0021617C">
        <w:rPr>
          <w:rFonts w:ascii="Arial Narrow" w:eastAsia="Calibri" w:hAnsi="Arial Narrow" w:cs="Arial"/>
          <w:sz w:val="24"/>
          <w:szCs w:val="24"/>
        </w:rPr>
        <w:t> В съответствие с</w:t>
      </w:r>
      <w:r w:rsidR="002224C9">
        <w:rPr>
          <w:rFonts w:ascii="Arial Narrow" w:eastAsia="Calibri" w:hAnsi="Arial Narrow" w:cs="Arial"/>
          <w:sz w:val="24"/>
          <w:szCs w:val="24"/>
          <w:lang w:val="bg-BG"/>
        </w:rPr>
        <w:t xml:space="preserve"> член</w:t>
      </w:r>
      <w:r w:rsidRPr="0021617C">
        <w:rPr>
          <w:rFonts w:ascii="Arial Narrow" w:eastAsia="Calibri" w:hAnsi="Arial Narrow" w:cs="Arial"/>
          <w:sz w:val="24"/>
          <w:szCs w:val="24"/>
        </w:rPr>
        <w:t xml:space="preserve"> 4 точк</w:t>
      </w:r>
      <w:r w:rsidR="002224C9">
        <w:rPr>
          <w:rFonts w:ascii="Arial Narrow" w:eastAsia="Calibri" w:hAnsi="Arial Narrow" w:cs="Arial"/>
          <w:sz w:val="24"/>
          <w:szCs w:val="24"/>
          <w:lang w:val="bg-BG"/>
        </w:rPr>
        <w:t>а</w:t>
      </w:r>
      <w:r w:rsidRPr="0021617C">
        <w:rPr>
          <w:rFonts w:ascii="Arial Narrow" w:eastAsia="Calibri" w:hAnsi="Arial Narrow" w:cs="Arial"/>
          <w:sz w:val="24"/>
          <w:szCs w:val="24"/>
        </w:rPr>
        <w:t xml:space="preserve"> 1 </w:t>
      </w:r>
      <w:r w:rsidR="002224C9">
        <w:rPr>
          <w:rFonts w:ascii="Arial Narrow" w:eastAsia="Calibri" w:hAnsi="Arial Narrow" w:cs="Arial"/>
          <w:sz w:val="24"/>
          <w:szCs w:val="24"/>
          <w:lang w:val="bg-BG"/>
        </w:rPr>
        <w:t xml:space="preserve">на </w:t>
      </w:r>
      <w:r w:rsidRPr="0021617C">
        <w:rPr>
          <w:rFonts w:ascii="Arial Narrow" w:eastAsia="Calibri" w:hAnsi="Arial Narrow" w:cs="Arial"/>
          <w:sz w:val="24"/>
          <w:szCs w:val="24"/>
        </w:rPr>
        <w:t>GDPR, „лични данни“ означава информация</w:t>
      </w:r>
      <w:r w:rsidR="002224C9">
        <w:rPr>
          <w:rFonts w:ascii="Arial Narrow" w:eastAsia="Calibri" w:hAnsi="Arial Narrow" w:cs="Arial"/>
          <w:sz w:val="24"/>
          <w:szCs w:val="24"/>
          <w:lang w:val="bg-BG"/>
        </w:rPr>
        <w:t>та</w:t>
      </w:r>
      <w:r w:rsidRPr="0021617C">
        <w:rPr>
          <w:rFonts w:ascii="Arial Narrow" w:eastAsia="Calibri" w:hAnsi="Arial Narrow" w:cs="Arial"/>
          <w:sz w:val="24"/>
          <w:szCs w:val="24"/>
        </w:rPr>
        <w:t xml:space="preserve"> за идентифицирано или подлежащо на идентифициране физическо лице („субект на данните“). Разбираемо физическо лице е лице, което може да бъде идентифицирано директно или косвено, по-специално въз основа на идентификатор като име, идентификационен номер, данни за местоположение, онлайн идентификатор или един или повече специфични фактори, определящи физически, физиологични, генетични, психични и др. икономическата, културната или социалната идентичност на физическото лице.</w:t>
      </w:r>
    </w:p>
    <w:p w14:paraId="42BBF931" w14:textId="77777777" w:rsidR="003268D8" w:rsidRPr="0021617C" w:rsidRDefault="003268D8" w:rsidP="00C24F93">
      <w:pPr>
        <w:shd w:val="clear" w:color="auto" w:fill="FFFFFF"/>
        <w:spacing w:after="0" w:line="276" w:lineRule="auto"/>
        <w:ind w:left="426" w:firstLine="142"/>
        <w:jc w:val="both"/>
        <w:rPr>
          <w:rFonts w:ascii="Arial Narrow" w:eastAsia="Calibri" w:hAnsi="Arial Narrow" w:cs="Arial"/>
          <w:sz w:val="24"/>
          <w:szCs w:val="24"/>
        </w:rPr>
      </w:pPr>
    </w:p>
    <w:p w14:paraId="4053B254" w14:textId="571B4B47" w:rsidR="003268D8" w:rsidRPr="0021617C" w:rsidRDefault="003268D8" w:rsidP="009620CB">
      <w:pPr>
        <w:shd w:val="clear" w:color="auto" w:fill="FFFFFF"/>
        <w:spacing w:after="0" w:line="276" w:lineRule="auto"/>
        <w:ind w:left="426"/>
        <w:jc w:val="both"/>
        <w:rPr>
          <w:rFonts w:ascii="Arial Narrow" w:eastAsia="Calibri" w:hAnsi="Arial Narrow" w:cs="Arial"/>
          <w:sz w:val="24"/>
          <w:szCs w:val="24"/>
        </w:rPr>
      </w:pPr>
      <w:r w:rsidRPr="0021617C">
        <w:rPr>
          <w:rFonts w:ascii="Arial Narrow" w:eastAsia="Calibri" w:hAnsi="Arial Narrow" w:cs="Arial"/>
          <w:sz w:val="24"/>
          <w:szCs w:val="24"/>
        </w:rPr>
        <w:t xml:space="preserve">Обхватът на защитата на GDPR обхваща обработката на лични данни, чието определение се съдържа в </w:t>
      </w:r>
      <w:r w:rsidR="002224C9">
        <w:rPr>
          <w:rFonts w:ascii="Arial Narrow" w:eastAsia="Calibri" w:hAnsi="Arial Narrow" w:cs="Arial"/>
          <w:sz w:val="24"/>
          <w:szCs w:val="24"/>
          <w:lang w:val="bg-BG"/>
        </w:rPr>
        <w:t>член</w:t>
      </w:r>
      <w:r w:rsidRPr="0021617C">
        <w:rPr>
          <w:rFonts w:ascii="Arial Narrow" w:eastAsia="Calibri" w:hAnsi="Arial Narrow" w:cs="Arial"/>
          <w:sz w:val="24"/>
          <w:szCs w:val="24"/>
        </w:rPr>
        <w:t>. 4 точка 2) GDPR. „Обработка“ означава операция или набор от операции, извършени върху лични данни или набори от лични данни по автоматизиран или неавтоматизиран начин, като събиране, запис, организиране, организиране, съхраняване, адаптиране или модифициране, изтегляне, преглед, използване, разкриване чрез изпращане, разпространение или други видове споделяне, съвпадение или комбиниране, ограничаване, изтриване или унищожаване.</w:t>
      </w:r>
    </w:p>
    <w:p w14:paraId="65ED1F13" w14:textId="77777777" w:rsidR="003268D8" w:rsidRPr="0021617C" w:rsidRDefault="003268D8" w:rsidP="00C24F93">
      <w:pPr>
        <w:shd w:val="clear" w:color="auto" w:fill="FFFFFF"/>
        <w:spacing w:after="0" w:line="276" w:lineRule="auto"/>
        <w:ind w:left="426" w:firstLine="142"/>
        <w:jc w:val="both"/>
        <w:rPr>
          <w:rFonts w:ascii="Arial Narrow" w:eastAsia="Calibri" w:hAnsi="Arial Narrow" w:cs="Arial"/>
          <w:sz w:val="24"/>
          <w:szCs w:val="24"/>
        </w:rPr>
      </w:pPr>
    </w:p>
    <w:p w14:paraId="54CDFE95" w14:textId="77777777" w:rsidR="003268D8" w:rsidRPr="0021617C" w:rsidRDefault="003268D8" w:rsidP="009620CB">
      <w:pPr>
        <w:shd w:val="clear" w:color="auto" w:fill="FFFFFF"/>
        <w:spacing w:after="0" w:line="276" w:lineRule="auto"/>
        <w:ind w:left="426"/>
        <w:jc w:val="both"/>
        <w:rPr>
          <w:rFonts w:ascii="Arial Narrow" w:eastAsia="Calibri" w:hAnsi="Arial Narrow" w:cs="Arial"/>
          <w:sz w:val="24"/>
          <w:szCs w:val="24"/>
        </w:rPr>
      </w:pPr>
      <w:r w:rsidRPr="0021617C">
        <w:rPr>
          <w:rFonts w:ascii="Arial Narrow" w:eastAsia="Calibri" w:hAnsi="Arial Narrow" w:cs="Arial"/>
          <w:sz w:val="24"/>
          <w:szCs w:val="24"/>
        </w:rPr>
        <w:lastRenderedPageBreak/>
        <w:t>Както е посочено в съображение 4 от GDPR, обработката на лични данни трябва да бъде организирана по такъв начин, че да служи на човечеството. Правото на защита на личните данни не е абсолютно право; те трябва да се разглеждат в контекста на социалната му функция и да се балансират с други основни права в съответствие с принципа на пропорционалност. GDPR не нарушава основните права, свободи и принципи, признати в Хартата на основните права - залегнала в Договорите - по-специално правото на (...) информация, свобода за извършване на бизнес, правото на ефективно средство за защита и достъп до безпристрастен съд, както и културното, религиозното и езиковото многообразие</w:t>
      </w:r>
      <w:r w:rsidRPr="0021617C">
        <w:rPr>
          <w:rFonts w:ascii="Arial Narrow" w:eastAsia="Calibri" w:hAnsi="Arial Narrow" w:cs="Arial"/>
          <w:sz w:val="24"/>
          <w:szCs w:val="24"/>
          <w:lang w:val="bg-BG"/>
        </w:rPr>
        <w:t>.</w:t>
      </w:r>
      <w:r w:rsidRPr="0021617C">
        <w:rPr>
          <w:rFonts w:ascii="Arial Narrow" w:eastAsia="Calibri" w:hAnsi="Arial Narrow" w:cs="Arial"/>
          <w:sz w:val="24"/>
          <w:szCs w:val="24"/>
        </w:rPr>
        <w:t xml:space="preserve"> </w:t>
      </w:r>
    </w:p>
    <w:p w14:paraId="7DAC7C6E" w14:textId="77777777" w:rsidR="003268D8" w:rsidRPr="0021617C" w:rsidRDefault="003268D8" w:rsidP="00C24F93">
      <w:pPr>
        <w:shd w:val="clear" w:color="auto" w:fill="FFFFFF"/>
        <w:spacing w:after="0" w:line="276" w:lineRule="auto"/>
        <w:ind w:left="426" w:firstLine="142"/>
        <w:jc w:val="both"/>
        <w:rPr>
          <w:rFonts w:ascii="Arial Narrow" w:eastAsia="Calibri" w:hAnsi="Arial Narrow" w:cs="Arial"/>
          <w:sz w:val="24"/>
          <w:szCs w:val="24"/>
        </w:rPr>
      </w:pPr>
    </w:p>
    <w:p w14:paraId="5D2E9426" w14:textId="45231272" w:rsidR="003268D8" w:rsidRPr="0021617C" w:rsidRDefault="003268D8" w:rsidP="009620CB">
      <w:pPr>
        <w:shd w:val="clear" w:color="auto" w:fill="FFFFFF"/>
        <w:spacing w:after="0" w:line="276" w:lineRule="auto"/>
        <w:ind w:left="426"/>
        <w:jc w:val="both"/>
        <w:rPr>
          <w:rFonts w:ascii="Arial Narrow" w:eastAsia="Calibri" w:hAnsi="Arial Narrow" w:cs="Arial"/>
          <w:sz w:val="24"/>
          <w:szCs w:val="24"/>
        </w:rPr>
      </w:pPr>
      <w:r w:rsidRPr="0021617C">
        <w:rPr>
          <w:rFonts w:ascii="Arial Narrow" w:eastAsia="Calibri" w:hAnsi="Arial Narrow" w:cs="Arial"/>
          <w:sz w:val="24"/>
          <w:szCs w:val="24"/>
        </w:rPr>
        <w:t xml:space="preserve">Съображение 26 </w:t>
      </w:r>
      <w:r w:rsidR="002224C9">
        <w:rPr>
          <w:rFonts w:ascii="Arial Narrow" w:eastAsia="Calibri" w:hAnsi="Arial Narrow" w:cs="Arial"/>
          <w:sz w:val="24"/>
          <w:szCs w:val="24"/>
          <w:lang w:val="bg-BG"/>
        </w:rPr>
        <w:t>точка</w:t>
      </w:r>
      <w:r w:rsidRPr="0021617C">
        <w:rPr>
          <w:rFonts w:ascii="Arial Narrow" w:eastAsia="Calibri" w:hAnsi="Arial Narrow" w:cs="Arial"/>
          <w:sz w:val="24"/>
          <w:szCs w:val="24"/>
        </w:rPr>
        <w:t xml:space="preserve"> 1 </w:t>
      </w:r>
      <w:r w:rsidR="002224C9">
        <w:rPr>
          <w:rFonts w:ascii="Arial Narrow" w:eastAsia="Calibri" w:hAnsi="Arial Narrow" w:cs="Arial"/>
          <w:sz w:val="24"/>
          <w:szCs w:val="24"/>
          <w:lang w:val="bg-BG"/>
        </w:rPr>
        <w:t>указва</w:t>
      </w:r>
      <w:r w:rsidRPr="0021617C">
        <w:rPr>
          <w:rFonts w:ascii="Arial Narrow" w:eastAsia="Calibri" w:hAnsi="Arial Narrow" w:cs="Arial"/>
          <w:sz w:val="24"/>
          <w:szCs w:val="24"/>
        </w:rPr>
        <w:t xml:space="preserve"> за коя информация трябва да се прилагат принципите за защита на данните. Според съдържанието си принципите за защита на данните следва да се прилагат за цялата информация за идентифицирани или идентифицируеми физически лица. Следователно принципите за защита на данните не трябва да се прилагат за анонимна информация, т.е. информация, която не се отнася за идентифицирано или подлежащо на идентифициране физическо лице, или за лични данни, които са анонимни по такъв начин, че субектите на данни не могат да бъдат идентифицирани изобщо или вече не може да бъде идентифициран. Поради това GDPR не се прилага за обработката на анонимна информация, включително за обработка за статистически или научни цели.</w:t>
      </w:r>
    </w:p>
    <w:p w14:paraId="5EF67050" w14:textId="77777777" w:rsidR="003268D8" w:rsidRPr="0021617C" w:rsidRDefault="003268D8" w:rsidP="00C24F93">
      <w:pPr>
        <w:shd w:val="clear" w:color="auto" w:fill="FFFFFF"/>
        <w:spacing w:after="0" w:line="276" w:lineRule="auto"/>
        <w:ind w:left="426" w:firstLine="142"/>
        <w:jc w:val="both"/>
        <w:rPr>
          <w:rFonts w:ascii="Arial Narrow" w:eastAsia="Calibri" w:hAnsi="Arial Narrow" w:cs="Arial"/>
          <w:sz w:val="24"/>
          <w:szCs w:val="24"/>
        </w:rPr>
      </w:pPr>
    </w:p>
    <w:p w14:paraId="2F3F863B" w14:textId="77777777" w:rsidR="003268D8" w:rsidRPr="0021617C" w:rsidRDefault="003268D8" w:rsidP="009620CB">
      <w:pPr>
        <w:shd w:val="clear" w:color="auto" w:fill="FFFFFF"/>
        <w:spacing w:after="0" w:line="276" w:lineRule="auto"/>
        <w:ind w:left="426"/>
        <w:jc w:val="both"/>
        <w:rPr>
          <w:rFonts w:ascii="Arial Narrow" w:eastAsia="Calibri" w:hAnsi="Arial Narrow" w:cs="Arial"/>
          <w:sz w:val="24"/>
          <w:szCs w:val="24"/>
        </w:rPr>
      </w:pPr>
      <w:r w:rsidRPr="0021617C">
        <w:rPr>
          <w:rFonts w:ascii="Arial Narrow" w:eastAsia="Calibri" w:hAnsi="Arial Narrow" w:cs="Arial"/>
          <w:sz w:val="24"/>
          <w:szCs w:val="24"/>
        </w:rPr>
        <w:t>Според целта на Директивата за ЕРС, информацията, която ЕРС предоставят на централното управление, се отнася до транснационални въпроси, които засягат значително интересите на служителите. Това ще бъде информация като:</w:t>
      </w:r>
    </w:p>
    <w:p w14:paraId="330D3EC1" w14:textId="77777777" w:rsidR="003268D8" w:rsidRPr="0021617C" w:rsidRDefault="003268D8" w:rsidP="00C24F93">
      <w:pPr>
        <w:shd w:val="clear" w:color="auto" w:fill="FFFFFF"/>
        <w:spacing w:after="0" w:line="276" w:lineRule="auto"/>
        <w:ind w:left="426" w:firstLine="142"/>
        <w:jc w:val="both"/>
        <w:rPr>
          <w:rFonts w:ascii="Arial Narrow" w:eastAsia="Calibri" w:hAnsi="Arial Narrow" w:cs="Arial"/>
          <w:sz w:val="24"/>
          <w:szCs w:val="24"/>
        </w:rPr>
      </w:pPr>
    </w:p>
    <w:p w14:paraId="1E2D4A3B" w14:textId="77777777" w:rsidR="003268D8" w:rsidRPr="0021617C" w:rsidRDefault="003268D8" w:rsidP="00C24F93">
      <w:pPr>
        <w:shd w:val="clear" w:color="auto" w:fill="FFFFFF"/>
        <w:spacing w:after="0" w:line="276" w:lineRule="auto"/>
        <w:ind w:left="426" w:firstLine="142"/>
        <w:jc w:val="both"/>
        <w:rPr>
          <w:rFonts w:ascii="Arial Narrow" w:eastAsia="Calibri" w:hAnsi="Arial Narrow" w:cs="Arial"/>
          <w:i/>
          <w:iCs/>
          <w:sz w:val="24"/>
          <w:szCs w:val="24"/>
          <w:u w:val="single"/>
        </w:rPr>
      </w:pPr>
      <w:r w:rsidRPr="009620CB">
        <w:rPr>
          <w:rFonts w:ascii="Arial Narrow" w:eastAsia="Calibri" w:hAnsi="Arial Narrow" w:cs="Arial"/>
          <w:b/>
          <w:bCs/>
          <w:i/>
          <w:iCs/>
          <w:sz w:val="24"/>
          <w:szCs w:val="24"/>
          <w:u w:val="single"/>
        </w:rPr>
        <w:t>ситуация и тенденции в заетостта</w:t>
      </w:r>
      <w:r w:rsidRPr="0021617C">
        <w:rPr>
          <w:rFonts w:ascii="Arial Narrow" w:eastAsia="Calibri" w:hAnsi="Arial Narrow" w:cs="Arial"/>
          <w:i/>
          <w:iCs/>
          <w:sz w:val="24"/>
          <w:szCs w:val="24"/>
          <w:u w:val="single"/>
        </w:rPr>
        <w:t>,</w:t>
      </w:r>
    </w:p>
    <w:p w14:paraId="4A858449" w14:textId="77777777" w:rsidR="003268D8" w:rsidRPr="0021617C" w:rsidRDefault="003268D8" w:rsidP="00C24F93">
      <w:pPr>
        <w:numPr>
          <w:ilvl w:val="0"/>
          <w:numId w:val="16"/>
        </w:numPr>
        <w:shd w:val="clear" w:color="auto" w:fill="FFFFFF"/>
        <w:spacing w:after="0" w:line="276" w:lineRule="auto"/>
        <w:ind w:left="426" w:firstLine="142"/>
        <w:contextualSpacing/>
        <w:jc w:val="both"/>
        <w:rPr>
          <w:rFonts w:ascii="Arial Narrow" w:eastAsia="Calibri" w:hAnsi="Arial Narrow" w:cs="Arial"/>
          <w:sz w:val="24"/>
          <w:szCs w:val="24"/>
        </w:rPr>
      </w:pPr>
      <w:r w:rsidRPr="0021617C">
        <w:rPr>
          <w:rFonts w:ascii="Arial Narrow" w:eastAsia="Calibri" w:hAnsi="Arial Narrow" w:cs="Arial"/>
          <w:sz w:val="24"/>
          <w:szCs w:val="24"/>
        </w:rPr>
        <w:t>инвестиции и значителни промени, свързани с организацията, въвеждането на нови работни методи или нови производствени процеси,</w:t>
      </w:r>
    </w:p>
    <w:p w14:paraId="7F30CFF7" w14:textId="77777777" w:rsidR="003268D8" w:rsidRPr="0021617C" w:rsidRDefault="003268D8" w:rsidP="00C24F93">
      <w:pPr>
        <w:numPr>
          <w:ilvl w:val="0"/>
          <w:numId w:val="16"/>
        </w:numPr>
        <w:shd w:val="clear" w:color="auto" w:fill="FFFFFF"/>
        <w:spacing w:after="0" w:line="276" w:lineRule="auto"/>
        <w:ind w:left="426" w:firstLine="142"/>
        <w:contextualSpacing/>
        <w:jc w:val="both"/>
        <w:rPr>
          <w:rFonts w:ascii="Arial Narrow" w:eastAsia="Calibri" w:hAnsi="Arial Narrow" w:cs="Arial"/>
          <w:sz w:val="24"/>
          <w:szCs w:val="24"/>
        </w:rPr>
      </w:pPr>
      <w:r w:rsidRPr="0021617C">
        <w:rPr>
          <w:rFonts w:ascii="Arial Narrow" w:eastAsia="Calibri" w:hAnsi="Arial Narrow" w:cs="Arial"/>
          <w:sz w:val="24"/>
          <w:szCs w:val="24"/>
        </w:rPr>
        <w:t>преместване на производството,</w:t>
      </w:r>
    </w:p>
    <w:p w14:paraId="0EA722B5" w14:textId="77777777" w:rsidR="003268D8" w:rsidRPr="0021617C" w:rsidRDefault="003268D8" w:rsidP="00C24F93">
      <w:pPr>
        <w:numPr>
          <w:ilvl w:val="0"/>
          <w:numId w:val="16"/>
        </w:numPr>
        <w:shd w:val="clear" w:color="auto" w:fill="FFFFFF"/>
        <w:spacing w:after="0" w:line="276" w:lineRule="auto"/>
        <w:ind w:left="426" w:firstLine="142"/>
        <w:contextualSpacing/>
        <w:jc w:val="both"/>
        <w:rPr>
          <w:rFonts w:ascii="Arial Narrow" w:eastAsia="Calibri" w:hAnsi="Arial Narrow" w:cs="Arial"/>
          <w:sz w:val="24"/>
          <w:szCs w:val="24"/>
        </w:rPr>
      </w:pPr>
      <w:r w:rsidRPr="0021617C">
        <w:rPr>
          <w:rFonts w:ascii="Arial Narrow" w:eastAsia="Calibri" w:hAnsi="Arial Narrow" w:cs="Arial"/>
          <w:sz w:val="24"/>
          <w:szCs w:val="24"/>
        </w:rPr>
        <w:t>бизнес сливания,</w:t>
      </w:r>
    </w:p>
    <w:p w14:paraId="3CEB237D" w14:textId="77777777" w:rsidR="003268D8" w:rsidRPr="0021617C" w:rsidRDefault="003268D8" w:rsidP="00C24F93">
      <w:pPr>
        <w:numPr>
          <w:ilvl w:val="0"/>
          <w:numId w:val="16"/>
        </w:numPr>
        <w:shd w:val="clear" w:color="auto" w:fill="FFFFFF"/>
        <w:spacing w:after="0" w:line="276" w:lineRule="auto"/>
        <w:ind w:left="426" w:firstLine="142"/>
        <w:contextualSpacing/>
        <w:jc w:val="both"/>
        <w:rPr>
          <w:rFonts w:ascii="Arial Narrow" w:eastAsia="Calibri" w:hAnsi="Arial Narrow" w:cs="Arial"/>
          <w:sz w:val="24"/>
          <w:szCs w:val="24"/>
        </w:rPr>
      </w:pPr>
      <w:r w:rsidRPr="0021617C">
        <w:rPr>
          <w:rFonts w:ascii="Arial Narrow" w:eastAsia="Calibri" w:hAnsi="Arial Narrow" w:cs="Arial"/>
          <w:sz w:val="24"/>
          <w:szCs w:val="24"/>
        </w:rPr>
        <w:t>намаляване на размера или закриването на предприятия, работни места или важни части от работните места</w:t>
      </w:r>
    </w:p>
    <w:p w14:paraId="23BD52EB" w14:textId="77777777" w:rsidR="003268D8" w:rsidRPr="0021617C" w:rsidRDefault="003268D8" w:rsidP="00C24F93">
      <w:pPr>
        <w:numPr>
          <w:ilvl w:val="0"/>
          <w:numId w:val="16"/>
        </w:numPr>
        <w:shd w:val="clear" w:color="auto" w:fill="FFFFFF"/>
        <w:spacing w:after="0" w:line="276" w:lineRule="auto"/>
        <w:ind w:left="426" w:firstLine="142"/>
        <w:contextualSpacing/>
        <w:jc w:val="both"/>
        <w:rPr>
          <w:rFonts w:ascii="Arial Narrow" w:eastAsia="Calibri" w:hAnsi="Arial Narrow" w:cs="Arial"/>
          <w:sz w:val="24"/>
          <w:szCs w:val="24"/>
        </w:rPr>
      </w:pPr>
      <w:r w:rsidRPr="0021617C">
        <w:rPr>
          <w:rFonts w:ascii="Arial Narrow" w:eastAsia="Calibri" w:hAnsi="Arial Narrow" w:cs="Arial"/>
          <w:sz w:val="24"/>
          <w:szCs w:val="24"/>
        </w:rPr>
        <w:t>и колективни съкращения.</w:t>
      </w:r>
    </w:p>
    <w:p w14:paraId="3122D96A" w14:textId="77777777" w:rsidR="003268D8" w:rsidRPr="0021617C" w:rsidRDefault="003268D8" w:rsidP="00C24F93">
      <w:pPr>
        <w:shd w:val="clear" w:color="auto" w:fill="FFFFFF"/>
        <w:spacing w:after="0" w:line="276" w:lineRule="auto"/>
        <w:ind w:left="426" w:firstLine="142"/>
        <w:jc w:val="both"/>
        <w:rPr>
          <w:rFonts w:ascii="Arial Narrow" w:eastAsia="Calibri" w:hAnsi="Arial Narrow" w:cs="Arial"/>
          <w:sz w:val="24"/>
          <w:szCs w:val="24"/>
        </w:rPr>
      </w:pPr>
    </w:p>
    <w:p w14:paraId="20FB7B65" w14:textId="77777777" w:rsidR="003268D8" w:rsidRPr="0021617C" w:rsidRDefault="003268D8" w:rsidP="009620CB">
      <w:pPr>
        <w:shd w:val="clear" w:color="auto" w:fill="FFFFFF"/>
        <w:spacing w:after="0" w:line="276" w:lineRule="auto"/>
        <w:ind w:left="426"/>
        <w:jc w:val="both"/>
        <w:rPr>
          <w:rFonts w:ascii="Arial Narrow" w:eastAsia="Calibri" w:hAnsi="Arial Narrow" w:cs="Arial"/>
          <w:sz w:val="24"/>
          <w:szCs w:val="24"/>
        </w:rPr>
      </w:pPr>
      <w:r w:rsidRPr="0021617C">
        <w:rPr>
          <w:rFonts w:ascii="Arial Narrow" w:eastAsia="Calibri" w:hAnsi="Arial Narrow" w:cs="Arial"/>
          <w:sz w:val="24"/>
          <w:szCs w:val="24"/>
        </w:rPr>
        <w:t>Поради транснационалния, общностен характер на информацията, е малко вероятно информацията, предоставена от централното управление относно или засягащи въпросите на служителите, да бъде достатъчно точна, за да определи подробно кои служители или други лица са засегнати конкретно и поотделно. Разбира се, възможно е да се определи определена група служители, за които се отнасят решенията или информацията.</w:t>
      </w:r>
      <w:r w:rsidRPr="0021617C">
        <w:rPr>
          <w:rFonts w:ascii="Arial Narrow" w:eastAsia="Calibri" w:hAnsi="Arial Narrow" w:cs="Arial"/>
          <w:sz w:val="24"/>
          <w:szCs w:val="24"/>
          <w:lang w:val="bg-BG"/>
        </w:rPr>
        <w:t xml:space="preserve"> </w:t>
      </w:r>
      <w:r w:rsidRPr="0021617C">
        <w:rPr>
          <w:rFonts w:ascii="Arial Narrow" w:eastAsia="Calibri" w:hAnsi="Arial Narrow" w:cs="Arial"/>
          <w:sz w:val="24"/>
          <w:szCs w:val="24"/>
        </w:rPr>
        <w:t xml:space="preserve">Ако обаче на практика се окаже, че информацията, свързана с плановете на централното управление с транснационално покритие, например относно прехвърлянето на това предприятие или неговата специфична структура, например отдела за научни изследвания или развитие в друга държава, се отнася до лица, които биха могли да бъдат идентифицирани индивидуално от членовете на ЕРС, разпоредбите на GDPR те не могат да представляват основание за отказ да се предоставят на ЕРС такъв тип информация. Правното основание, позволяващо обработването на данни в този случай, ще бъде чл. 6 клауза 1 буква в) GDPR, предвиждаща, че обработването на лични данни е законно, ако обработването е </w:t>
      </w:r>
      <w:r w:rsidRPr="0021617C">
        <w:rPr>
          <w:rFonts w:ascii="Arial Narrow" w:eastAsia="Calibri" w:hAnsi="Arial Narrow" w:cs="Arial"/>
          <w:sz w:val="24"/>
          <w:szCs w:val="24"/>
        </w:rPr>
        <w:lastRenderedPageBreak/>
        <w:t>необходимо, за да се изпълни законното задължение на администратора. Правното задължение, посочено в разпоредбата, е задължението да се предоставят на ЕРС информация в режим на информация или консултации, произтичащи директно от Директивата за ЕРС и директно от националните закони за ЕРС, които прилагат Директивата за ЕРС.</w:t>
      </w:r>
    </w:p>
    <w:p w14:paraId="63140D1D" w14:textId="77777777" w:rsidR="009620CB" w:rsidRDefault="009620CB" w:rsidP="009620CB">
      <w:pPr>
        <w:shd w:val="clear" w:color="auto" w:fill="FFFFFF"/>
        <w:spacing w:after="0" w:line="276" w:lineRule="auto"/>
        <w:jc w:val="both"/>
        <w:rPr>
          <w:rFonts w:ascii="Arial Narrow" w:eastAsia="Calibri" w:hAnsi="Arial Narrow" w:cs="Arial"/>
          <w:sz w:val="24"/>
          <w:szCs w:val="24"/>
          <w:lang w:val="bg-BG"/>
        </w:rPr>
      </w:pPr>
    </w:p>
    <w:p w14:paraId="4CFA670F" w14:textId="77777777" w:rsidR="009620CB" w:rsidRDefault="009620CB" w:rsidP="009620CB">
      <w:pPr>
        <w:shd w:val="clear" w:color="auto" w:fill="FFFFFF"/>
        <w:spacing w:after="0" w:line="276" w:lineRule="auto"/>
        <w:jc w:val="both"/>
        <w:rPr>
          <w:rFonts w:ascii="Arial Narrow" w:eastAsia="Calibri" w:hAnsi="Arial Narrow" w:cs="Arial"/>
          <w:sz w:val="24"/>
          <w:szCs w:val="24"/>
          <w:lang w:val="bg-BG"/>
        </w:rPr>
      </w:pPr>
    </w:p>
    <w:p w14:paraId="6D782EC9" w14:textId="6E139640" w:rsidR="003268D8" w:rsidRPr="009620CB" w:rsidRDefault="009620CB" w:rsidP="009620CB">
      <w:pPr>
        <w:shd w:val="clear" w:color="auto" w:fill="FFFFFF"/>
        <w:spacing w:after="0" w:line="276" w:lineRule="auto"/>
        <w:jc w:val="both"/>
        <w:rPr>
          <w:rFonts w:ascii="Arial Narrow" w:eastAsia="Calibri" w:hAnsi="Arial Narrow" w:cs="Arial"/>
          <w:b/>
          <w:bCs/>
          <w:sz w:val="24"/>
          <w:szCs w:val="24"/>
          <w:lang w:val="bg-BG"/>
        </w:rPr>
      </w:pPr>
      <w:r>
        <w:rPr>
          <w:rFonts w:ascii="Arial Narrow" w:eastAsia="Calibri" w:hAnsi="Arial Narrow" w:cs="Arial"/>
          <w:sz w:val="24"/>
          <w:szCs w:val="24"/>
          <w:lang w:val="bg-BG"/>
        </w:rPr>
        <w:t xml:space="preserve">       </w:t>
      </w:r>
      <w:r w:rsidR="003268D8" w:rsidRPr="009620CB">
        <w:rPr>
          <w:rFonts w:ascii="Arial Narrow" w:eastAsia="Calibri" w:hAnsi="Arial Narrow" w:cs="Arial"/>
          <w:b/>
          <w:bCs/>
          <w:sz w:val="24"/>
          <w:szCs w:val="24"/>
          <w:lang w:val="bg-BG"/>
        </w:rPr>
        <w:t>З</w:t>
      </w:r>
      <w:r w:rsidR="003268D8" w:rsidRPr="009620CB">
        <w:rPr>
          <w:rFonts w:ascii="Arial Narrow" w:eastAsia="Calibri" w:hAnsi="Arial Narrow" w:cs="Arial"/>
          <w:b/>
          <w:bCs/>
          <w:sz w:val="24"/>
          <w:szCs w:val="24"/>
        </w:rPr>
        <w:t>аключени</w:t>
      </w:r>
      <w:r w:rsidR="003268D8" w:rsidRPr="009620CB">
        <w:rPr>
          <w:rFonts w:ascii="Arial Narrow" w:eastAsia="Calibri" w:hAnsi="Arial Narrow" w:cs="Arial"/>
          <w:b/>
          <w:bCs/>
          <w:sz w:val="24"/>
          <w:szCs w:val="24"/>
          <w:lang w:val="bg-BG"/>
        </w:rPr>
        <w:t>я</w:t>
      </w:r>
    </w:p>
    <w:p w14:paraId="36A7CEEE" w14:textId="77777777" w:rsidR="003268D8" w:rsidRPr="0021617C" w:rsidRDefault="003268D8" w:rsidP="00C24F93">
      <w:pPr>
        <w:shd w:val="clear" w:color="auto" w:fill="FFFFFF"/>
        <w:spacing w:after="0" w:line="276" w:lineRule="auto"/>
        <w:ind w:left="426" w:firstLine="142"/>
        <w:jc w:val="both"/>
        <w:rPr>
          <w:rFonts w:ascii="Arial Narrow" w:eastAsia="Times New Roman" w:hAnsi="Arial Narrow" w:cs="Arial"/>
          <w:sz w:val="24"/>
          <w:szCs w:val="24"/>
          <w:lang w:eastAsia="pl-PL"/>
        </w:rPr>
      </w:pPr>
    </w:p>
    <w:p w14:paraId="5EBA4851" w14:textId="77777777" w:rsidR="003268D8" w:rsidRPr="0021617C" w:rsidRDefault="003268D8" w:rsidP="00C24F93">
      <w:pPr>
        <w:spacing w:after="0" w:line="276" w:lineRule="auto"/>
        <w:ind w:left="426" w:firstLine="142"/>
        <w:jc w:val="both"/>
        <w:rPr>
          <w:rFonts w:ascii="Arial Narrow" w:eastAsia="Calibri" w:hAnsi="Arial Narrow" w:cs="Arial"/>
          <w:sz w:val="24"/>
          <w:szCs w:val="24"/>
        </w:rPr>
      </w:pPr>
      <w:r w:rsidRPr="0021617C">
        <w:rPr>
          <w:rFonts w:ascii="Arial Narrow" w:eastAsia="Calibri" w:hAnsi="Arial Narrow" w:cs="Arial"/>
          <w:sz w:val="24"/>
          <w:szCs w:val="24"/>
        </w:rPr>
        <w:t>1. Припокриването на няколко законодателни режима: европейски, национални, както и договорни разпоредби и естествената промяна на естеството на информацията във времето не позволява недвусмислено и окончателно да се посочи каква информация е информация, която може да бъде обхваната от поверителност.</w:t>
      </w:r>
    </w:p>
    <w:p w14:paraId="2B752CAF" w14:textId="77777777" w:rsidR="003268D8" w:rsidRPr="0021617C" w:rsidRDefault="003268D8" w:rsidP="00C24F93">
      <w:pPr>
        <w:spacing w:after="0" w:line="276" w:lineRule="auto"/>
        <w:ind w:left="426" w:firstLine="142"/>
        <w:jc w:val="both"/>
        <w:rPr>
          <w:rFonts w:ascii="Arial Narrow" w:eastAsia="Calibri" w:hAnsi="Arial Narrow" w:cs="Arial"/>
          <w:sz w:val="24"/>
          <w:szCs w:val="24"/>
        </w:rPr>
      </w:pPr>
      <w:r w:rsidRPr="0021617C">
        <w:rPr>
          <w:rFonts w:ascii="Arial Narrow" w:eastAsia="Calibri" w:hAnsi="Arial Narrow" w:cs="Arial"/>
          <w:sz w:val="24"/>
          <w:szCs w:val="24"/>
        </w:rPr>
        <w:t>2. Прилагането на директивата за ЕРС изисква разграничаване между поверителна и поверителна информация. По правило обхватът на тези понятия трябва да съвпада, но практиката показва, че това не е така.</w:t>
      </w:r>
    </w:p>
    <w:p w14:paraId="49400692" w14:textId="77777777" w:rsidR="003268D8" w:rsidRPr="0021617C" w:rsidRDefault="003268D8" w:rsidP="00C24F93">
      <w:pPr>
        <w:spacing w:after="0" w:line="276" w:lineRule="auto"/>
        <w:ind w:left="426" w:firstLine="142"/>
        <w:jc w:val="both"/>
        <w:rPr>
          <w:rFonts w:ascii="Arial Narrow" w:eastAsia="Calibri" w:hAnsi="Arial Narrow" w:cs="Arial"/>
          <w:sz w:val="24"/>
          <w:szCs w:val="24"/>
        </w:rPr>
      </w:pPr>
      <w:r w:rsidRPr="0021617C">
        <w:rPr>
          <w:rFonts w:ascii="Arial Narrow" w:eastAsia="Calibri" w:hAnsi="Arial Narrow" w:cs="Arial"/>
          <w:sz w:val="24"/>
          <w:szCs w:val="24"/>
        </w:rPr>
        <w:t>3. Законодателят решава какъв е концептуалният обхват на поверителната информация, докато обхватът на информацията, обхваната от клаузата за поверителност в дадена ситуация, се определя едностранно от централното управление, което решение подлежи на административен или съдебен контрол, в зависимост от решенията, приети в дадена държава-членка ,</w:t>
      </w:r>
    </w:p>
    <w:p w14:paraId="3848F671" w14:textId="77777777" w:rsidR="003268D8" w:rsidRPr="0021617C" w:rsidRDefault="003268D8" w:rsidP="00C24F93">
      <w:pPr>
        <w:spacing w:after="0" w:line="276" w:lineRule="auto"/>
        <w:ind w:left="426" w:firstLine="142"/>
        <w:jc w:val="both"/>
        <w:rPr>
          <w:rFonts w:ascii="Arial Narrow" w:eastAsia="Calibri" w:hAnsi="Arial Narrow" w:cs="Arial"/>
          <w:sz w:val="24"/>
          <w:szCs w:val="24"/>
        </w:rPr>
      </w:pPr>
    </w:p>
    <w:p w14:paraId="487A964D" w14:textId="77777777" w:rsidR="009620CB" w:rsidRDefault="009620CB" w:rsidP="00C24F93">
      <w:pPr>
        <w:spacing w:after="0" w:line="276" w:lineRule="auto"/>
        <w:ind w:left="426" w:firstLine="142"/>
        <w:jc w:val="both"/>
        <w:rPr>
          <w:rFonts w:ascii="Arial Narrow" w:eastAsia="Calibri" w:hAnsi="Arial Narrow" w:cs="Arial"/>
          <w:sz w:val="24"/>
          <w:szCs w:val="24"/>
        </w:rPr>
      </w:pPr>
    </w:p>
    <w:p w14:paraId="62231A00" w14:textId="065D6865" w:rsidR="003268D8" w:rsidRPr="009620CB" w:rsidRDefault="003268D8" w:rsidP="00C24F93">
      <w:pPr>
        <w:spacing w:after="0" w:line="276" w:lineRule="auto"/>
        <w:ind w:left="426" w:firstLine="142"/>
        <w:jc w:val="both"/>
        <w:rPr>
          <w:rFonts w:ascii="Arial Narrow" w:eastAsia="Calibri" w:hAnsi="Arial Narrow" w:cs="Arial"/>
          <w:b/>
          <w:bCs/>
          <w:sz w:val="24"/>
          <w:szCs w:val="24"/>
        </w:rPr>
      </w:pPr>
      <w:r w:rsidRPr="009620CB">
        <w:rPr>
          <w:rFonts w:ascii="Arial Narrow" w:eastAsia="Calibri" w:hAnsi="Arial Narrow" w:cs="Arial"/>
          <w:b/>
          <w:bCs/>
          <w:sz w:val="24"/>
          <w:szCs w:val="24"/>
        </w:rPr>
        <w:t>Има няколко правила, които трябва да имате предвид при работа с информация:</w:t>
      </w:r>
    </w:p>
    <w:p w14:paraId="77A960BE" w14:textId="77777777" w:rsidR="003268D8" w:rsidRPr="0021617C" w:rsidRDefault="003268D8" w:rsidP="00C24F93">
      <w:pPr>
        <w:spacing w:after="0" w:line="276" w:lineRule="auto"/>
        <w:ind w:left="426" w:firstLine="142"/>
        <w:jc w:val="both"/>
        <w:rPr>
          <w:rFonts w:ascii="Arial Narrow" w:eastAsia="Calibri" w:hAnsi="Arial Narrow" w:cs="Arial"/>
          <w:sz w:val="24"/>
          <w:szCs w:val="24"/>
        </w:rPr>
      </w:pPr>
      <w:r w:rsidRPr="0021617C">
        <w:rPr>
          <w:rFonts w:ascii="Arial Narrow" w:eastAsia="Calibri" w:hAnsi="Arial Narrow" w:cs="Arial"/>
          <w:sz w:val="24"/>
          <w:szCs w:val="24"/>
        </w:rPr>
        <w:t>1. Състоянието на поверителната информация се променя с течение на времето, така че статусът на поверителна информация също трябва да се променя с течение на времето. Струва си да се включи съответна разпоредба, указваща момента на прекратяване на клаузата за поверителност в споразумението за ЕРС.</w:t>
      </w:r>
    </w:p>
    <w:p w14:paraId="37F144B2" w14:textId="4F1A7090" w:rsidR="003268D8" w:rsidRPr="0021617C" w:rsidRDefault="003268D8" w:rsidP="00C24F93">
      <w:pPr>
        <w:spacing w:after="0" w:line="276" w:lineRule="auto"/>
        <w:ind w:left="426" w:firstLine="142"/>
        <w:jc w:val="both"/>
        <w:rPr>
          <w:rFonts w:ascii="Arial Narrow" w:eastAsia="Calibri" w:hAnsi="Arial Narrow" w:cs="Arial"/>
          <w:sz w:val="24"/>
          <w:szCs w:val="24"/>
        </w:rPr>
      </w:pPr>
      <w:r w:rsidRPr="0021617C">
        <w:rPr>
          <w:rFonts w:ascii="Arial Narrow" w:eastAsia="Calibri" w:hAnsi="Arial Narrow" w:cs="Arial"/>
          <w:sz w:val="24"/>
          <w:szCs w:val="24"/>
        </w:rPr>
        <w:t xml:space="preserve">2. Концептуалният обхват на информацията, обхванат от клаузата за поверителност по смисъла на чл. 8 </w:t>
      </w:r>
      <w:r w:rsidR="009620CB">
        <w:rPr>
          <w:rFonts w:ascii="Arial Narrow" w:eastAsia="Calibri" w:hAnsi="Arial Narrow" w:cs="Arial"/>
          <w:sz w:val="24"/>
          <w:szCs w:val="24"/>
          <w:lang w:val="bg-BG"/>
        </w:rPr>
        <w:t xml:space="preserve">точка </w:t>
      </w:r>
      <w:r w:rsidRPr="0021617C">
        <w:rPr>
          <w:rFonts w:ascii="Arial Narrow" w:eastAsia="Calibri" w:hAnsi="Arial Narrow" w:cs="Arial"/>
          <w:sz w:val="24"/>
          <w:szCs w:val="24"/>
        </w:rPr>
        <w:t>1 от</w:t>
      </w:r>
      <w:r w:rsidR="009620CB">
        <w:rPr>
          <w:rFonts w:ascii="Arial Narrow" w:eastAsia="Calibri" w:hAnsi="Arial Narrow" w:cs="Arial"/>
          <w:sz w:val="24"/>
          <w:szCs w:val="24"/>
          <w:lang w:val="bg-BG"/>
        </w:rPr>
        <w:t xml:space="preserve"> Д</w:t>
      </w:r>
      <w:r w:rsidRPr="0021617C">
        <w:rPr>
          <w:rFonts w:ascii="Arial Narrow" w:eastAsia="Calibri" w:hAnsi="Arial Narrow" w:cs="Arial"/>
          <w:sz w:val="24"/>
          <w:szCs w:val="24"/>
        </w:rPr>
        <w:t>иректив</w:t>
      </w:r>
      <w:r w:rsidR="009620CB">
        <w:rPr>
          <w:rFonts w:ascii="Arial Narrow" w:eastAsia="Calibri" w:hAnsi="Arial Narrow" w:cs="Arial"/>
          <w:sz w:val="24"/>
          <w:szCs w:val="24"/>
          <w:lang w:val="bg-BG"/>
        </w:rPr>
        <w:t>ата</w:t>
      </w:r>
      <w:r w:rsidRPr="0021617C">
        <w:rPr>
          <w:rFonts w:ascii="Arial Narrow" w:eastAsia="Calibri" w:hAnsi="Arial Narrow" w:cs="Arial"/>
          <w:sz w:val="24"/>
          <w:szCs w:val="24"/>
        </w:rPr>
        <w:t xml:space="preserve"> за ЕРС ще варира в отделните страни-членки в зависимост от начина на прилагане на тази разпоредба, включително как информацията е дефинирана в националното законодателство, която може да бъде обхваната от клаузата за поверителност.</w:t>
      </w:r>
    </w:p>
    <w:p w14:paraId="3DE53B41" w14:textId="77777777" w:rsidR="003268D8" w:rsidRPr="0021617C" w:rsidRDefault="003268D8" w:rsidP="00C24F93">
      <w:pPr>
        <w:spacing w:after="0" w:line="276" w:lineRule="auto"/>
        <w:ind w:left="426" w:firstLine="142"/>
        <w:jc w:val="both"/>
        <w:rPr>
          <w:rFonts w:ascii="Arial Narrow" w:eastAsia="Calibri" w:hAnsi="Arial Narrow" w:cs="Arial"/>
          <w:sz w:val="24"/>
          <w:szCs w:val="24"/>
        </w:rPr>
      </w:pPr>
      <w:r w:rsidRPr="0021617C">
        <w:rPr>
          <w:rFonts w:ascii="Arial Narrow" w:eastAsia="Calibri" w:hAnsi="Arial Narrow" w:cs="Arial"/>
          <w:sz w:val="24"/>
          <w:szCs w:val="24"/>
        </w:rPr>
        <w:t>3. Няма да има информация, обхваната от клаузата за поверителност по смисъла на Директивата за ЕРС, информация, притежавана от членовете на ЕРС, в която членовете на борда са влезли по друг начин, освен чрез прехвърлянето им от централното управление, например публично достъпна информация или достъп до който членовете на ЕРС са получили легален начин, например публично достъпни регистри, публикувана актуална или периодична информация, поверителна информация, публикувана от емитента, слухове в бранша.</w:t>
      </w:r>
    </w:p>
    <w:p w14:paraId="1E1EF73F" w14:textId="77777777" w:rsidR="003268D8" w:rsidRPr="0021617C" w:rsidRDefault="003268D8" w:rsidP="00C24F93">
      <w:pPr>
        <w:spacing w:after="0" w:line="276" w:lineRule="auto"/>
        <w:ind w:left="426" w:firstLine="142"/>
        <w:jc w:val="both"/>
        <w:rPr>
          <w:rFonts w:ascii="Arial Narrow" w:eastAsia="Calibri" w:hAnsi="Arial Narrow" w:cs="Arial"/>
          <w:sz w:val="24"/>
          <w:szCs w:val="24"/>
        </w:rPr>
      </w:pPr>
      <w:r w:rsidRPr="0021617C">
        <w:rPr>
          <w:rFonts w:ascii="Arial Narrow" w:eastAsia="Calibri" w:hAnsi="Arial Narrow" w:cs="Arial"/>
          <w:sz w:val="24"/>
          <w:szCs w:val="24"/>
        </w:rPr>
        <w:t>4. По правило информация, която не е запазена като поверителна, няма да бъде обхваната от клаузата за поверителност по смисъла на Директивата за ЕРС.</w:t>
      </w:r>
    </w:p>
    <w:p w14:paraId="24FFDC11" w14:textId="445D2F29" w:rsidR="003268D8" w:rsidRPr="0021617C" w:rsidRDefault="003268D8" w:rsidP="00C24F93">
      <w:pPr>
        <w:spacing w:after="0" w:line="276" w:lineRule="auto"/>
        <w:ind w:left="426" w:firstLine="142"/>
        <w:jc w:val="both"/>
        <w:rPr>
          <w:rFonts w:ascii="Arial Narrow" w:eastAsia="Calibri" w:hAnsi="Arial Narrow" w:cs="Arial"/>
          <w:sz w:val="24"/>
          <w:szCs w:val="24"/>
        </w:rPr>
      </w:pPr>
      <w:r w:rsidRPr="0021617C">
        <w:rPr>
          <w:rFonts w:ascii="Arial Narrow" w:eastAsia="Calibri" w:hAnsi="Arial Narrow" w:cs="Arial"/>
          <w:sz w:val="24"/>
          <w:szCs w:val="24"/>
        </w:rPr>
        <w:t xml:space="preserve">5. Член 10, </w:t>
      </w:r>
      <w:r w:rsidR="002224C9">
        <w:rPr>
          <w:rFonts w:ascii="Arial Narrow" w:eastAsia="Calibri" w:hAnsi="Arial Narrow" w:cs="Arial"/>
          <w:sz w:val="24"/>
          <w:szCs w:val="24"/>
          <w:lang w:val="bg-BG"/>
        </w:rPr>
        <w:t>точка</w:t>
      </w:r>
      <w:r w:rsidRPr="0021617C">
        <w:rPr>
          <w:rFonts w:ascii="Arial Narrow" w:eastAsia="Calibri" w:hAnsi="Arial Narrow" w:cs="Arial"/>
          <w:sz w:val="24"/>
          <w:szCs w:val="24"/>
        </w:rPr>
        <w:t xml:space="preserve">. 1 от Директивата за ЕРС, определя принципа на членовете на ЕРС да предоставят информация на представителите на работниците или служителите като цяло, с изключение на информацията, посочена в </w:t>
      </w:r>
      <w:r w:rsidR="00C24F93">
        <w:rPr>
          <w:rFonts w:ascii="Arial Narrow" w:eastAsia="Calibri" w:hAnsi="Arial Narrow" w:cs="Arial"/>
          <w:sz w:val="24"/>
          <w:szCs w:val="24"/>
          <w:lang w:val="bg-BG"/>
        </w:rPr>
        <w:t>член</w:t>
      </w:r>
      <w:r w:rsidRPr="0021617C">
        <w:rPr>
          <w:rFonts w:ascii="Arial Narrow" w:eastAsia="Calibri" w:hAnsi="Arial Narrow" w:cs="Arial"/>
          <w:sz w:val="24"/>
          <w:szCs w:val="24"/>
        </w:rPr>
        <w:t xml:space="preserve"> 8 </w:t>
      </w:r>
      <w:r w:rsidR="00C24F93">
        <w:rPr>
          <w:rFonts w:ascii="Arial Narrow" w:eastAsia="Calibri" w:hAnsi="Arial Narrow" w:cs="Arial"/>
          <w:sz w:val="24"/>
          <w:szCs w:val="24"/>
          <w:lang w:val="bg-BG"/>
        </w:rPr>
        <w:t>на Директивата за ЕРС,</w:t>
      </w:r>
      <w:r w:rsidRPr="0021617C">
        <w:rPr>
          <w:rFonts w:ascii="Arial Narrow" w:eastAsia="Calibri" w:hAnsi="Arial Narrow" w:cs="Arial"/>
          <w:sz w:val="24"/>
          <w:szCs w:val="24"/>
        </w:rPr>
        <w:t xml:space="preserve"> т.е. информация, за която е</w:t>
      </w:r>
      <w:r w:rsidR="00C24F93">
        <w:rPr>
          <w:rFonts w:ascii="Arial Narrow" w:eastAsia="Calibri" w:hAnsi="Arial Narrow" w:cs="Arial"/>
          <w:sz w:val="24"/>
          <w:szCs w:val="24"/>
          <w:lang w:val="bg-BG"/>
        </w:rPr>
        <w:t xml:space="preserve"> посочено, че е поверителна.</w:t>
      </w:r>
      <w:r w:rsidRPr="0021617C">
        <w:rPr>
          <w:rFonts w:ascii="Arial Narrow" w:eastAsia="Calibri" w:hAnsi="Arial Narrow" w:cs="Arial"/>
          <w:sz w:val="24"/>
          <w:szCs w:val="24"/>
        </w:rPr>
        <w:t>.</w:t>
      </w:r>
    </w:p>
    <w:p w14:paraId="06AA4A27" w14:textId="77777777" w:rsidR="003268D8" w:rsidRPr="0021617C" w:rsidRDefault="003268D8" w:rsidP="00C24F93">
      <w:pPr>
        <w:spacing w:after="0" w:line="276" w:lineRule="auto"/>
        <w:ind w:left="426" w:firstLine="142"/>
        <w:jc w:val="both"/>
        <w:rPr>
          <w:rFonts w:ascii="Arial Narrow" w:eastAsia="Calibri" w:hAnsi="Arial Narrow" w:cs="Times New Roman"/>
          <w:color w:val="FF0000"/>
          <w:sz w:val="24"/>
          <w:szCs w:val="24"/>
        </w:rPr>
      </w:pPr>
      <w:r w:rsidRPr="0021617C">
        <w:rPr>
          <w:rFonts w:ascii="Arial Narrow" w:eastAsia="Calibri" w:hAnsi="Arial Narrow" w:cs="Arial"/>
          <w:sz w:val="24"/>
          <w:szCs w:val="24"/>
        </w:rPr>
        <w:t xml:space="preserve">6. В случай на промяна в естеството на поверителната конфиденциална информация (информацията е запазена като поверителна, обаче, тя е загубила своята поверителност във </w:t>
      </w:r>
      <w:r w:rsidRPr="0021617C">
        <w:rPr>
          <w:rFonts w:ascii="Arial Narrow" w:eastAsia="Calibri" w:hAnsi="Arial Narrow" w:cs="Arial"/>
          <w:sz w:val="24"/>
          <w:szCs w:val="24"/>
        </w:rPr>
        <w:lastRenderedPageBreak/>
        <w:t>времето, например поради публичността си или е остаряла, а централното управление не е съкратило периода на поверителност), предоставяйки тази информация на структурите като източник на информация, не бива посочете централното управление, но посочете друг източник на информация, например къде информацията трябва да бъде публично оповестена.</w:t>
      </w:r>
    </w:p>
    <w:p w14:paraId="2379CF42" w14:textId="77777777" w:rsidR="002F7BA2" w:rsidRPr="0021617C" w:rsidRDefault="002F7BA2" w:rsidP="00C24F93">
      <w:pPr>
        <w:spacing w:after="0" w:line="276" w:lineRule="auto"/>
        <w:ind w:left="426" w:firstLine="142"/>
        <w:jc w:val="both"/>
        <w:rPr>
          <w:rFonts w:ascii="Arial Narrow" w:eastAsia="Times New Roman" w:hAnsi="Arial Narrow" w:cs="Arial"/>
          <w:sz w:val="24"/>
          <w:szCs w:val="24"/>
          <w:lang w:eastAsia="pl-PL"/>
        </w:rPr>
      </w:pPr>
    </w:p>
    <w:sectPr w:rsidR="002F7BA2" w:rsidRPr="0021617C" w:rsidSect="006F5B82">
      <w:footerReference w:type="default" r:id="rId10"/>
      <w:pgSz w:w="11906" w:h="16838"/>
      <w:pgMar w:top="1417" w:right="141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B8F2A" w14:textId="77777777" w:rsidR="0036138F" w:rsidRDefault="0036138F" w:rsidP="00990430">
      <w:pPr>
        <w:spacing w:after="0" w:line="240" w:lineRule="auto"/>
      </w:pPr>
      <w:r>
        <w:separator/>
      </w:r>
    </w:p>
  </w:endnote>
  <w:endnote w:type="continuationSeparator" w:id="0">
    <w:p w14:paraId="752AD498" w14:textId="77777777" w:rsidR="0036138F" w:rsidRDefault="0036138F" w:rsidP="00990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616283"/>
      <w:docPartObj>
        <w:docPartGallery w:val="Page Numbers (Bottom of Page)"/>
        <w:docPartUnique/>
      </w:docPartObj>
    </w:sdtPr>
    <w:sdtContent>
      <w:p w14:paraId="6F8962A0" w14:textId="77777777" w:rsidR="005C6E65" w:rsidRDefault="005C6E65">
        <w:pPr>
          <w:pStyle w:val="Footer"/>
          <w:jc w:val="right"/>
        </w:pPr>
        <w:r>
          <w:fldChar w:fldCharType="begin"/>
        </w:r>
        <w:r>
          <w:instrText>PAGE   \* MERGEFORMAT</w:instrText>
        </w:r>
        <w:r>
          <w:fldChar w:fldCharType="separate"/>
        </w:r>
        <w:r>
          <w:rPr>
            <w:noProof/>
          </w:rPr>
          <w:t>23</w:t>
        </w:r>
        <w:r>
          <w:fldChar w:fldCharType="end"/>
        </w:r>
      </w:p>
    </w:sdtContent>
  </w:sdt>
  <w:p w14:paraId="04997456" w14:textId="77777777" w:rsidR="005C6E65" w:rsidRDefault="005C6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FFE5C" w14:textId="77777777" w:rsidR="0036138F" w:rsidRDefault="0036138F" w:rsidP="00990430">
      <w:pPr>
        <w:spacing w:after="0" w:line="240" w:lineRule="auto"/>
      </w:pPr>
      <w:r>
        <w:separator/>
      </w:r>
    </w:p>
  </w:footnote>
  <w:footnote w:type="continuationSeparator" w:id="0">
    <w:p w14:paraId="38E29FFE" w14:textId="77777777" w:rsidR="0036138F" w:rsidRDefault="0036138F" w:rsidP="00990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A445E"/>
    <w:multiLevelType w:val="hybridMultilevel"/>
    <w:tmpl w:val="00FE4E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C1329D"/>
    <w:multiLevelType w:val="hybridMultilevel"/>
    <w:tmpl w:val="632600B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8E7D3C"/>
    <w:multiLevelType w:val="hybridMultilevel"/>
    <w:tmpl w:val="51E64908"/>
    <w:lvl w:ilvl="0" w:tplc="096029D8">
      <w:start w:val="1"/>
      <w:numFmt w:val="bullet"/>
      <w:lvlText w:val=""/>
      <w:lvlJc w:val="left"/>
      <w:pPr>
        <w:tabs>
          <w:tab w:val="num" w:pos="720"/>
        </w:tabs>
        <w:ind w:left="720" w:hanging="360"/>
      </w:pPr>
      <w:rPr>
        <w:rFonts w:ascii="Wingdings 3" w:hAnsi="Wingdings 3" w:hint="default"/>
      </w:rPr>
    </w:lvl>
    <w:lvl w:ilvl="1" w:tplc="BC465D42" w:tentative="1">
      <w:start w:val="1"/>
      <w:numFmt w:val="bullet"/>
      <w:lvlText w:val=""/>
      <w:lvlJc w:val="left"/>
      <w:pPr>
        <w:tabs>
          <w:tab w:val="num" w:pos="1440"/>
        </w:tabs>
        <w:ind w:left="1440" w:hanging="360"/>
      </w:pPr>
      <w:rPr>
        <w:rFonts w:ascii="Wingdings 3" w:hAnsi="Wingdings 3" w:hint="default"/>
      </w:rPr>
    </w:lvl>
    <w:lvl w:ilvl="2" w:tplc="22DCA7A4" w:tentative="1">
      <w:start w:val="1"/>
      <w:numFmt w:val="bullet"/>
      <w:lvlText w:val=""/>
      <w:lvlJc w:val="left"/>
      <w:pPr>
        <w:tabs>
          <w:tab w:val="num" w:pos="2160"/>
        </w:tabs>
        <w:ind w:left="2160" w:hanging="360"/>
      </w:pPr>
      <w:rPr>
        <w:rFonts w:ascii="Wingdings 3" w:hAnsi="Wingdings 3" w:hint="default"/>
      </w:rPr>
    </w:lvl>
    <w:lvl w:ilvl="3" w:tplc="E7CE800C" w:tentative="1">
      <w:start w:val="1"/>
      <w:numFmt w:val="bullet"/>
      <w:lvlText w:val=""/>
      <w:lvlJc w:val="left"/>
      <w:pPr>
        <w:tabs>
          <w:tab w:val="num" w:pos="2880"/>
        </w:tabs>
        <w:ind w:left="2880" w:hanging="360"/>
      </w:pPr>
      <w:rPr>
        <w:rFonts w:ascii="Wingdings 3" w:hAnsi="Wingdings 3" w:hint="default"/>
      </w:rPr>
    </w:lvl>
    <w:lvl w:ilvl="4" w:tplc="C2D26550" w:tentative="1">
      <w:start w:val="1"/>
      <w:numFmt w:val="bullet"/>
      <w:lvlText w:val=""/>
      <w:lvlJc w:val="left"/>
      <w:pPr>
        <w:tabs>
          <w:tab w:val="num" w:pos="3600"/>
        </w:tabs>
        <w:ind w:left="3600" w:hanging="360"/>
      </w:pPr>
      <w:rPr>
        <w:rFonts w:ascii="Wingdings 3" w:hAnsi="Wingdings 3" w:hint="default"/>
      </w:rPr>
    </w:lvl>
    <w:lvl w:ilvl="5" w:tplc="09FC4472" w:tentative="1">
      <w:start w:val="1"/>
      <w:numFmt w:val="bullet"/>
      <w:lvlText w:val=""/>
      <w:lvlJc w:val="left"/>
      <w:pPr>
        <w:tabs>
          <w:tab w:val="num" w:pos="4320"/>
        </w:tabs>
        <w:ind w:left="4320" w:hanging="360"/>
      </w:pPr>
      <w:rPr>
        <w:rFonts w:ascii="Wingdings 3" w:hAnsi="Wingdings 3" w:hint="default"/>
      </w:rPr>
    </w:lvl>
    <w:lvl w:ilvl="6" w:tplc="3460D224" w:tentative="1">
      <w:start w:val="1"/>
      <w:numFmt w:val="bullet"/>
      <w:lvlText w:val=""/>
      <w:lvlJc w:val="left"/>
      <w:pPr>
        <w:tabs>
          <w:tab w:val="num" w:pos="5040"/>
        </w:tabs>
        <w:ind w:left="5040" w:hanging="360"/>
      </w:pPr>
      <w:rPr>
        <w:rFonts w:ascii="Wingdings 3" w:hAnsi="Wingdings 3" w:hint="default"/>
      </w:rPr>
    </w:lvl>
    <w:lvl w:ilvl="7" w:tplc="3A8A2F36" w:tentative="1">
      <w:start w:val="1"/>
      <w:numFmt w:val="bullet"/>
      <w:lvlText w:val=""/>
      <w:lvlJc w:val="left"/>
      <w:pPr>
        <w:tabs>
          <w:tab w:val="num" w:pos="5760"/>
        </w:tabs>
        <w:ind w:left="5760" w:hanging="360"/>
      </w:pPr>
      <w:rPr>
        <w:rFonts w:ascii="Wingdings 3" w:hAnsi="Wingdings 3" w:hint="default"/>
      </w:rPr>
    </w:lvl>
    <w:lvl w:ilvl="8" w:tplc="7C0C69B0"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33A9264E"/>
    <w:multiLevelType w:val="hybridMultilevel"/>
    <w:tmpl w:val="B810D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B94B75"/>
    <w:multiLevelType w:val="hybridMultilevel"/>
    <w:tmpl w:val="215AF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7408F2"/>
    <w:multiLevelType w:val="hybridMultilevel"/>
    <w:tmpl w:val="FCBA140E"/>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FA4F5A"/>
    <w:multiLevelType w:val="hybridMultilevel"/>
    <w:tmpl w:val="00C62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E10E92"/>
    <w:multiLevelType w:val="hybridMultilevel"/>
    <w:tmpl w:val="FCBA140E"/>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CE526F1"/>
    <w:multiLevelType w:val="multilevel"/>
    <w:tmpl w:val="2766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197365"/>
    <w:multiLevelType w:val="hybridMultilevel"/>
    <w:tmpl w:val="F7A41068"/>
    <w:lvl w:ilvl="0" w:tplc="BD5E65D4">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4C5A22"/>
    <w:multiLevelType w:val="hybridMultilevel"/>
    <w:tmpl w:val="3A2CF904"/>
    <w:lvl w:ilvl="0" w:tplc="4CA6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7D1490"/>
    <w:multiLevelType w:val="hybridMultilevel"/>
    <w:tmpl w:val="8D964C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9203187"/>
    <w:multiLevelType w:val="hybridMultilevel"/>
    <w:tmpl w:val="A426B3DE"/>
    <w:lvl w:ilvl="0" w:tplc="168AF90E">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7"/>
  </w:num>
  <w:num w:numId="6">
    <w:abstractNumId w:val="11"/>
  </w:num>
  <w:num w:numId="7">
    <w:abstractNumId w:val="9"/>
  </w:num>
  <w:num w:numId="8">
    <w:abstractNumId w:val="8"/>
  </w:num>
  <w:num w:numId="9">
    <w:abstractNumId w:val="8"/>
    <w:lvlOverride w:ilvl="0">
      <w:startOverride w:val="2"/>
    </w:lvlOverride>
  </w:num>
  <w:num w:numId="10">
    <w:abstractNumId w:val="8"/>
    <w:lvlOverride w:ilvl="0">
      <w:startOverride w:val="3"/>
    </w:lvlOverride>
  </w:num>
  <w:num w:numId="11">
    <w:abstractNumId w:val="2"/>
  </w:num>
  <w:num w:numId="12">
    <w:abstractNumId w:val="3"/>
  </w:num>
  <w:num w:numId="13">
    <w:abstractNumId w:val="6"/>
  </w:num>
  <w:num w:numId="14">
    <w:abstractNumId w:val="10"/>
  </w:num>
  <w:num w:numId="15">
    <w:abstractNumId w:val="1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0F9"/>
    <w:rsid w:val="000004FE"/>
    <w:rsid w:val="0000076A"/>
    <w:rsid w:val="00001BD8"/>
    <w:rsid w:val="0000249A"/>
    <w:rsid w:val="000026F6"/>
    <w:rsid w:val="0000313D"/>
    <w:rsid w:val="000039F8"/>
    <w:rsid w:val="00005728"/>
    <w:rsid w:val="00006296"/>
    <w:rsid w:val="00007E30"/>
    <w:rsid w:val="00010A79"/>
    <w:rsid w:val="000115E8"/>
    <w:rsid w:val="00013323"/>
    <w:rsid w:val="00013964"/>
    <w:rsid w:val="0001481D"/>
    <w:rsid w:val="000163E5"/>
    <w:rsid w:val="000175B9"/>
    <w:rsid w:val="00017F46"/>
    <w:rsid w:val="000202F2"/>
    <w:rsid w:val="00020F3A"/>
    <w:rsid w:val="000225AF"/>
    <w:rsid w:val="00023064"/>
    <w:rsid w:val="000230EE"/>
    <w:rsid w:val="00024B79"/>
    <w:rsid w:val="00025398"/>
    <w:rsid w:val="00026994"/>
    <w:rsid w:val="00027117"/>
    <w:rsid w:val="000278C9"/>
    <w:rsid w:val="000307FD"/>
    <w:rsid w:val="00030F48"/>
    <w:rsid w:val="00031172"/>
    <w:rsid w:val="00031393"/>
    <w:rsid w:val="00032087"/>
    <w:rsid w:val="00033097"/>
    <w:rsid w:val="00033F0C"/>
    <w:rsid w:val="0003499D"/>
    <w:rsid w:val="000356FC"/>
    <w:rsid w:val="000363EE"/>
    <w:rsid w:val="00036EA3"/>
    <w:rsid w:val="0003734A"/>
    <w:rsid w:val="00041135"/>
    <w:rsid w:val="0004282A"/>
    <w:rsid w:val="000431CE"/>
    <w:rsid w:val="00046289"/>
    <w:rsid w:val="000478F2"/>
    <w:rsid w:val="00050EBE"/>
    <w:rsid w:val="00050EEB"/>
    <w:rsid w:val="000528FB"/>
    <w:rsid w:val="00052A73"/>
    <w:rsid w:val="00052E58"/>
    <w:rsid w:val="00053418"/>
    <w:rsid w:val="00054065"/>
    <w:rsid w:val="000559A2"/>
    <w:rsid w:val="000571DE"/>
    <w:rsid w:val="000600DF"/>
    <w:rsid w:val="0006202D"/>
    <w:rsid w:val="00062793"/>
    <w:rsid w:val="0006285C"/>
    <w:rsid w:val="00062B5E"/>
    <w:rsid w:val="00062BC7"/>
    <w:rsid w:val="0006356D"/>
    <w:rsid w:val="00063835"/>
    <w:rsid w:val="00064850"/>
    <w:rsid w:val="000666F6"/>
    <w:rsid w:val="00067459"/>
    <w:rsid w:val="000705B8"/>
    <w:rsid w:val="000711A5"/>
    <w:rsid w:val="000725E7"/>
    <w:rsid w:val="000728B0"/>
    <w:rsid w:val="00072938"/>
    <w:rsid w:val="000732F6"/>
    <w:rsid w:val="00073416"/>
    <w:rsid w:val="0007441B"/>
    <w:rsid w:val="00074459"/>
    <w:rsid w:val="00074781"/>
    <w:rsid w:val="00074C09"/>
    <w:rsid w:val="0007667D"/>
    <w:rsid w:val="000768A0"/>
    <w:rsid w:val="00077371"/>
    <w:rsid w:val="000775EE"/>
    <w:rsid w:val="00080D14"/>
    <w:rsid w:val="00081A3A"/>
    <w:rsid w:val="00082043"/>
    <w:rsid w:val="00082862"/>
    <w:rsid w:val="000828C5"/>
    <w:rsid w:val="000829B2"/>
    <w:rsid w:val="00083727"/>
    <w:rsid w:val="000848ED"/>
    <w:rsid w:val="0008568B"/>
    <w:rsid w:val="00085DD0"/>
    <w:rsid w:val="0008655D"/>
    <w:rsid w:val="00087328"/>
    <w:rsid w:val="00087C26"/>
    <w:rsid w:val="00090E96"/>
    <w:rsid w:val="00092155"/>
    <w:rsid w:val="000928CB"/>
    <w:rsid w:val="000941CD"/>
    <w:rsid w:val="000943C6"/>
    <w:rsid w:val="00094497"/>
    <w:rsid w:val="0009627E"/>
    <w:rsid w:val="0009785B"/>
    <w:rsid w:val="0009794F"/>
    <w:rsid w:val="0009799D"/>
    <w:rsid w:val="00097A6B"/>
    <w:rsid w:val="000A01E6"/>
    <w:rsid w:val="000A01F1"/>
    <w:rsid w:val="000A02A0"/>
    <w:rsid w:val="000A06BF"/>
    <w:rsid w:val="000A113D"/>
    <w:rsid w:val="000A136E"/>
    <w:rsid w:val="000A1459"/>
    <w:rsid w:val="000A2AAF"/>
    <w:rsid w:val="000A2EE4"/>
    <w:rsid w:val="000A31F4"/>
    <w:rsid w:val="000A3A63"/>
    <w:rsid w:val="000A41D2"/>
    <w:rsid w:val="000A4944"/>
    <w:rsid w:val="000A5109"/>
    <w:rsid w:val="000A5170"/>
    <w:rsid w:val="000A55D0"/>
    <w:rsid w:val="000A579E"/>
    <w:rsid w:val="000A6050"/>
    <w:rsid w:val="000A60A1"/>
    <w:rsid w:val="000A6625"/>
    <w:rsid w:val="000A69FF"/>
    <w:rsid w:val="000A6B10"/>
    <w:rsid w:val="000A6D7E"/>
    <w:rsid w:val="000B0C66"/>
    <w:rsid w:val="000B0F14"/>
    <w:rsid w:val="000B17E3"/>
    <w:rsid w:val="000B1D0B"/>
    <w:rsid w:val="000B2501"/>
    <w:rsid w:val="000B2C60"/>
    <w:rsid w:val="000B30C6"/>
    <w:rsid w:val="000B4478"/>
    <w:rsid w:val="000B4FB1"/>
    <w:rsid w:val="000B5492"/>
    <w:rsid w:val="000B5ADA"/>
    <w:rsid w:val="000C2FEF"/>
    <w:rsid w:val="000C4104"/>
    <w:rsid w:val="000C412C"/>
    <w:rsid w:val="000C5D2C"/>
    <w:rsid w:val="000C7C22"/>
    <w:rsid w:val="000C7CC0"/>
    <w:rsid w:val="000D0D44"/>
    <w:rsid w:val="000D0D9D"/>
    <w:rsid w:val="000D13D7"/>
    <w:rsid w:val="000D1DA1"/>
    <w:rsid w:val="000D26A0"/>
    <w:rsid w:val="000D3F1E"/>
    <w:rsid w:val="000D403F"/>
    <w:rsid w:val="000D424F"/>
    <w:rsid w:val="000D4877"/>
    <w:rsid w:val="000D58A3"/>
    <w:rsid w:val="000D62E8"/>
    <w:rsid w:val="000D6E05"/>
    <w:rsid w:val="000D6F64"/>
    <w:rsid w:val="000D7BEF"/>
    <w:rsid w:val="000D7EA1"/>
    <w:rsid w:val="000E0479"/>
    <w:rsid w:val="000E20F2"/>
    <w:rsid w:val="000E2102"/>
    <w:rsid w:val="000E24CB"/>
    <w:rsid w:val="000E3377"/>
    <w:rsid w:val="000E34BF"/>
    <w:rsid w:val="000E3EFC"/>
    <w:rsid w:val="000E56C2"/>
    <w:rsid w:val="000E61E6"/>
    <w:rsid w:val="000E6DAD"/>
    <w:rsid w:val="000F017A"/>
    <w:rsid w:val="000F04CC"/>
    <w:rsid w:val="000F1DDD"/>
    <w:rsid w:val="000F3544"/>
    <w:rsid w:val="000F3B66"/>
    <w:rsid w:val="000F4082"/>
    <w:rsid w:val="000F5238"/>
    <w:rsid w:val="000F6AE5"/>
    <w:rsid w:val="00100300"/>
    <w:rsid w:val="00101B73"/>
    <w:rsid w:val="00101D7E"/>
    <w:rsid w:val="00104961"/>
    <w:rsid w:val="00104CE2"/>
    <w:rsid w:val="00104ECF"/>
    <w:rsid w:val="00105943"/>
    <w:rsid w:val="00107248"/>
    <w:rsid w:val="00111F28"/>
    <w:rsid w:val="00112624"/>
    <w:rsid w:val="001138CF"/>
    <w:rsid w:val="00114A14"/>
    <w:rsid w:val="0011568B"/>
    <w:rsid w:val="001159C5"/>
    <w:rsid w:val="00115C90"/>
    <w:rsid w:val="0011763F"/>
    <w:rsid w:val="00117F47"/>
    <w:rsid w:val="0012014A"/>
    <w:rsid w:val="0012094B"/>
    <w:rsid w:val="00120CDB"/>
    <w:rsid w:val="0012216D"/>
    <w:rsid w:val="001248EA"/>
    <w:rsid w:val="001254DD"/>
    <w:rsid w:val="001266A9"/>
    <w:rsid w:val="00126C5F"/>
    <w:rsid w:val="00130214"/>
    <w:rsid w:val="00131331"/>
    <w:rsid w:val="0013194D"/>
    <w:rsid w:val="00132E2F"/>
    <w:rsid w:val="0013402F"/>
    <w:rsid w:val="00134A48"/>
    <w:rsid w:val="00136194"/>
    <w:rsid w:val="001361AF"/>
    <w:rsid w:val="001362BA"/>
    <w:rsid w:val="001366B7"/>
    <w:rsid w:val="001368DC"/>
    <w:rsid w:val="00136C8B"/>
    <w:rsid w:val="0013706C"/>
    <w:rsid w:val="001372AD"/>
    <w:rsid w:val="001400F9"/>
    <w:rsid w:val="00141A38"/>
    <w:rsid w:val="00142121"/>
    <w:rsid w:val="001434F2"/>
    <w:rsid w:val="00143602"/>
    <w:rsid w:val="00143B44"/>
    <w:rsid w:val="00143CEE"/>
    <w:rsid w:val="001447A2"/>
    <w:rsid w:val="00144A67"/>
    <w:rsid w:val="001457FC"/>
    <w:rsid w:val="0014790C"/>
    <w:rsid w:val="00147A4E"/>
    <w:rsid w:val="001501D9"/>
    <w:rsid w:val="00150B99"/>
    <w:rsid w:val="00151AE3"/>
    <w:rsid w:val="00151E74"/>
    <w:rsid w:val="00152CCB"/>
    <w:rsid w:val="00153054"/>
    <w:rsid w:val="00153506"/>
    <w:rsid w:val="00153614"/>
    <w:rsid w:val="00156171"/>
    <w:rsid w:val="001569B3"/>
    <w:rsid w:val="00156C11"/>
    <w:rsid w:val="00156F68"/>
    <w:rsid w:val="00157838"/>
    <w:rsid w:val="00162025"/>
    <w:rsid w:val="00162894"/>
    <w:rsid w:val="00162AA6"/>
    <w:rsid w:val="00162B29"/>
    <w:rsid w:val="00162FB1"/>
    <w:rsid w:val="00163323"/>
    <w:rsid w:val="001637D2"/>
    <w:rsid w:val="00165280"/>
    <w:rsid w:val="00166250"/>
    <w:rsid w:val="00166E58"/>
    <w:rsid w:val="001671E3"/>
    <w:rsid w:val="0017176D"/>
    <w:rsid w:val="00171E6C"/>
    <w:rsid w:val="00171F26"/>
    <w:rsid w:val="001725FC"/>
    <w:rsid w:val="0017332F"/>
    <w:rsid w:val="001756CD"/>
    <w:rsid w:val="00176050"/>
    <w:rsid w:val="00176A0B"/>
    <w:rsid w:val="00176A33"/>
    <w:rsid w:val="00177C57"/>
    <w:rsid w:val="001800D3"/>
    <w:rsid w:val="00182F86"/>
    <w:rsid w:val="0018395F"/>
    <w:rsid w:val="00183B09"/>
    <w:rsid w:val="00183FC7"/>
    <w:rsid w:val="00184601"/>
    <w:rsid w:val="00186220"/>
    <w:rsid w:val="001864C7"/>
    <w:rsid w:val="001865BA"/>
    <w:rsid w:val="00186896"/>
    <w:rsid w:val="00186D83"/>
    <w:rsid w:val="0019030C"/>
    <w:rsid w:val="00190BDF"/>
    <w:rsid w:val="00190D86"/>
    <w:rsid w:val="0019159B"/>
    <w:rsid w:val="001918C6"/>
    <w:rsid w:val="00193277"/>
    <w:rsid w:val="0019330B"/>
    <w:rsid w:val="0019334D"/>
    <w:rsid w:val="00193D0C"/>
    <w:rsid w:val="00194AAC"/>
    <w:rsid w:val="00194DAD"/>
    <w:rsid w:val="00195351"/>
    <w:rsid w:val="00195797"/>
    <w:rsid w:val="001A0E89"/>
    <w:rsid w:val="001A0F99"/>
    <w:rsid w:val="001A1C2C"/>
    <w:rsid w:val="001A2BC5"/>
    <w:rsid w:val="001A2D70"/>
    <w:rsid w:val="001A3A6F"/>
    <w:rsid w:val="001A3D5A"/>
    <w:rsid w:val="001A535A"/>
    <w:rsid w:val="001A55CF"/>
    <w:rsid w:val="001A5BA8"/>
    <w:rsid w:val="001A6D1B"/>
    <w:rsid w:val="001B035A"/>
    <w:rsid w:val="001B1066"/>
    <w:rsid w:val="001B1CBD"/>
    <w:rsid w:val="001B21FE"/>
    <w:rsid w:val="001B2658"/>
    <w:rsid w:val="001B2700"/>
    <w:rsid w:val="001B3220"/>
    <w:rsid w:val="001B35F7"/>
    <w:rsid w:val="001B3C0D"/>
    <w:rsid w:val="001B54A1"/>
    <w:rsid w:val="001B73B9"/>
    <w:rsid w:val="001C1069"/>
    <w:rsid w:val="001C1821"/>
    <w:rsid w:val="001C1C57"/>
    <w:rsid w:val="001C37B6"/>
    <w:rsid w:val="001C456E"/>
    <w:rsid w:val="001C4847"/>
    <w:rsid w:val="001C4C2D"/>
    <w:rsid w:val="001C5222"/>
    <w:rsid w:val="001C5B86"/>
    <w:rsid w:val="001C7AFC"/>
    <w:rsid w:val="001D036D"/>
    <w:rsid w:val="001D1D79"/>
    <w:rsid w:val="001D3001"/>
    <w:rsid w:val="001D41C4"/>
    <w:rsid w:val="001D505D"/>
    <w:rsid w:val="001D59B8"/>
    <w:rsid w:val="001D6E44"/>
    <w:rsid w:val="001E07DD"/>
    <w:rsid w:val="001E0AB7"/>
    <w:rsid w:val="001E0C8C"/>
    <w:rsid w:val="001E2B5F"/>
    <w:rsid w:val="001E3635"/>
    <w:rsid w:val="001E573E"/>
    <w:rsid w:val="001E6728"/>
    <w:rsid w:val="001E7A9D"/>
    <w:rsid w:val="001E7BB5"/>
    <w:rsid w:val="001F14CC"/>
    <w:rsid w:val="001F1995"/>
    <w:rsid w:val="001F2472"/>
    <w:rsid w:val="001F32B4"/>
    <w:rsid w:val="001F3742"/>
    <w:rsid w:val="001F496A"/>
    <w:rsid w:val="001F4C44"/>
    <w:rsid w:val="001F5206"/>
    <w:rsid w:val="001F544F"/>
    <w:rsid w:val="001F55D2"/>
    <w:rsid w:val="001F5B10"/>
    <w:rsid w:val="001F611E"/>
    <w:rsid w:val="001F678B"/>
    <w:rsid w:val="001F7512"/>
    <w:rsid w:val="001F7B88"/>
    <w:rsid w:val="0020022A"/>
    <w:rsid w:val="0020135A"/>
    <w:rsid w:val="0020136B"/>
    <w:rsid w:val="0020189C"/>
    <w:rsid w:val="0020236C"/>
    <w:rsid w:val="00202EAF"/>
    <w:rsid w:val="002043CB"/>
    <w:rsid w:val="002046B5"/>
    <w:rsid w:val="00206A54"/>
    <w:rsid w:val="00210297"/>
    <w:rsid w:val="00211E48"/>
    <w:rsid w:val="0021267E"/>
    <w:rsid w:val="00214407"/>
    <w:rsid w:val="002156AB"/>
    <w:rsid w:val="0021617C"/>
    <w:rsid w:val="002171CC"/>
    <w:rsid w:val="00217524"/>
    <w:rsid w:val="00217F7F"/>
    <w:rsid w:val="00221356"/>
    <w:rsid w:val="002224C9"/>
    <w:rsid w:val="00222A43"/>
    <w:rsid w:val="00222DA0"/>
    <w:rsid w:val="00223D1E"/>
    <w:rsid w:val="00223F72"/>
    <w:rsid w:val="00224761"/>
    <w:rsid w:val="00224A02"/>
    <w:rsid w:val="00224D6E"/>
    <w:rsid w:val="002301E8"/>
    <w:rsid w:val="00231733"/>
    <w:rsid w:val="00233CE3"/>
    <w:rsid w:val="002366FA"/>
    <w:rsid w:val="0023712B"/>
    <w:rsid w:val="002400E0"/>
    <w:rsid w:val="0024044F"/>
    <w:rsid w:val="002405CA"/>
    <w:rsid w:val="002408F6"/>
    <w:rsid w:val="00240EC2"/>
    <w:rsid w:val="0024335F"/>
    <w:rsid w:val="002436D1"/>
    <w:rsid w:val="00243CEA"/>
    <w:rsid w:val="0024525F"/>
    <w:rsid w:val="00245A31"/>
    <w:rsid w:val="00245C06"/>
    <w:rsid w:val="00246019"/>
    <w:rsid w:val="00247150"/>
    <w:rsid w:val="002476AB"/>
    <w:rsid w:val="00250F9D"/>
    <w:rsid w:val="002516D2"/>
    <w:rsid w:val="00251B50"/>
    <w:rsid w:val="002524BD"/>
    <w:rsid w:val="00252633"/>
    <w:rsid w:val="002530DA"/>
    <w:rsid w:val="002544F3"/>
    <w:rsid w:val="002549DA"/>
    <w:rsid w:val="002559BC"/>
    <w:rsid w:val="00255FA3"/>
    <w:rsid w:val="00260018"/>
    <w:rsid w:val="0026058A"/>
    <w:rsid w:val="00260D76"/>
    <w:rsid w:val="00261858"/>
    <w:rsid w:val="00263087"/>
    <w:rsid w:val="00263D66"/>
    <w:rsid w:val="00264218"/>
    <w:rsid w:val="002752CE"/>
    <w:rsid w:val="002758E2"/>
    <w:rsid w:val="002767B9"/>
    <w:rsid w:val="002774BF"/>
    <w:rsid w:val="002774CF"/>
    <w:rsid w:val="002807C0"/>
    <w:rsid w:val="00281D00"/>
    <w:rsid w:val="0028262F"/>
    <w:rsid w:val="00284534"/>
    <w:rsid w:val="00284834"/>
    <w:rsid w:val="0028483E"/>
    <w:rsid w:val="002848DE"/>
    <w:rsid w:val="00284B55"/>
    <w:rsid w:val="002855BA"/>
    <w:rsid w:val="00286320"/>
    <w:rsid w:val="00287014"/>
    <w:rsid w:val="002879C5"/>
    <w:rsid w:val="0029020D"/>
    <w:rsid w:val="00290BCA"/>
    <w:rsid w:val="00291720"/>
    <w:rsid w:val="0029211C"/>
    <w:rsid w:val="00292E3E"/>
    <w:rsid w:val="00295497"/>
    <w:rsid w:val="002958C4"/>
    <w:rsid w:val="00295960"/>
    <w:rsid w:val="00295AD4"/>
    <w:rsid w:val="00297532"/>
    <w:rsid w:val="002A1192"/>
    <w:rsid w:val="002A177D"/>
    <w:rsid w:val="002A1957"/>
    <w:rsid w:val="002A2009"/>
    <w:rsid w:val="002A326B"/>
    <w:rsid w:val="002A3502"/>
    <w:rsid w:val="002A43E6"/>
    <w:rsid w:val="002A4B78"/>
    <w:rsid w:val="002A52B9"/>
    <w:rsid w:val="002A60FA"/>
    <w:rsid w:val="002A6946"/>
    <w:rsid w:val="002A7ABD"/>
    <w:rsid w:val="002B06DE"/>
    <w:rsid w:val="002B0DFE"/>
    <w:rsid w:val="002B2C8E"/>
    <w:rsid w:val="002B359A"/>
    <w:rsid w:val="002B399C"/>
    <w:rsid w:val="002B51BB"/>
    <w:rsid w:val="002B62C9"/>
    <w:rsid w:val="002B66EB"/>
    <w:rsid w:val="002B69B6"/>
    <w:rsid w:val="002B6FCD"/>
    <w:rsid w:val="002B7118"/>
    <w:rsid w:val="002B74A2"/>
    <w:rsid w:val="002B7DC0"/>
    <w:rsid w:val="002C124E"/>
    <w:rsid w:val="002C1A84"/>
    <w:rsid w:val="002C3F88"/>
    <w:rsid w:val="002C51D2"/>
    <w:rsid w:val="002C6410"/>
    <w:rsid w:val="002C650B"/>
    <w:rsid w:val="002C653A"/>
    <w:rsid w:val="002C73CD"/>
    <w:rsid w:val="002C7971"/>
    <w:rsid w:val="002C7EF0"/>
    <w:rsid w:val="002D05D8"/>
    <w:rsid w:val="002D21DC"/>
    <w:rsid w:val="002D27FE"/>
    <w:rsid w:val="002D2A7A"/>
    <w:rsid w:val="002D3C3B"/>
    <w:rsid w:val="002D47BE"/>
    <w:rsid w:val="002D67B3"/>
    <w:rsid w:val="002D686D"/>
    <w:rsid w:val="002D6AF8"/>
    <w:rsid w:val="002E0199"/>
    <w:rsid w:val="002E024B"/>
    <w:rsid w:val="002E0C45"/>
    <w:rsid w:val="002E1E7A"/>
    <w:rsid w:val="002E23FB"/>
    <w:rsid w:val="002E3394"/>
    <w:rsid w:val="002E3740"/>
    <w:rsid w:val="002E42EF"/>
    <w:rsid w:val="002E4AC7"/>
    <w:rsid w:val="002E5004"/>
    <w:rsid w:val="002E5604"/>
    <w:rsid w:val="002E57EC"/>
    <w:rsid w:val="002E6129"/>
    <w:rsid w:val="002F10CC"/>
    <w:rsid w:val="002F1312"/>
    <w:rsid w:val="002F136C"/>
    <w:rsid w:val="002F1D95"/>
    <w:rsid w:val="002F20E5"/>
    <w:rsid w:val="002F2256"/>
    <w:rsid w:val="002F30E1"/>
    <w:rsid w:val="002F4D26"/>
    <w:rsid w:val="002F5366"/>
    <w:rsid w:val="002F7BA2"/>
    <w:rsid w:val="003019EC"/>
    <w:rsid w:val="00302417"/>
    <w:rsid w:val="00302634"/>
    <w:rsid w:val="003029EE"/>
    <w:rsid w:val="003031B6"/>
    <w:rsid w:val="00303FCD"/>
    <w:rsid w:val="003050B4"/>
    <w:rsid w:val="0030537C"/>
    <w:rsid w:val="00305B77"/>
    <w:rsid w:val="003109DF"/>
    <w:rsid w:val="003116E7"/>
    <w:rsid w:val="00311BD6"/>
    <w:rsid w:val="00311ED7"/>
    <w:rsid w:val="003121AA"/>
    <w:rsid w:val="003122A2"/>
    <w:rsid w:val="003140C1"/>
    <w:rsid w:val="003151DE"/>
    <w:rsid w:val="003163FC"/>
    <w:rsid w:val="00316660"/>
    <w:rsid w:val="0031745B"/>
    <w:rsid w:val="00317C64"/>
    <w:rsid w:val="0032050A"/>
    <w:rsid w:val="003222C0"/>
    <w:rsid w:val="00322824"/>
    <w:rsid w:val="00322B9C"/>
    <w:rsid w:val="0032310E"/>
    <w:rsid w:val="003231DB"/>
    <w:rsid w:val="00324123"/>
    <w:rsid w:val="00324742"/>
    <w:rsid w:val="00324758"/>
    <w:rsid w:val="003260F9"/>
    <w:rsid w:val="003263FB"/>
    <w:rsid w:val="00326637"/>
    <w:rsid w:val="003268D8"/>
    <w:rsid w:val="00326D97"/>
    <w:rsid w:val="00330667"/>
    <w:rsid w:val="0033108D"/>
    <w:rsid w:val="00331FF6"/>
    <w:rsid w:val="00333BC0"/>
    <w:rsid w:val="0033644C"/>
    <w:rsid w:val="00336EAF"/>
    <w:rsid w:val="00337022"/>
    <w:rsid w:val="003437DE"/>
    <w:rsid w:val="00344234"/>
    <w:rsid w:val="00344D99"/>
    <w:rsid w:val="00346249"/>
    <w:rsid w:val="003466A6"/>
    <w:rsid w:val="00346844"/>
    <w:rsid w:val="00346ED8"/>
    <w:rsid w:val="00351000"/>
    <w:rsid w:val="003535DE"/>
    <w:rsid w:val="00353B12"/>
    <w:rsid w:val="00354198"/>
    <w:rsid w:val="0035474D"/>
    <w:rsid w:val="003552B4"/>
    <w:rsid w:val="00356A07"/>
    <w:rsid w:val="00356E2C"/>
    <w:rsid w:val="00357BAF"/>
    <w:rsid w:val="00360F96"/>
    <w:rsid w:val="0036138F"/>
    <w:rsid w:val="00361A04"/>
    <w:rsid w:val="003628D2"/>
    <w:rsid w:val="00363775"/>
    <w:rsid w:val="00363FC5"/>
    <w:rsid w:val="0036415B"/>
    <w:rsid w:val="0036483F"/>
    <w:rsid w:val="00364F8A"/>
    <w:rsid w:val="00365688"/>
    <w:rsid w:val="00366072"/>
    <w:rsid w:val="00366B70"/>
    <w:rsid w:val="00367B4F"/>
    <w:rsid w:val="00371C5F"/>
    <w:rsid w:val="00372018"/>
    <w:rsid w:val="00373946"/>
    <w:rsid w:val="00373EA5"/>
    <w:rsid w:val="00376358"/>
    <w:rsid w:val="00380430"/>
    <w:rsid w:val="00380EB3"/>
    <w:rsid w:val="00381A5E"/>
    <w:rsid w:val="00382F3E"/>
    <w:rsid w:val="00383557"/>
    <w:rsid w:val="00383D6D"/>
    <w:rsid w:val="00384B27"/>
    <w:rsid w:val="00390279"/>
    <w:rsid w:val="00390943"/>
    <w:rsid w:val="00390AB8"/>
    <w:rsid w:val="00391A56"/>
    <w:rsid w:val="003925A5"/>
    <w:rsid w:val="00392F9A"/>
    <w:rsid w:val="00394F68"/>
    <w:rsid w:val="00395E01"/>
    <w:rsid w:val="00396202"/>
    <w:rsid w:val="00396773"/>
    <w:rsid w:val="00397AFA"/>
    <w:rsid w:val="003A0979"/>
    <w:rsid w:val="003A1654"/>
    <w:rsid w:val="003A3B68"/>
    <w:rsid w:val="003A3D09"/>
    <w:rsid w:val="003A42C3"/>
    <w:rsid w:val="003A490F"/>
    <w:rsid w:val="003A5DD8"/>
    <w:rsid w:val="003A5E2C"/>
    <w:rsid w:val="003A6256"/>
    <w:rsid w:val="003A699D"/>
    <w:rsid w:val="003A7242"/>
    <w:rsid w:val="003B04AD"/>
    <w:rsid w:val="003B07A3"/>
    <w:rsid w:val="003B1293"/>
    <w:rsid w:val="003B14A7"/>
    <w:rsid w:val="003B2038"/>
    <w:rsid w:val="003B270B"/>
    <w:rsid w:val="003B3431"/>
    <w:rsid w:val="003B34E8"/>
    <w:rsid w:val="003B3741"/>
    <w:rsid w:val="003B5058"/>
    <w:rsid w:val="003B5BB8"/>
    <w:rsid w:val="003B634F"/>
    <w:rsid w:val="003B7ECE"/>
    <w:rsid w:val="003C0024"/>
    <w:rsid w:val="003C0FAE"/>
    <w:rsid w:val="003C24ED"/>
    <w:rsid w:val="003C2C49"/>
    <w:rsid w:val="003C308D"/>
    <w:rsid w:val="003C3569"/>
    <w:rsid w:val="003C54C7"/>
    <w:rsid w:val="003C55F3"/>
    <w:rsid w:val="003C5AAD"/>
    <w:rsid w:val="003C680E"/>
    <w:rsid w:val="003C6A3A"/>
    <w:rsid w:val="003D044A"/>
    <w:rsid w:val="003D171C"/>
    <w:rsid w:val="003D1842"/>
    <w:rsid w:val="003D35EC"/>
    <w:rsid w:val="003D36D7"/>
    <w:rsid w:val="003D371C"/>
    <w:rsid w:val="003D3A56"/>
    <w:rsid w:val="003D4B86"/>
    <w:rsid w:val="003D4BF5"/>
    <w:rsid w:val="003D6167"/>
    <w:rsid w:val="003D737B"/>
    <w:rsid w:val="003E0357"/>
    <w:rsid w:val="003E0361"/>
    <w:rsid w:val="003E139D"/>
    <w:rsid w:val="003E1C87"/>
    <w:rsid w:val="003E287D"/>
    <w:rsid w:val="003E363A"/>
    <w:rsid w:val="003E3A06"/>
    <w:rsid w:val="003E40B0"/>
    <w:rsid w:val="003E7BBA"/>
    <w:rsid w:val="003F1DFF"/>
    <w:rsid w:val="003F3C1E"/>
    <w:rsid w:val="003F3FC9"/>
    <w:rsid w:val="003F4AE4"/>
    <w:rsid w:val="003F50D5"/>
    <w:rsid w:val="003F64F8"/>
    <w:rsid w:val="003F75EC"/>
    <w:rsid w:val="0040030F"/>
    <w:rsid w:val="004005F8"/>
    <w:rsid w:val="004009C2"/>
    <w:rsid w:val="00401077"/>
    <w:rsid w:val="00402A9B"/>
    <w:rsid w:val="00403604"/>
    <w:rsid w:val="0040393F"/>
    <w:rsid w:val="00403B35"/>
    <w:rsid w:val="00403CE5"/>
    <w:rsid w:val="00403E10"/>
    <w:rsid w:val="00403F26"/>
    <w:rsid w:val="00405A20"/>
    <w:rsid w:val="00405CFB"/>
    <w:rsid w:val="00405E59"/>
    <w:rsid w:val="00405EFF"/>
    <w:rsid w:val="0040613B"/>
    <w:rsid w:val="004061C7"/>
    <w:rsid w:val="00406DAE"/>
    <w:rsid w:val="00407443"/>
    <w:rsid w:val="00407FB5"/>
    <w:rsid w:val="00410378"/>
    <w:rsid w:val="004117C7"/>
    <w:rsid w:val="00412325"/>
    <w:rsid w:val="0041258F"/>
    <w:rsid w:val="00412EA7"/>
    <w:rsid w:val="00413896"/>
    <w:rsid w:val="00413A7E"/>
    <w:rsid w:val="00414370"/>
    <w:rsid w:val="00414462"/>
    <w:rsid w:val="004178EA"/>
    <w:rsid w:val="00417B5F"/>
    <w:rsid w:val="0042329F"/>
    <w:rsid w:val="004273B2"/>
    <w:rsid w:val="0042781F"/>
    <w:rsid w:val="0043126D"/>
    <w:rsid w:val="00431CC9"/>
    <w:rsid w:val="00432AFE"/>
    <w:rsid w:val="0043333B"/>
    <w:rsid w:val="00433780"/>
    <w:rsid w:val="0043435C"/>
    <w:rsid w:val="004345E3"/>
    <w:rsid w:val="004345F0"/>
    <w:rsid w:val="00434A74"/>
    <w:rsid w:val="0043533F"/>
    <w:rsid w:val="00435B2F"/>
    <w:rsid w:val="00435B80"/>
    <w:rsid w:val="004364E2"/>
    <w:rsid w:val="004404E7"/>
    <w:rsid w:val="0044113D"/>
    <w:rsid w:val="00441F5D"/>
    <w:rsid w:val="00442158"/>
    <w:rsid w:val="00442CF0"/>
    <w:rsid w:val="00442F62"/>
    <w:rsid w:val="00443DA4"/>
    <w:rsid w:val="00444A85"/>
    <w:rsid w:val="00445304"/>
    <w:rsid w:val="0044581D"/>
    <w:rsid w:val="00446183"/>
    <w:rsid w:val="00447714"/>
    <w:rsid w:val="004477B1"/>
    <w:rsid w:val="00447BCC"/>
    <w:rsid w:val="00447F0F"/>
    <w:rsid w:val="00451F99"/>
    <w:rsid w:val="0045211E"/>
    <w:rsid w:val="00452F8C"/>
    <w:rsid w:val="004540B4"/>
    <w:rsid w:val="00454C72"/>
    <w:rsid w:val="00456E74"/>
    <w:rsid w:val="004574E0"/>
    <w:rsid w:val="0045752E"/>
    <w:rsid w:val="00457B33"/>
    <w:rsid w:val="00457CBD"/>
    <w:rsid w:val="004602E3"/>
    <w:rsid w:val="00460D6F"/>
    <w:rsid w:val="00461135"/>
    <w:rsid w:val="00463858"/>
    <w:rsid w:val="00463D4D"/>
    <w:rsid w:val="00464344"/>
    <w:rsid w:val="00465511"/>
    <w:rsid w:val="00467DD0"/>
    <w:rsid w:val="0047052A"/>
    <w:rsid w:val="004714DE"/>
    <w:rsid w:val="0047151E"/>
    <w:rsid w:val="004728F9"/>
    <w:rsid w:val="00473855"/>
    <w:rsid w:val="004738E0"/>
    <w:rsid w:val="00474D17"/>
    <w:rsid w:val="00475F0D"/>
    <w:rsid w:val="00476613"/>
    <w:rsid w:val="00476962"/>
    <w:rsid w:val="004773A3"/>
    <w:rsid w:val="004777E5"/>
    <w:rsid w:val="004801C9"/>
    <w:rsid w:val="004808B7"/>
    <w:rsid w:val="0048283E"/>
    <w:rsid w:val="004838AD"/>
    <w:rsid w:val="00484A27"/>
    <w:rsid w:val="00485916"/>
    <w:rsid w:val="0048671B"/>
    <w:rsid w:val="00486B36"/>
    <w:rsid w:val="00487324"/>
    <w:rsid w:val="00491880"/>
    <w:rsid w:val="00491930"/>
    <w:rsid w:val="00491A65"/>
    <w:rsid w:val="00492F03"/>
    <w:rsid w:val="004934CA"/>
    <w:rsid w:val="0049442D"/>
    <w:rsid w:val="00496A0D"/>
    <w:rsid w:val="00496CC4"/>
    <w:rsid w:val="0049714A"/>
    <w:rsid w:val="00497277"/>
    <w:rsid w:val="0049744D"/>
    <w:rsid w:val="00497E75"/>
    <w:rsid w:val="004A05BB"/>
    <w:rsid w:val="004A150A"/>
    <w:rsid w:val="004A17A3"/>
    <w:rsid w:val="004A1BC8"/>
    <w:rsid w:val="004A4F4F"/>
    <w:rsid w:val="004A609C"/>
    <w:rsid w:val="004A63FF"/>
    <w:rsid w:val="004A7B7E"/>
    <w:rsid w:val="004A7E5B"/>
    <w:rsid w:val="004A7ED7"/>
    <w:rsid w:val="004B08A4"/>
    <w:rsid w:val="004B17B4"/>
    <w:rsid w:val="004B245C"/>
    <w:rsid w:val="004B2932"/>
    <w:rsid w:val="004B3846"/>
    <w:rsid w:val="004B42A3"/>
    <w:rsid w:val="004B512E"/>
    <w:rsid w:val="004B581D"/>
    <w:rsid w:val="004B59A6"/>
    <w:rsid w:val="004B5E52"/>
    <w:rsid w:val="004B5FC7"/>
    <w:rsid w:val="004B662B"/>
    <w:rsid w:val="004B6DEF"/>
    <w:rsid w:val="004B7565"/>
    <w:rsid w:val="004B7CEF"/>
    <w:rsid w:val="004C04B4"/>
    <w:rsid w:val="004C13CC"/>
    <w:rsid w:val="004C1EDA"/>
    <w:rsid w:val="004C216F"/>
    <w:rsid w:val="004C2F77"/>
    <w:rsid w:val="004C636D"/>
    <w:rsid w:val="004D0482"/>
    <w:rsid w:val="004D0497"/>
    <w:rsid w:val="004D1530"/>
    <w:rsid w:val="004D28DE"/>
    <w:rsid w:val="004D3244"/>
    <w:rsid w:val="004D43A1"/>
    <w:rsid w:val="004D4C4D"/>
    <w:rsid w:val="004D5518"/>
    <w:rsid w:val="004D5D58"/>
    <w:rsid w:val="004D5DF4"/>
    <w:rsid w:val="004D5F34"/>
    <w:rsid w:val="004D6025"/>
    <w:rsid w:val="004D677A"/>
    <w:rsid w:val="004D6D3C"/>
    <w:rsid w:val="004E058A"/>
    <w:rsid w:val="004E09BC"/>
    <w:rsid w:val="004E0C0D"/>
    <w:rsid w:val="004E1E0B"/>
    <w:rsid w:val="004E4679"/>
    <w:rsid w:val="004E4DD4"/>
    <w:rsid w:val="004E4EEE"/>
    <w:rsid w:val="004E73D4"/>
    <w:rsid w:val="004F0200"/>
    <w:rsid w:val="004F0B34"/>
    <w:rsid w:val="004F1247"/>
    <w:rsid w:val="004F14D0"/>
    <w:rsid w:val="004F1CDA"/>
    <w:rsid w:val="004F3741"/>
    <w:rsid w:val="004F4C57"/>
    <w:rsid w:val="004F5AB3"/>
    <w:rsid w:val="004F6E46"/>
    <w:rsid w:val="004F7533"/>
    <w:rsid w:val="004F7979"/>
    <w:rsid w:val="00501A3A"/>
    <w:rsid w:val="0050235F"/>
    <w:rsid w:val="00502827"/>
    <w:rsid w:val="00502DA9"/>
    <w:rsid w:val="00502ED3"/>
    <w:rsid w:val="00503179"/>
    <w:rsid w:val="00503438"/>
    <w:rsid w:val="00503F62"/>
    <w:rsid w:val="00504958"/>
    <w:rsid w:val="00505917"/>
    <w:rsid w:val="00505A88"/>
    <w:rsid w:val="00506230"/>
    <w:rsid w:val="00507E9D"/>
    <w:rsid w:val="005111BB"/>
    <w:rsid w:val="005114AB"/>
    <w:rsid w:val="00511B74"/>
    <w:rsid w:val="00513D31"/>
    <w:rsid w:val="00515C41"/>
    <w:rsid w:val="00517DFF"/>
    <w:rsid w:val="005218D6"/>
    <w:rsid w:val="00521953"/>
    <w:rsid w:val="00523C6A"/>
    <w:rsid w:val="005244F1"/>
    <w:rsid w:val="00524FF4"/>
    <w:rsid w:val="0052520F"/>
    <w:rsid w:val="0052645F"/>
    <w:rsid w:val="0052704A"/>
    <w:rsid w:val="00527F4D"/>
    <w:rsid w:val="005305CB"/>
    <w:rsid w:val="0053147F"/>
    <w:rsid w:val="005329F2"/>
    <w:rsid w:val="005350C8"/>
    <w:rsid w:val="00535687"/>
    <w:rsid w:val="0054152F"/>
    <w:rsid w:val="00542B67"/>
    <w:rsid w:val="0054337C"/>
    <w:rsid w:val="005443F3"/>
    <w:rsid w:val="00544967"/>
    <w:rsid w:val="00544CD5"/>
    <w:rsid w:val="00547163"/>
    <w:rsid w:val="005472CA"/>
    <w:rsid w:val="005478DD"/>
    <w:rsid w:val="005479FE"/>
    <w:rsid w:val="00547A53"/>
    <w:rsid w:val="005509E5"/>
    <w:rsid w:val="00551BBD"/>
    <w:rsid w:val="00552A09"/>
    <w:rsid w:val="00553B26"/>
    <w:rsid w:val="00553C6A"/>
    <w:rsid w:val="0055429F"/>
    <w:rsid w:val="005550DB"/>
    <w:rsid w:val="005557DE"/>
    <w:rsid w:val="00556411"/>
    <w:rsid w:val="00557C7D"/>
    <w:rsid w:val="005604E9"/>
    <w:rsid w:val="005612C8"/>
    <w:rsid w:val="0056200B"/>
    <w:rsid w:val="00563E89"/>
    <w:rsid w:val="00563EED"/>
    <w:rsid w:val="00565FAF"/>
    <w:rsid w:val="00566572"/>
    <w:rsid w:val="0056736A"/>
    <w:rsid w:val="005673B9"/>
    <w:rsid w:val="005704ED"/>
    <w:rsid w:val="0057099D"/>
    <w:rsid w:val="005716D3"/>
    <w:rsid w:val="00571FCF"/>
    <w:rsid w:val="00572375"/>
    <w:rsid w:val="0057308B"/>
    <w:rsid w:val="005736B9"/>
    <w:rsid w:val="00575FF8"/>
    <w:rsid w:val="005764C0"/>
    <w:rsid w:val="00576B84"/>
    <w:rsid w:val="005771B4"/>
    <w:rsid w:val="0058014C"/>
    <w:rsid w:val="005808B4"/>
    <w:rsid w:val="0058345B"/>
    <w:rsid w:val="005838B6"/>
    <w:rsid w:val="00584C1F"/>
    <w:rsid w:val="00584E62"/>
    <w:rsid w:val="0058612C"/>
    <w:rsid w:val="0058657B"/>
    <w:rsid w:val="00586E03"/>
    <w:rsid w:val="00587232"/>
    <w:rsid w:val="00587ABD"/>
    <w:rsid w:val="00587B3D"/>
    <w:rsid w:val="005902A2"/>
    <w:rsid w:val="00590BAB"/>
    <w:rsid w:val="00590CB0"/>
    <w:rsid w:val="005912CB"/>
    <w:rsid w:val="00592B60"/>
    <w:rsid w:val="00593411"/>
    <w:rsid w:val="005940E1"/>
    <w:rsid w:val="005946CC"/>
    <w:rsid w:val="00596198"/>
    <w:rsid w:val="00596CEC"/>
    <w:rsid w:val="00597141"/>
    <w:rsid w:val="0059763A"/>
    <w:rsid w:val="005A00D9"/>
    <w:rsid w:val="005A0661"/>
    <w:rsid w:val="005A0D39"/>
    <w:rsid w:val="005A1007"/>
    <w:rsid w:val="005A1B79"/>
    <w:rsid w:val="005A20B3"/>
    <w:rsid w:val="005A2294"/>
    <w:rsid w:val="005A2A41"/>
    <w:rsid w:val="005A2AAF"/>
    <w:rsid w:val="005A3F52"/>
    <w:rsid w:val="005A4339"/>
    <w:rsid w:val="005A4EC5"/>
    <w:rsid w:val="005A5645"/>
    <w:rsid w:val="005A632A"/>
    <w:rsid w:val="005A63C7"/>
    <w:rsid w:val="005A69CE"/>
    <w:rsid w:val="005A7D27"/>
    <w:rsid w:val="005B0C11"/>
    <w:rsid w:val="005B115F"/>
    <w:rsid w:val="005B122A"/>
    <w:rsid w:val="005B14A5"/>
    <w:rsid w:val="005B2019"/>
    <w:rsid w:val="005B2861"/>
    <w:rsid w:val="005B4300"/>
    <w:rsid w:val="005B492A"/>
    <w:rsid w:val="005B5628"/>
    <w:rsid w:val="005B671A"/>
    <w:rsid w:val="005B6724"/>
    <w:rsid w:val="005B7661"/>
    <w:rsid w:val="005B781D"/>
    <w:rsid w:val="005B7B76"/>
    <w:rsid w:val="005C493F"/>
    <w:rsid w:val="005C4B4E"/>
    <w:rsid w:val="005C4C50"/>
    <w:rsid w:val="005C4CC5"/>
    <w:rsid w:val="005C51EC"/>
    <w:rsid w:val="005C56E0"/>
    <w:rsid w:val="005C59A4"/>
    <w:rsid w:val="005C6484"/>
    <w:rsid w:val="005C6E65"/>
    <w:rsid w:val="005D3546"/>
    <w:rsid w:val="005D36E8"/>
    <w:rsid w:val="005D43FE"/>
    <w:rsid w:val="005D6A3E"/>
    <w:rsid w:val="005D6C1A"/>
    <w:rsid w:val="005D7D93"/>
    <w:rsid w:val="005D7DE8"/>
    <w:rsid w:val="005E1019"/>
    <w:rsid w:val="005E25AD"/>
    <w:rsid w:val="005E3FCD"/>
    <w:rsid w:val="005E4566"/>
    <w:rsid w:val="005E459A"/>
    <w:rsid w:val="005E4827"/>
    <w:rsid w:val="005E4B3D"/>
    <w:rsid w:val="005E4CF8"/>
    <w:rsid w:val="005E4D5A"/>
    <w:rsid w:val="005E507B"/>
    <w:rsid w:val="005E77DC"/>
    <w:rsid w:val="005F1A72"/>
    <w:rsid w:val="005F28A9"/>
    <w:rsid w:val="005F2AB5"/>
    <w:rsid w:val="005F33B9"/>
    <w:rsid w:val="005F3DDC"/>
    <w:rsid w:val="005F4153"/>
    <w:rsid w:val="005F436F"/>
    <w:rsid w:val="005F59C3"/>
    <w:rsid w:val="005F5F81"/>
    <w:rsid w:val="005F60AF"/>
    <w:rsid w:val="005F6263"/>
    <w:rsid w:val="005F7060"/>
    <w:rsid w:val="00600859"/>
    <w:rsid w:val="00600DD1"/>
    <w:rsid w:val="006012F9"/>
    <w:rsid w:val="00601DEC"/>
    <w:rsid w:val="00602075"/>
    <w:rsid w:val="006041D3"/>
    <w:rsid w:val="00604214"/>
    <w:rsid w:val="00605AB9"/>
    <w:rsid w:val="00605C1F"/>
    <w:rsid w:val="00605D8C"/>
    <w:rsid w:val="00605DB5"/>
    <w:rsid w:val="006109AD"/>
    <w:rsid w:val="0061175C"/>
    <w:rsid w:val="00611D0E"/>
    <w:rsid w:val="00611DB8"/>
    <w:rsid w:val="006128B7"/>
    <w:rsid w:val="00612CF6"/>
    <w:rsid w:val="00613976"/>
    <w:rsid w:val="00613D5A"/>
    <w:rsid w:val="0061551D"/>
    <w:rsid w:val="00621C0A"/>
    <w:rsid w:val="00624EC6"/>
    <w:rsid w:val="006251FE"/>
    <w:rsid w:val="0062584A"/>
    <w:rsid w:val="0062675C"/>
    <w:rsid w:val="006275AE"/>
    <w:rsid w:val="0062761A"/>
    <w:rsid w:val="00630138"/>
    <w:rsid w:val="00630AFD"/>
    <w:rsid w:val="00631107"/>
    <w:rsid w:val="00631A8B"/>
    <w:rsid w:val="00631D1B"/>
    <w:rsid w:val="00632259"/>
    <w:rsid w:val="006322FE"/>
    <w:rsid w:val="0063297A"/>
    <w:rsid w:val="006332CA"/>
    <w:rsid w:val="00633A64"/>
    <w:rsid w:val="00633BBF"/>
    <w:rsid w:val="006343AF"/>
    <w:rsid w:val="0063440E"/>
    <w:rsid w:val="006344FC"/>
    <w:rsid w:val="00634761"/>
    <w:rsid w:val="0063480A"/>
    <w:rsid w:val="00635072"/>
    <w:rsid w:val="006350D4"/>
    <w:rsid w:val="006350F3"/>
    <w:rsid w:val="006379DE"/>
    <w:rsid w:val="00637BCE"/>
    <w:rsid w:val="0064121C"/>
    <w:rsid w:val="00641D6C"/>
    <w:rsid w:val="006439AD"/>
    <w:rsid w:val="00644223"/>
    <w:rsid w:val="006445EE"/>
    <w:rsid w:val="006461A8"/>
    <w:rsid w:val="00647AF4"/>
    <w:rsid w:val="0065047A"/>
    <w:rsid w:val="006505D7"/>
    <w:rsid w:val="00651016"/>
    <w:rsid w:val="0065193C"/>
    <w:rsid w:val="00653243"/>
    <w:rsid w:val="00653614"/>
    <w:rsid w:val="00654457"/>
    <w:rsid w:val="0065474F"/>
    <w:rsid w:val="006550C9"/>
    <w:rsid w:val="006556B5"/>
    <w:rsid w:val="00656518"/>
    <w:rsid w:val="00656622"/>
    <w:rsid w:val="00656D7C"/>
    <w:rsid w:val="0065748C"/>
    <w:rsid w:val="00657B49"/>
    <w:rsid w:val="00657FCF"/>
    <w:rsid w:val="006669C4"/>
    <w:rsid w:val="0066710A"/>
    <w:rsid w:val="00667815"/>
    <w:rsid w:val="00667EA9"/>
    <w:rsid w:val="00670314"/>
    <w:rsid w:val="0067113A"/>
    <w:rsid w:val="00671662"/>
    <w:rsid w:val="006725AC"/>
    <w:rsid w:val="00672F69"/>
    <w:rsid w:val="00674495"/>
    <w:rsid w:val="006745D5"/>
    <w:rsid w:val="00675B76"/>
    <w:rsid w:val="0067644F"/>
    <w:rsid w:val="00676763"/>
    <w:rsid w:val="00677367"/>
    <w:rsid w:val="00677EA8"/>
    <w:rsid w:val="0068010A"/>
    <w:rsid w:val="006807C3"/>
    <w:rsid w:val="006809B2"/>
    <w:rsid w:val="006813A5"/>
    <w:rsid w:val="0068281E"/>
    <w:rsid w:val="00682BED"/>
    <w:rsid w:val="006830AD"/>
    <w:rsid w:val="0068346B"/>
    <w:rsid w:val="006838E2"/>
    <w:rsid w:val="006846CB"/>
    <w:rsid w:val="00686154"/>
    <w:rsid w:val="006862CF"/>
    <w:rsid w:val="00686355"/>
    <w:rsid w:val="00686CBF"/>
    <w:rsid w:val="00687E18"/>
    <w:rsid w:val="00687FA8"/>
    <w:rsid w:val="00690B71"/>
    <w:rsid w:val="00691925"/>
    <w:rsid w:val="00692B1D"/>
    <w:rsid w:val="0069409D"/>
    <w:rsid w:val="00694859"/>
    <w:rsid w:val="006948BB"/>
    <w:rsid w:val="006968AD"/>
    <w:rsid w:val="00697048"/>
    <w:rsid w:val="0069761D"/>
    <w:rsid w:val="00697663"/>
    <w:rsid w:val="00697EAD"/>
    <w:rsid w:val="006A0671"/>
    <w:rsid w:val="006A0684"/>
    <w:rsid w:val="006A1F8A"/>
    <w:rsid w:val="006A272E"/>
    <w:rsid w:val="006A3688"/>
    <w:rsid w:val="006A3DC2"/>
    <w:rsid w:val="006A77A2"/>
    <w:rsid w:val="006B07CD"/>
    <w:rsid w:val="006B12FA"/>
    <w:rsid w:val="006B1534"/>
    <w:rsid w:val="006B1C3C"/>
    <w:rsid w:val="006B1D25"/>
    <w:rsid w:val="006B2C9E"/>
    <w:rsid w:val="006B3F45"/>
    <w:rsid w:val="006B5D72"/>
    <w:rsid w:val="006B6AFE"/>
    <w:rsid w:val="006B7225"/>
    <w:rsid w:val="006B7493"/>
    <w:rsid w:val="006B7CC0"/>
    <w:rsid w:val="006C0E5B"/>
    <w:rsid w:val="006C0F5E"/>
    <w:rsid w:val="006C1953"/>
    <w:rsid w:val="006C2734"/>
    <w:rsid w:val="006C28B6"/>
    <w:rsid w:val="006C31F3"/>
    <w:rsid w:val="006C3759"/>
    <w:rsid w:val="006C378C"/>
    <w:rsid w:val="006C38E8"/>
    <w:rsid w:val="006C48C8"/>
    <w:rsid w:val="006C6B0D"/>
    <w:rsid w:val="006C711F"/>
    <w:rsid w:val="006C7766"/>
    <w:rsid w:val="006C7935"/>
    <w:rsid w:val="006D003B"/>
    <w:rsid w:val="006D1B8C"/>
    <w:rsid w:val="006D25AB"/>
    <w:rsid w:val="006D3194"/>
    <w:rsid w:val="006D36A4"/>
    <w:rsid w:val="006D49D3"/>
    <w:rsid w:val="006D5220"/>
    <w:rsid w:val="006D69B8"/>
    <w:rsid w:val="006D6A0D"/>
    <w:rsid w:val="006D7048"/>
    <w:rsid w:val="006D754D"/>
    <w:rsid w:val="006D75DF"/>
    <w:rsid w:val="006E00AD"/>
    <w:rsid w:val="006E0285"/>
    <w:rsid w:val="006E0660"/>
    <w:rsid w:val="006E0A32"/>
    <w:rsid w:val="006E0AF8"/>
    <w:rsid w:val="006E1803"/>
    <w:rsid w:val="006E24F3"/>
    <w:rsid w:val="006E31AA"/>
    <w:rsid w:val="006E4006"/>
    <w:rsid w:val="006E41EC"/>
    <w:rsid w:val="006E44A4"/>
    <w:rsid w:val="006E4707"/>
    <w:rsid w:val="006E69AF"/>
    <w:rsid w:val="006F0D45"/>
    <w:rsid w:val="006F1361"/>
    <w:rsid w:val="006F14C9"/>
    <w:rsid w:val="006F1D2B"/>
    <w:rsid w:val="006F2334"/>
    <w:rsid w:val="006F3B24"/>
    <w:rsid w:val="006F3FAB"/>
    <w:rsid w:val="006F4A60"/>
    <w:rsid w:val="006F5513"/>
    <w:rsid w:val="006F5B82"/>
    <w:rsid w:val="006F6C5F"/>
    <w:rsid w:val="006F6C60"/>
    <w:rsid w:val="00700294"/>
    <w:rsid w:val="00700AA7"/>
    <w:rsid w:val="00700B08"/>
    <w:rsid w:val="0070285D"/>
    <w:rsid w:val="00702B14"/>
    <w:rsid w:val="007040D9"/>
    <w:rsid w:val="0070504D"/>
    <w:rsid w:val="00705118"/>
    <w:rsid w:val="0070531D"/>
    <w:rsid w:val="00705752"/>
    <w:rsid w:val="00706C2E"/>
    <w:rsid w:val="0071076A"/>
    <w:rsid w:val="00710E79"/>
    <w:rsid w:val="00711A36"/>
    <w:rsid w:val="007125F6"/>
    <w:rsid w:val="00713F26"/>
    <w:rsid w:val="0071526E"/>
    <w:rsid w:val="00715D92"/>
    <w:rsid w:val="00716819"/>
    <w:rsid w:val="0071683F"/>
    <w:rsid w:val="0071687A"/>
    <w:rsid w:val="0071688D"/>
    <w:rsid w:val="007169E0"/>
    <w:rsid w:val="00717C6F"/>
    <w:rsid w:val="00720615"/>
    <w:rsid w:val="00720D99"/>
    <w:rsid w:val="007212DB"/>
    <w:rsid w:val="00721B2F"/>
    <w:rsid w:val="00724376"/>
    <w:rsid w:val="0072446D"/>
    <w:rsid w:val="00724E4D"/>
    <w:rsid w:val="00725889"/>
    <w:rsid w:val="0072668A"/>
    <w:rsid w:val="00731550"/>
    <w:rsid w:val="00731649"/>
    <w:rsid w:val="0073221B"/>
    <w:rsid w:val="00732753"/>
    <w:rsid w:val="0073434F"/>
    <w:rsid w:val="00734BAE"/>
    <w:rsid w:val="00735A72"/>
    <w:rsid w:val="00736B57"/>
    <w:rsid w:val="00737721"/>
    <w:rsid w:val="00740257"/>
    <w:rsid w:val="00741A8C"/>
    <w:rsid w:val="0074275F"/>
    <w:rsid w:val="00742DBA"/>
    <w:rsid w:val="007443CE"/>
    <w:rsid w:val="007451F9"/>
    <w:rsid w:val="00745A09"/>
    <w:rsid w:val="00746CA2"/>
    <w:rsid w:val="00750033"/>
    <w:rsid w:val="00750BC5"/>
    <w:rsid w:val="00751DC5"/>
    <w:rsid w:val="00753000"/>
    <w:rsid w:val="00753870"/>
    <w:rsid w:val="00755117"/>
    <w:rsid w:val="007557D2"/>
    <w:rsid w:val="00756F4A"/>
    <w:rsid w:val="00757642"/>
    <w:rsid w:val="00757BAE"/>
    <w:rsid w:val="00757E57"/>
    <w:rsid w:val="00761DEF"/>
    <w:rsid w:val="00764DCB"/>
    <w:rsid w:val="00765221"/>
    <w:rsid w:val="00765B32"/>
    <w:rsid w:val="00765B53"/>
    <w:rsid w:val="00765D44"/>
    <w:rsid w:val="00767F6C"/>
    <w:rsid w:val="00770CC8"/>
    <w:rsid w:val="007713F3"/>
    <w:rsid w:val="00772187"/>
    <w:rsid w:val="007723C7"/>
    <w:rsid w:val="00774C31"/>
    <w:rsid w:val="00774FBE"/>
    <w:rsid w:val="00775CAF"/>
    <w:rsid w:val="00776A6F"/>
    <w:rsid w:val="0077760D"/>
    <w:rsid w:val="007800BA"/>
    <w:rsid w:val="007805E5"/>
    <w:rsid w:val="00781ECE"/>
    <w:rsid w:val="00782328"/>
    <w:rsid w:val="00782943"/>
    <w:rsid w:val="00782A42"/>
    <w:rsid w:val="00782A73"/>
    <w:rsid w:val="00784A58"/>
    <w:rsid w:val="00784E7A"/>
    <w:rsid w:val="00786670"/>
    <w:rsid w:val="007877D4"/>
    <w:rsid w:val="0078780C"/>
    <w:rsid w:val="00790758"/>
    <w:rsid w:val="00791164"/>
    <w:rsid w:val="00791D0E"/>
    <w:rsid w:val="007930E0"/>
    <w:rsid w:val="00793F4E"/>
    <w:rsid w:val="00794B69"/>
    <w:rsid w:val="0079504D"/>
    <w:rsid w:val="00795B13"/>
    <w:rsid w:val="00796A21"/>
    <w:rsid w:val="007A06BC"/>
    <w:rsid w:val="007A11C4"/>
    <w:rsid w:val="007A2AF1"/>
    <w:rsid w:val="007A302F"/>
    <w:rsid w:val="007A3DE4"/>
    <w:rsid w:val="007A45B9"/>
    <w:rsid w:val="007A5962"/>
    <w:rsid w:val="007A5CB1"/>
    <w:rsid w:val="007A6209"/>
    <w:rsid w:val="007A62BC"/>
    <w:rsid w:val="007A6B9D"/>
    <w:rsid w:val="007A78F6"/>
    <w:rsid w:val="007B0405"/>
    <w:rsid w:val="007B10AA"/>
    <w:rsid w:val="007B21C3"/>
    <w:rsid w:val="007B364A"/>
    <w:rsid w:val="007B3CED"/>
    <w:rsid w:val="007B4BC2"/>
    <w:rsid w:val="007B5BBD"/>
    <w:rsid w:val="007B62FB"/>
    <w:rsid w:val="007B663F"/>
    <w:rsid w:val="007B6AD0"/>
    <w:rsid w:val="007B6C02"/>
    <w:rsid w:val="007B7CAE"/>
    <w:rsid w:val="007B7D63"/>
    <w:rsid w:val="007C01F5"/>
    <w:rsid w:val="007C0FFD"/>
    <w:rsid w:val="007C1840"/>
    <w:rsid w:val="007C2572"/>
    <w:rsid w:val="007C25A1"/>
    <w:rsid w:val="007C32C0"/>
    <w:rsid w:val="007C3599"/>
    <w:rsid w:val="007C37A0"/>
    <w:rsid w:val="007C3F73"/>
    <w:rsid w:val="007C4F1E"/>
    <w:rsid w:val="007C54AE"/>
    <w:rsid w:val="007C59EF"/>
    <w:rsid w:val="007C5A48"/>
    <w:rsid w:val="007C767B"/>
    <w:rsid w:val="007C76E4"/>
    <w:rsid w:val="007D07F3"/>
    <w:rsid w:val="007D1147"/>
    <w:rsid w:val="007D17CD"/>
    <w:rsid w:val="007D1E8E"/>
    <w:rsid w:val="007D2899"/>
    <w:rsid w:val="007D6EC0"/>
    <w:rsid w:val="007E0115"/>
    <w:rsid w:val="007E120D"/>
    <w:rsid w:val="007E26E6"/>
    <w:rsid w:val="007E32E0"/>
    <w:rsid w:val="007E37B6"/>
    <w:rsid w:val="007E4082"/>
    <w:rsid w:val="007E4864"/>
    <w:rsid w:val="007E5C8C"/>
    <w:rsid w:val="007E61D8"/>
    <w:rsid w:val="007E6FA0"/>
    <w:rsid w:val="007E79AF"/>
    <w:rsid w:val="007F0915"/>
    <w:rsid w:val="007F0BF5"/>
    <w:rsid w:val="007F0E04"/>
    <w:rsid w:val="007F109A"/>
    <w:rsid w:val="007F121F"/>
    <w:rsid w:val="007F1BEA"/>
    <w:rsid w:val="007F2828"/>
    <w:rsid w:val="007F2891"/>
    <w:rsid w:val="007F2A71"/>
    <w:rsid w:val="007F5070"/>
    <w:rsid w:val="007F5655"/>
    <w:rsid w:val="007F7237"/>
    <w:rsid w:val="007F7391"/>
    <w:rsid w:val="00801A01"/>
    <w:rsid w:val="00801B25"/>
    <w:rsid w:val="00801DB4"/>
    <w:rsid w:val="00802D6C"/>
    <w:rsid w:val="00803E72"/>
    <w:rsid w:val="008042A7"/>
    <w:rsid w:val="0080511D"/>
    <w:rsid w:val="00805362"/>
    <w:rsid w:val="00805601"/>
    <w:rsid w:val="00806B7E"/>
    <w:rsid w:val="00807149"/>
    <w:rsid w:val="0080732C"/>
    <w:rsid w:val="00810712"/>
    <w:rsid w:val="00810A28"/>
    <w:rsid w:val="008110F6"/>
    <w:rsid w:val="0081262D"/>
    <w:rsid w:val="008134F6"/>
    <w:rsid w:val="00814A06"/>
    <w:rsid w:val="00815131"/>
    <w:rsid w:val="00815423"/>
    <w:rsid w:val="00815CBE"/>
    <w:rsid w:val="008168E3"/>
    <w:rsid w:val="0081699F"/>
    <w:rsid w:val="0081703D"/>
    <w:rsid w:val="008173B4"/>
    <w:rsid w:val="008201B5"/>
    <w:rsid w:val="008216F1"/>
    <w:rsid w:val="00821B1A"/>
    <w:rsid w:val="00822E2C"/>
    <w:rsid w:val="00823325"/>
    <w:rsid w:val="00823E2C"/>
    <w:rsid w:val="00824E45"/>
    <w:rsid w:val="00825255"/>
    <w:rsid w:val="00827568"/>
    <w:rsid w:val="00827A6C"/>
    <w:rsid w:val="00830798"/>
    <w:rsid w:val="00831662"/>
    <w:rsid w:val="00831C7B"/>
    <w:rsid w:val="008320FA"/>
    <w:rsid w:val="008321F5"/>
    <w:rsid w:val="0083232E"/>
    <w:rsid w:val="00832469"/>
    <w:rsid w:val="00832A49"/>
    <w:rsid w:val="0083314A"/>
    <w:rsid w:val="008331FD"/>
    <w:rsid w:val="0083381F"/>
    <w:rsid w:val="0084177E"/>
    <w:rsid w:val="008425CE"/>
    <w:rsid w:val="00844649"/>
    <w:rsid w:val="00845BFB"/>
    <w:rsid w:val="00846003"/>
    <w:rsid w:val="00846EA1"/>
    <w:rsid w:val="00850319"/>
    <w:rsid w:val="00850490"/>
    <w:rsid w:val="00851229"/>
    <w:rsid w:val="008514A9"/>
    <w:rsid w:val="00851A6E"/>
    <w:rsid w:val="00852DAF"/>
    <w:rsid w:val="00853595"/>
    <w:rsid w:val="00855071"/>
    <w:rsid w:val="00855979"/>
    <w:rsid w:val="008561B2"/>
    <w:rsid w:val="00856AA2"/>
    <w:rsid w:val="008574EF"/>
    <w:rsid w:val="00857EBD"/>
    <w:rsid w:val="008602CA"/>
    <w:rsid w:val="0086268C"/>
    <w:rsid w:val="0086374A"/>
    <w:rsid w:val="00864028"/>
    <w:rsid w:val="0086410F"/>
    <w:rsid w:val="00864F0D"/>
    <w:rsid w:val="00866C54"/>
    <w:rsid w:val="00866E3C"/>
    <w:rsid w:val="00867CDC"/>
    <w:rsid w:val="00867EE0"/>
    <w:rsid w:val="0087016C"/>
    <w:rsid w:val="00870F17"/>
    <w:rsid w:val="00872BA5"/>
    <w:rsid w:val="00873E19"/>
    <w:rsid w:val="00874C46"/>
    <w:rsid w:val="00876B31"/>
    <w:rsid w:val="00876C7D"/>
    <w:rsid w:val="00880CFE"/>
    <w:rsid w:val="008811CA"/>
    <w:rsid w:val="00881395"/>
    <w:rsid w:val="00881EB8"/>
    <w:rsid w:val="00882C88"/>
    <w:rsid w:val="00883865"/>
    <w:rsid w:val="008838FC"/>
    <w:rsid w:val="00883C75"/>
    <w:rsid w:val="008846A9"/>
    <w:rsid w:val="008856CD"/>
    <w:rsid w:val="00886CE7"/>
    <w:rsid w:val="00886E3E"/>
    <w:rsid w:val="00886ED6"/>
    <w:rsid w:val="00887676"/>
    <w:rsid w:val="00890301"/>
    <w:rsid w:val="00890472"/>
    <w:rsid w:val="00891008"/>
    <w:rsid w:val="008926C8"/>
    <w:rsid w:val="00894DC8"/>
    <w:rsid w:val="00895D08"/>
    <w:rsid w:val="00896E49"/>
    <w:rsid w:val="0089745D"/>
    <w:rsid w:val="0089781F"/>
    <w:rsid w:val="00897F17"/>
    <w:rsid w:val="008A14E5"/>
    <w:rsid w:val="008A174B"/>
    <w:rsid w:val="008A316F"/>
    <w:rsid w:val="008A35A4"/>
    <w:rsid w:val="008A4058"/>
    <w:rsid w:val="008A5072"/>
    <w:rsid w:val="008A78A1"/>
    <w:rsid w:val="008A7F2D"/>
    <w:rsid w:val="008B0B9E"/>
    <w:rsid w:val="008B0FAA"/>
    <w:rsid w:val="008B32DE"/>
    <w:rsid w:val="008B3D6D"/>
    <w:rsid w:val="008B4002"/>
    <w:rsid w:val="008B4C3F"/>
    <w:rsid w:val="008B5786"/>
    <w:rsid w:val="008B5A07"/>
    <w:rsid w:val="008B677C"/>
    <w:rsid w:val="008B67CF"/>
    <w:rsid w:val="008B72B9"/>
    <w:rsid w:val="008B7D1F"/>
    <w:rsid w:val="008B7F2B"/>
    <w:rsid w:val="008C095D"/>
    <w:rsid w:val="008C0D8D"/>
    <w:rsid w:val="008C2F9D"/>
    <w:rsid w:val="008C4AE7"/>
    <w:rsid w:val="008C5808"/>
    <w:rsid w:val="008C5DBD"/>
    <w:rsid w:val="008C6843"/>
    <w:rsid w:val="008D14B7"/>
    <w:rsid w:val="008D2314"/>
    <w:rsid w:val="008D237C"/>
    <w:rsid w:val="008D35C0"/>
    <w:rsid w:val="008D4978"/>
    <w:rsid w:val="008D4A65"/>
    <w:rsid w:val="008D56F0"/>
    <w:rsid w:val="008E192C"/>
    <w:rsid w:val="008E1A3C"/>
    <w:rsid w:val="008E2A2C"/>
    <w:rsid w:val="008E2A30"/>
    <w:rsid w:val="008E4164"/>
    <w:rsid w:val="008E4C1D"/>
    <w:rsid w:val="008E54BA"/>
    <w:rsid w:val="008E5658"/>
    <w:rsid w:val="008E59E3"/>
    <w:rsid w:val="008E6904"/>
    <w:rsid w:val="008E71FE"/>
    <w:rsid w:val="008E7CD9"/>
    <w:rsid w:val="008F0C07"/>
    <w:rsid w:val="008F26EC"/>
    <w:rsid w:val="008F2DE6"/>
    <w:rsid w:val="008F3475"/>
    <w:rsid w:val="008F3DB5"/>
    <w:rsid w:val="008F4308"/>
    <w:rsid w:val="008F4365"/>
    <w:rsid w:val="008F43E1"/>
    <w:rsid w:val="008F4C20"/>
    <w:rsid w:val="008F54AC"/>
    <w:rsid w:val="008F5633"/>
    <w:rsid w:val="008F57A3"/>
    <w:rsid w:val="008F6B5A"/>
    <w:rsid w:val="008F7E1E"/>
    <w:rsid w:val="00900B61"/>
    <w:rsid w:val="00900C36"/>
    <w:rsid w:val="0090175D"/>
    <w:rsid w:val="00901CC0"/>
    <w:rsid w:val="00903C4E"/>
    <w:rsid w:val="009057C2"/>
    <w:rsid w:val="00905FA1"/>
    <w:rsid w:val="00911287"/>
    <w:rsid w:val="009113A5"/>
    <w:rsid w:val="0091156E"/>
    <w:rsid w:val="0091176D"/>
    <w:rsid w:val="00912312"/>
    <w:rsid w:val="009126C5"/>
    <w:rsid w:val="00913CFA"/>
    <w:rsid w:val="00913F2C"/>
    <w:rsid w:val="0091433E"/>
    <w:rsid w:val="00915F79"/>
    <w:rsid w:val="009174A2"/>
    <w:rsid w:val="0091767F"/>
    <w:rsid w:val="00917FF3"/>
    <w:rsid w:val="0092009A"/>
    <w:rsid w:val="00920286"/>
    <w:rsid w:val="00920841"/>
    <w:rsid w:val="00922876"/>
    <w:rsid w:val="00922B2A"/>
    <w:rsid w:val="009230B6"/>
    <w:rsid w:val="009236CF"/>
    <w:rsid w:val="0092400A"/>
    <w:rsid w:val="0092477E"/>
    <w:rsid w:val="00926428"/>
    <w:rsid w:val="00931155"/>
    <w:rsid w:val="009312FA"/>
    <w:rsid w:val="00931380"/>
    <w:rsid w:val="009314AD"/>
    <w:rsid w:val="00931B28"/>
    <w:rsid w:val="00931B3A"/>
    <w:rsid w:val="00932F26"/>
    <w:rsid w:val="00933251"/>
    <w:rsid w:val="009335CD"/>
    <w:rsid w:val="0093432C"/>
    <w:rsid w:val="00934B4F"/>
    <w:rsid w:val="0093567F"/>
    <w:rsid w:val="0093573F"/>
    <w:rsid w:val="00935B4C"/>
    <w:rsid w:val="00937314"/>
    <w:rsid w:val="009379BB"/>
    <w:rsid w:val="00937DA9"/>
    <w:rsid w:val="0094032D"/>
    <w:rsid w:val="00940823"/>
    <w:rsid w:val="00941302"/>
    <w:rsid w:val="009429AC"/>
    <w:rsid w:val="009439D3"/>
    <w:rsid w:val="009447D1"/>
    <w:rsid w:val="00944A01"/>
    <w:rsid w:val="009458C1"/>
    <w:rsid w:val="00946857"/>
    <w:rsid w:val="00946F96"/>
    <w:rsid w:val="00947627"/>
    <w:rsid w:val="00950198"/>
    <w:rsid w:val="00950A14"/>
    <w:rsid w:val="00950E18"/>
    <w:rsid w:val="00952550"/>
    <w:rsid w:val="009531A4"/>
    <w:rsid w:val="00953814"/>
    <w:rsid w:val="0095480A"/>
    <w:rsid w:val="00954961"/>
    <w:rsid w:val="00954974"/>
    <w:rsid w:val="00954A12"/>
    <w:rsid w:val="00954A2C"/>
    <w:rsid w:val="0095774A"/>
    <w:rsid w:val="00957E7D"/>
    <w:rsid w:val="0096122B"/>
    <w:rsid w:val="009620CB"/>
    <w:rsid w:val="0096278E"/>
    <w:rsid w:val="009629F5"/>
    <w:rsid w:val="009647D3"/>
    <w:rsid w:val="00964D18"/>
    <w:rsid w:val="00966132"/>
    <w:rsid w:val="009669AD"/>
    <w:rsid w:val="009678E5"/>
    <w:rsid w:val="00971048"/>
    <w:rsid w:val="009726AB"/>
    <w:rsid w:val="00973641"/>
    <w:rsid w:val="009739C4"/>
    <w:rsid w:val="00975139"/>
    <w:rsid w:val="00975F33"/>
    <w:rsid w:val="00976D3F"/>
    <w:rsid w:val="009808E9"/>
    <w:rsid w:val="0098199D"/>
    <w:rsid w:val="00981DC5"/>
    <w:rsid w:val="009841AE"/>
    <w:rsid w:val="00986699"/>
    <w:rsid w:val="00990430"/>
    <w:rsid w:val="00990C04"/>
    <w:rsid w:val="009911F6"/>
    <w:rsid w:val="00991F8B"/>
    <w:rsid w:val="00992155"/>
    <w:rsid w:val="009921C0"/>
    <w:rsid w:val="00992E96"/>
    <w:rsid w:val="00995B60"/>
    <w:rsid w:val="00995FD6"/>
    <w:rsid w:val="00996E22"/>
    <w:rsid w:val="009A01A7"/>
    <w:rsid w:val="009A0E49"/>
    <w:rsid w:val="009A10D9"/>
    <w:rsid w:val="009A14A4"/>
    <w:rsid w:val="009A2BA0"/>
    <w:rsid w:val="009A42D9"/>
    <w:rsid w:val="009A4338"/>
    <w:rsid w:val="009A545D"/>
    <w:rsid w:val="009A5B3D"/>
    <w:rsid w:val="009A5D78"/>
    <w:rsid w:val="009A70AE"/>
    <w:rsid w:val="009A7478"/>
    <w:rsid w:val="009A76CD"/>
    <w:rsid w:val="009B1B6D"/>
    <w:rsid w:val="009B2B90"/>
    <w:rsid w:val="009B393D"/>
    <w:rsid w:val="009B6237"/>
    <w:rsid w:val="009B62AE"/>
    <w:rsid w:val="009B7B2F"/>
    <w:rsid w:val="009C0772"/>
    <w:rsid w:val="009C1DED"/>
    <w:rsid w:val="009C2ACF"/>
    <w:rsid w:val="009C340A"/>
    <w:rsid w:val="009C387E"/>
    <w:rsid w:val="009C47ED"/>
    <w:rsid w:val="009C57BA"/>
    <w:rsid w:val="009C593D"/>
    <w:rsid w:val="009C66BE"/>
    <w:rsid w:val="009C6F15"/>
    <w:rsid w:val="009D0456"/>
    <w:rsid w:val="009D0B59"/>
    <w:rsid w:val="009D0ED8"/>
    <w:rsid w:val="009D25FA"/>
    <w:rsid w:val="009D2709"/>
    <w:rsid w:val="009D45A9"/>
    <w:rsid w:val="009D4B9C"/>
    <w:rsid w:val="009D538A"/>
    <w:rsid w:val="009D5D96"/>
    <w:rsid w:val="009D74B9"/>
    <w:rsid w:val="009D7542"/>
    <w:rsid w:val="009E005D"/>
    <w:rsid w:val="009E1D82"/>
    <w:rsid w:val="009E20E0"/>
    <w:rsid w:val="009E35E7"/>
    <w:rsid w:val="009E382D"/>
    <w:rsid w:val="009E3999"/>
    <w:rsid w:val="009E4BBF"/>
    <w:rsid w:val="009E5061"/>
    <w:rsid w:val="009E5131"/>
    <w:rsid w:val="009E5DDA"/>
    <w:rsid w:val="009E6A05"/>
    <w:rsid w:val="009E7CBA"/>
    <w:rsid w:val="009F00E7"/>
    <w:rsid w:val="009F1938"/>
    <w:rsid w:val="009F2934"/>
    <w:rsid w:val="009F374A"/>
    <w:rsid w:val="009F3AD1"/>
    <w:rsid w:val="009F3E07"/>
    <w:rsid w:val="009F4B2A"/>
    <w:rsid w:val="009F533A"/>
    <w:rsid w:val="009F5959"/>
    <w:rsid w:val="009F62EE"/>
    <w:rsid w:val="009F70F8"/>
    <w:rsid w:val="009F7582"/>
    <w:rsid w:val="00A0089F"/>
    <w:rsid w:val="00A01E7C"/>
    <w:rsid w:val="00A03A3C"/>
    <w:rsid w:val="00A03E5E"/>
    <w:rsid w:val="00A0410D"/>
    <w:rsid w:val="00A042AA"/>
    <w:rsid w:val="00A04686"/>
    <w:rsid w:val="00A0472C"/>
    <w:rsid w:val="00A058B3"/>
    <w:rsid w:val="00A06102"/>
    <w:rsid w:val="00A06B29"/>
    <w:rsid w:val="00A106DE"/>
    <w:rsid w:val="00A10A11"/>
    <w:rsid w:val="00A1132A"/>
    <w:rsid w:val="00A14DF5"/>
    <w:rsid w:val="00A15079"/>
    <w:rsid w:val="00A17E07"/>
    <w:rsid w:val="00A209CE"/>
    <w:rsid w:val="00A2104B"/>
    <w:rsid w:val="00A213B4"/>
    <w:rsid w:val="00A218A5"/>
    <w:rsid w:val="00A22544"/>
    <w:rsid w:val="00A226C0"/>
    <w:rsid w:val="00A228B6"/>
    <w:rsid w:val="00A23258"/>
    <w:rsid w:val="00A24173"/>
    <w:rsid w:val="00A27094"/>
    <w:rsid w:val="00A27187"/>
    <w:rsid w:val="00A27BEC"/>
    <w:rsid w:val="00A30091"/>
    <w:rsid w:val="00A30684"/>
    <w:rsid w:val="00A30C70"/>
    <w:rsid w:val="00A31280"/>
    <w:rsid w:val="00A31AAD"/>
    <w:rsid w:val="00A32569"/>
    <w:rsid w:val="00A330DC"/>
    <w:rsid w:val="00A35B42"/>
    <w:rsid w:val="00A36320"/>
    <w:rsid w:val="00A36C40"/>
    <w:rsid w:val="00A37A1A"/>
    <w:rsid w:val="00A37B18"/>
    <w:rsid w:val="00A37C74"/>
    <w:rsid w:val="00A400BA"/>
    <w:rsid w:val="00A40FA5"/>
    <w:rsid w:val="00A4162F"/>
    <w:rsid w:val="00A4166C"/>
    <w:rsid w:val="00A4241C"/>
    <w:rsid w:val="00A42814"/>
    <w:rsid w:val="00A43BF8"/>
    <w:rsid w:val="00A43C18"/>
    <w:rsid w:val="00A456BF"/>
    <w:rsid w:val="00A459FB"/>
    <w:rsid w:val="00A45B32"/>
    <w:rsid w:val="00A471D0"/>
    <w:rsid w:val="00A47A14"/>
    <w:rsid w:val="00A51242"/>
    <w:rsid w:val="00A51918"/>
    <w:rsid w:val="00A5260E"/>
    <w:rsid w:val="00A53289"/>
    <w:rsid w:val="00A53783"/>
    <w:rsid w:val="00A538E6"/>
    <w:rsid w:val="00A56628"/>
    <w:rsid w:val="00A5717A"/>
    <w:rsid w:val="00A6052D"/>
    <w:rsid w:val="00A616EF"/>
    <w:rsid w:val="00A632B7"/>
    <w:rsid w:val="00A63323"/>
    <w:rsid w:val="00A64008"/>
    <w:rsid w:val="00A643B3"/>
    <w:rsid w:val="00A6565F"/>
    <w:rsid w:val="00A667D7"/>
    <w:rsid w:val="00A6692A"/>
    <w:rsid w:val="00A67EBA"/>
    <w:rsid w:val="00A70668"/>
    <w:rsid w:val="00A70B60"/>
    <w:rsid w:val="00A712AA"/>
    <w:rsid w:val="00A7251A"/>
    <w:rsid w:val="00A735EC"/>
    <w:rsid w:val="00A73CA6"/>
    <w:rsid w:val="00A74556"/>
    <w:rsid w:val="00A748C6"/>
    <w:rsid w:val="00A75371"/>
    <w:rsid w:val="00A754AA"/>
    <w:rsid w:val="00A76312"/>
    <w:rsid w:val="00A76A91"/>
    <w:rsid w:val="00A7702D"/>
    <w:rsid w:val="00A7723A"/>
    <w:rsid w:val="00A8079C"/>
    <w:rsid w:val="00A80CB0"/>
    <w:rsid w:val="00A84377"/>
    <w:rsid w:val="00A84763"/>
    <w:rsid w:val="00A84A84"/>
    <w:rsid w:val="00A84B5D"/>
    <w:rsid w:val="00A85AFE"/>
    <w:rsid w:val="00A862F6"/>
    <w:rsid w:val="00A86F9F"/>
    <w:rsid w:val="00A86FE6"/>
    <w:rsid w:val="00A86FFE"/>
    <w:rsid w:val="00A879F6"/>
    <w:rsid w:val="00A87D34"/>
    <w:rsid w:val="00A90510"/>
    <w:rsid w:val="00A9095A"/>
    <w:rsid w:val="00A90E13"/>
    <w:rsid w:val="00A91C2A"/>
    <w:rsid w:val="00A94674"/>
    <w:rsid w:val="00A9511C"/>
    <w:rsid w:val="00A95F9F"/>
    <w:rsid w:val="00A979BF"/>
    <w:rsid w:val="00AA07D1"/>
    <w:rsid w:val="00AA0837"/>
    <w:rsid w:val="00AA08CF"/>
    <w:rsid w:val="00AA0A72"/>
    <w:rsid w:val="00AA0B3D"/>
    <w:rsid w:val="00AA10DF"/>
    <w:rsid w:val="00AA1E27"/>
    <w:rsid w:val="00AA1FAB"/>
    <w:rsid w:val="00AA317A"/>
    <w:rsid w:val="00AA5B85"/>
    <w:rsid w:val="00AA687B"/>
    <w:rsid w:val="00AA6B44"/>
    <w:rsid w:val="00AB0ABB"/>
    <w:rsid w:val="00AB306C"/>
    <w:rsid w:val="00AB3869"/>
    <w:rsid w:val="00AB4947"/>
    <w:rsid w:val="00AB602F"/>
    <w:rsid w:val="00AB6207"/>
    <w:rsid w:val="00AB6C3A"/>
    <w:rsid w:val="00AB776B"/>
    <w:rsid w:val="00AB7936"/>
    <w:rsid w:val="00AC0C28"/>
    <w:rsid w:val="00AC4019"/>
    <w:rsid w:val="00AC46CE"/>
    <w:rsid w:val="00AC4F48"/>
    <w:rsid w:val="00AC55AC"/>
    <w:rsid w:val="00AC61D9"/>
    <w:rsid w:val="00AC6A88"/>
    <w:rsid w:val="00AC6E92"/>
    <w:rsid w:val="00AC7671"/>
    <w:rsid w:val="00AC777A"/>
    <w:rsid w:val="00AC7BAF"/>
    <w:rsid w:val="00AD0959"/>
    <w:rsid w:val="00AD105D"/>
    <w:rsid w:val="00AD1333"/>
    <w:rsid w:val="00AD17F9"/>
    <w:rsid w:val="00AD19E8"/>
    <w:rsid w:val="00AD1D61"/>
    <w:rsid w:val="00AD1EA0"/>
    <w:rsid w:val="00AD6F2E"/>
    <w:rsid w:val="00AE0005"/>
    <w:rsid w:val="00AE024C"/>
    <w:rsid w:val="00AE08AF"/>
    <w:rsid w:val="00AE108F"/>
    <w:rsid w:val="00AE12CD"/>
    <w:rsid w:val="00AE2181"/>
    <w:rsid w:val="00AE2472"/>
    <w:rsid w:val="00AE2D45"/>
    <w:rsid w:val="00AE322E"/>
    <w:rsid w:val="00AE3A94"/>
    <w:rsid w:val="00AF14A3"/>
    <w:rsid w:val="00AF2306"/>
    <w:rsid w:val="00AF29EB"/>
    <w:rsid w:val="00AF2D5F"/>
    <w:rsid w:val="00AF3AB8"/>
    <w:rsid w:val="00AF3D88"/>
    <w:rsid w:val="00AF4774"/>
    <w:rsid w:val="00AF510D"/>
    <w:rsid w:val="00AF566D"/>
    <w:rsid w:val="00AF5FD1"/>
    <w:rsid w:val="00AF7E68"/>
    <w:rsid w:val="00AF7EFE"/>
    <w:rsid w:val="00B0080E"/>
    <w:rsid w:val="00B01F9F"/>
    <w:rsid w:val="00B027F9"/>
    <w:rsid w:val="00B039D5"/>
    <w:rsid w:val="00B04B8C"/>
    <w:rsid w:val="00B0512F"/>
    <w:rsid w:val="00B064A0"/>
    <w:rsid w:val="00B07074"/>
    <w:rsid w:val="00B07520"/>
    <w:rsid w:val="00B105FC"/>
    <w:rsid w:val="00B10C5F"/>
    <w:rsid w:val="00B10CB1"/>
    <w:rsid w:val="00B111DE"/>
    <w:rsid w:val="00B11F33"/>
    <w:rsid w:val="00B12605"/>
    <w:rsid w:val="00B1294B"/>
    <w:rsid w:val="00B13369"/>
    <w:rsid w:val="00B139C4"/>
    <w:rsid w:val="00B142D5"/>
    <w:rsid w:val="00B148F3"/>
    <w:rsid w:val="00B14D7D"/>
    <w:rsid w:val="00B14D80"/>
    <w:rsid w:val="00B15BC8"/>
    <w:rsid w:val="00B15EC0"/>
    <w:rsid w:val="00B16877"/>
    <w:rsid w:val="00B17AA1"/>
    <w:rsid w:val="00B2088F"/>
    <w:rsid w:val="00B216F6"/>
    <w:rsid w:val="00B21FA4"/>
    <w:rsid w:val="00B228F1"/>
    <w:rsid w:val="00B22A50"/>
    <w:rsid w:val="00B239BD"/>
    <w:rsid w:val="00B24013"/>
    <w:rsid w:val="00B24061"/>
    <w:rsid w:val="00B24397"/>
    <w:rsid w:val="00B2455B"/>
    <w:rsid w:val="00B258FC"/>
    <w:rsid w:val="00B26071"/>
    <w:rsid w:val="00B30937"/>
    <w:rsid w:val="00B30FBA"/>
    <w:rsid w:val="00B32187"/>
    <w:rsid w:val="00B32A87"/>
    <w:rsid w:val="00B34A0C"/>
    <w:rsid w:val="00B34CB7"/>
    <w:rsid w:val="00B350FA"/>
    <w:rsid w:val="00B355F9"/>
    <w:rsid w:val="00B36DF5"/>
    <w:rsid w:val="00B37064"/>
    <w:rsid w:val="00B375F4"/>
    <w:rsid w:val="00B402C8"/>
    <w:rsid w:val="00B4318D"/>
    <w:rsid w:val="00B44B01"/>
    <w:rsid w:val="00B451CB"/>
    <w:rsid w:val="00B45343"/>
    <w:rsid w:val="00B468D3"/>
    <w:rsid w:val="00B46AE9"/>
    <w:rsid w:val="00B47B0F"/>
    <w:rsid w:val="00B51072"/>
    <w:rsid w:val="00B510C0"/>
    <w:rsid w:val="00B521BC"/>
    <w:rsid w:val="00B52C18"/>
    <w:rsid w:val="00B53E5A"/>
    <w:rsid w:val="00B55CFC"/>
    <w:rsid w:val="00B569B7"/>
    <w:rsid w:val="00B61059"/>
    <w:rsid w:val="00B63B4A"/>
    <w:rsid w:val="00B70222"/>
    <w:rsid w:val="00B70CBE"/>
    <w:rsid w:val="00B719EB"/>
    <w:rsid w:val="00B72005"/>
    <w:rsid w:val="00B73A74"/>
    <w:rsid w:val="00B73C85"/>
    <w:rsid w:val="00B74223"/>
    <w:rsid w:val="00B74C6B"/>
    <w:rsid w:val="00B74F99"/>
    <w:rsid w:val="00B7528D"/>
    <w:rsid w:val="00B755F8"/>
    <w:rsid w:val="00B75EC9"/>
    <w:rsid w:val="00B7611F"/>
    <w:rsid w:val="00B77628"/>
    <w:rsid w:val="00B77F25"/>
    <w:rsid w:val="00B802E3"/>
    <w:rsid w:val="00B804FA"/>
    <w:rsid w:val="00B80C79"/>
    <w:rsid w:val="00B815A2"/>
    <w:rsid w:val="00B827F2"/>
    <w:rsid w:val="00B8286A"/>
    <w:rsid w:val="00B82930"/>
    <w:rsid w:val="00B8398A"/>
    <w:rsid w:val="00B83B7B"/>
    <w:rsid w:val="00B85B0E"/>
    <w:rsid w:val="00B86401"/>
    <w:rsid w:val="00B86E88"/>
    <w:rsid w:val="00B91A7D"/>
    <w:rsid w:val="00B92045"/>
    <w:rsid w:val="00B93364"/>
    <w:rsid w:val="00B93E6E"/>
    <w:rsid w:val="00B93F12"/>
    <w:rsid w:val="00B94066"/>
    <w:rsid w:val="00B94361"/>
    <w:rsid w:val="00B9514B"/>
    <w:rsid w:val="00B951B5"/>
    <w:rsid w:val="00B9659A"/>
    <w:rsid w:val="00B96DCE"/>
    <w:rsid w:val="00B970AA"/>
    <w:rsid w:val="00B97C1C"/>
    <w:rsid w:val="00BA021A"/>
    <w:rsid w:val="00BA027E"/>
    <w:rsid w:val="00BA0A54"/>
    <w:rsid w:val="00BA0DBB"/>
    <w:rsid w:val="00BA23DF"/>
    <w:rsid w:val="00BA2D4F"/>
    <w:rsid w:val="00BA3361"/>
    <w:rsid w:val="00BA4BEE"/>
    <w:rsid w:val="00BA4E7B"/>
    <w:rsid w:val="00BA4FD6"/>
    <w:rsid w:val="00BA535F"/>
    <w:rsid w:val="00BA6094"/>
    <w:rsid w:val="00BA620A"/>
    <w:rsid w:val="00BA7E8E"/>
    <w:rsid w:val="00BB01F2"/>
    <w:rsid w:val="00BB04B4"/>
    <w:rsid w:val="00BB05CA"/>
    <w:rsid w:val="00BB0D40"/>
    <w:rsid w:val="00BB1381"/>
    <w:rsid w:val="00BB1626"/>
    <w:rsid w:val="00BB2CA0"/>
    <w:rsid w:val="00BB3463"/>
    <w:rsid w:val="00BB3C93"/>
    <w:rsid w:val="00BB4632"/>
    <w:rsid w:val="00BB48C5"/>
    <w:rsid w:val="00BB63CC"/>
    <w:rsid w:val="00BB68E7"/>
    <w:rsid w:val="00BB70E2"/>
    <w:rsid w:val="00BB7538"/>
    <w:rsid w:val="00BB7AF3"/>
    <w:rsid w:val="00BC0CC5"/>
    <w:rsid w:val="00BC0EEC"/>
    <w:rsid w:val="00BC2C31"/>
    <w:rsid w:val="00BC2E04"/>
    <w:rsid w:val="00BC4184"/>
    <w:rsid w:val="00BC4E34"/>
    <w:rsid w:val="00BC5234"/>
    <w:rsid w:val="00BC5960"/>
    <w:rsid w:val="00BD01EB"/>
    <w:rsid w:val="00BD293F"/>
    <w:rsid w:val="00BD35D6"/>
    <w:rsid w:val="00BD391B"/>
    <w:rsid w:val="00BD4160"/>
    <w:rsid w:val="00BD4393"/>
    <w:rsid w:val="00BD5439"/>
    <w:rsid w:val="00BD6F88"/>
    <w:rsid w:val="00BE029C"/>
    <w:rsid w:val="00BE09EB"/>
    <w:rsid w:val="00BE1406"/>
    <w:rsid w:val="00BE1B6C"/>
    <w:rsid w:val="00BE1C23"/>
    <w:rsid w:val="00BE3740"/>
    <w:rsid w:val="00BE39F5"/>
    <w:rsid w:val="00BE4BA5"/>
    <w:rsid w:val="00BE528B"/>
    <w:rsid w:val="00BE6990"/>
    <w:rsid w:val="00BF4017"/>
    <w:rsid w:val="00BF4587"/>
    <w:rsid w:val="00BF4744"/>
    <w:rsid w:val="00BF48F7"/>
    <w:rsid w:val="00BF4C92"/>
    <w:rsid w:val="00BF65B6"/>
    <w:rsid w:val="00BF6646"/>
    <w:rsid w:val="00BF6651"/>
    <w:rsid w:val="00BF6712"/>
    <w:rsid w:val="00BF67E8"/>
    <w:rsid w:val="00BF7A35"/>
    <w:rsid w:val="00C003C2"/>
    <w:rsid w:val="00C00766"/>
    <w:rsid w:val="00C02E79"/>
    <w:rsid w:val="00C030D2"/>
    <w:rsid w:val="00C03B3B"/>
    <w:rsid w:val="00C03C81"/>
    <w:rsid w:val="00C042CC"/>
    <w:rsid w:val="00C04740"/>
    <w:rsid w:val="00C05BAF"/>
    <w:rsid w:val="00C05CAF"/>
    <w:rsid w:val="00C05F9A"/>
    <w:rsid w:val="00C06839"/>
    <w:rsid w:val="00C10F51"/>
    <w:rsid w:val="00C12794"/>
    <w:rsid w:val="00C13889"/>
    <w:rsid w:val="00C147E5"/>
    <w:rsid w:val="00C165B2"/>
    <w:rsid w:val="00C16C99"/>
    <w:rsid w:val="00C16FA2"/>
    <w:rsid w:val="00C1741C"/>
    <w:rsid w:val="00C17FF3"/>
    <w:rsid w:val="00C20029"/>
    <w:rsid w:val="00C20BB8"/>
    <w:rsid w:val="00C21E43"/>
    <w:rsid w:val="00C220AB"/>
    <w:rsid w:val="00C228CC"/>
    <w:rsid w:val="00C22DD7"/>
    <w:rsid w:val="00C2317A"/>
    <w:rsid w:val="00C23381"/>
    <w:rsid w:val="00C23CEA"/>
    <w:rsid w:val="00C23D15"/>
    <w:rsid w:val="00C24809"/>
    <w:rsid w:val="00C24854"/>
    <w:rsid w:val="00C24D85"/>
    <w:rsid w:val="00C24DEF"/>
    <w:rsid w:val="00C24F93"/>
    <w:rsid w:val="00C26B3E"/>
    <w:rsid w:val="00C27AC2"/>
    <w:rsid w:val="00C27CA1"/>
    <w:rsid w:val="00C30800"/>
    <w:rsid w:val="00C308E1"/>
    <w:rsid w:val="00C30ADD"/>
    <w:rsid w:val="00C32C2E"/>
    <w:rsid w:val="00C34C83"/>
    <w:rsid w:val="00C37771"/>
    <w:rsid w:val="00C40AE0"/>
    <w:rsid w:val="00C420C7"/>
    <w:rsid w:val="00C42BF7"/>
    <w:rsid w:val="00C44FD9"/>
    <w:rsid w:val="00C4526F"/>
    <w:rsid w:val="00C4687D"/>
    <w:rsid w:val="00C46D77"/>
    <w:rsid w:val="00C5086C"/>
    <w:rsid w:val="00C51CA8"/>
    <w:rsid w:val="00C51DDE"/>
    <w:rsid w:val="00C52A70"/>
    <w:rsid w:val="00C54FDD"/>
    <w:rsid w:val="00C552CC"/>
    <w:rsid w:val="00C556ED"/>
    <w:rsid w:val="00C56082"/>
    <w:rsid w:val="00C561C9"/>
    <w:rsid w:val="00C56A54"/>
    <w:rsid w:val="00C56EC7"/>
    <w:rsid w:val="00C57795"/>
    <w:rsid w:val="00C60A21"/>
    <w:rsid w:val="00C6323F"/>
    <w:rsid w:val="00C632C1"/>
    <w:rsid w:val="00C63BCC"/>
    <w:rsid w:val="00C642A7"/>
    <w:rsid w:val="00C65791"/>
    <w:rsid w:val="00C67543"/>
    <w:rsid w:val="00C67674"/>
    <w:rsid w:val="00C72A58"/>
    <w:rsid w:val="00C73245"/>
    <w:rsid w:val="00C7571A"/>
    <w:rsid w:val="00C75C05"/>
    <w:rsid w:val="00C76E72"/>
    <w:rsid w:val="00C77833"/>
    <w:rsid w:val="00C8095A"/>
    <w:rsid w:val="00C80BDF"/>
    <w:rsid w:val="00C82420"/>
    <w:rsid w:val="00C83618"/>
    <w:rsid w:val="00C83C62"/>
    <w:rsid w:val="00C84A18"/>
    <w:rsid w:val="00C859E1"/>
    <w:rsid w:val="00C8610E"/>
    <w:rsid w:val="00C866D3"/>
    <w:rsid w:val="00C87E09"/>
    <w:rsid w:val="00C90B80"/>
    <w:rsid w:val="00C913A3"/>
    <w:rsid w:val="00C913E6"/>
    <w:rsid w:val="00C916EA"/>
    <w:rsid w:val="00C9171F"/>
    <w:rsid w:val="00C91EE6"/>
    <w:rsid w:val="00C9242E"/>
    <w:rsid w:val="00C9254D"/>
    <w:rsid w:val="00C933F4"/>
    <w:rsid w:val="00C9525E"/>
    <w:rsid w:val="00C9554E"/>
    <w:rsid w:val="00C969CC"/>
    <w:rsid w:val="00C97895"/>
    <w:rsid w:val="00C97944"/>
    <w:rsid w:val="00CA0771"/>
    <w:rsid w:val="00CA0E8B"/>
    <w:rsid w:val="00CA0EE7"/>
    <w:rsid w:val="00CA18C7"/>
    <w:rsid w:val="00CA2E92"/>
    <w:rsid w:val="00CA363D"/>
    <w:rsid w:val="00CA3EEA"/>
    <w:rsid w:val="00CA5523"/>
    <w:rsid w:val="00CA5559"/>
    <w:rsid w:val="00CB08F7"/>
    <w:rsid w:val="00CB0B4B"/>
    <w:rsid w:val="00CB0F15"/>
    <w:rsid w:val="00CB2580"/>
    <w:rsid w:val="00CB26BC"/>
    <w:rsid w:val="00CB2C8A"/>
    <w:rsid w:val="00CB358C"/>
    <w:rsid w:val="00CB4A23"/>
    <w:rsid w:val="00CB4B71"/>
    <w:rsid w:val="00CB4BDB"/>
    <w:rsid w:val="00CC000E"/>
    <w:rsid w:val="00CC0087"/>
    <w:rsid w:val="00CC1495"/>
    <w:rsid w:val="00CC22DA"/>
    <w:rsid w:val="00CC2449"/>
    <w:rsid w:val="00CC28D8"/>
    <w:rsid w:val="00CC3D12"/>
    <w:rsid w:val="00CC403F"/>
    <w:rsid w:val="00CC4763"/>
    <w:rsid w:val="00CC7581"/>
    <w:rsid w:val="00CC77CF"/>
    <w:rsid w:val="00CC7F7B"/>
    <w:rsid w:val="00CC7FA4"/>
    <w:rsid w:val="00CD0831"/>
    <w:rsid w:val="00CD08A2"/>
    <w:rsid w:val="00CD2AB7"/>
    <w:rsid w:val="00CD2EFE"/>
    <w:rsid w:val="00CD382C"/>
    <w:rsid w:val="00CD3D2A"/>
    <w:rsid w:val="00CD413B"/>
    <w:rsid w:val="00CD430C"/>
    <w:rsid w:val="00CD4AB3"/>
    <w:rsid w:val="00CD4B09"/>
    <w:rsid w:val="00CD6FD9"/>
    <w:rsid w:val="00CD779B"/>
    <w:rsid w:val="00CE06E3"/>
    <w:rsid w:val="00CE1AF8"/>
    <w:rsid w:val="00CE4D94"/>
    <w:rsid w:val="00CE5032"/>
    <w:rsid w:val="00CE5252"/>
    <w:rsid w:val="00CE5C29"/>
    <w:rsid w:val="00CE6D7F"/>
    <w:rsid w:val="00CE6EF5"/>
    <w:rsid w:val="00CE7915"/>
    <w:rsid w:val="00CF1593"/>
    <w:rsid w:val="00CF159F"/>
    <w:rsid w:val="00CF15CF"/>
    <w:rsid w:val="00CF4492"/>
    <w:rsid w:val="00CF660F"/>
    <w:rsid w:val="00CF7702"/>
    <w:rsid w:val="00D0166D"/>
    <w:rsid w:val="00D019AA"/>
    <w:rsid w:val="00D01F18"/>
    <w:rsid w:val="00D0252B"/>
    <w:rsid w:val="00D02E51"/>
    <w:rsid w:val="00D02FE2"/>
    <w:rsid w:val="00D03C51"/>
    <w:rsid w:val="00D03C7C"/>
    <w:rsid w:val="00D0481F"/>
    <w:rsid w:val="00D04E52"/>
    <w:rsid w:val="00D06C0D"/>
    <w:rsid w:val="00D12480"/>
    <w:rsid w:val="00D12BBD"/>
    <w:rsid w:val="00D12C4B"/>
    <w:rsid w:val="00D13366"/>
    <w:rsid w:val="00D14E42"/>
    <w:rsid w:val="00D1661C"/>
    <w:rsid w:val="00D2080A"/>
    <w:rsid w:val="00D249A4"/>
    <w:rsid w:val="00D25241"/>
    <w:rsid w:val="00D25258"/>
    <w:rsid w:val="00D25736"/>
    <w:rsid w:val="00D26AD2"/>
    <w:rsid w:val="00D26EBB"/>
    <w:rsid w:val="00D27058"/>
    <w:rsid w:val="00D272F0"/>
    <w:rsid w:val="00D27478"/>
    <w:rsid w:val="00D278C2"/>
    <w:rsid w:val="00D301FD"/>
    <w:rsid w:val="00D3185F"/>
    <w:rsid w:val="00D31970"/>
    <w:rsid w:val="00D31E29"/>
    <w:rsid w:val="00D3237D"/>
    <w:rsid w:val="00D327CE"/>
    <w:rsid w:val="00D32956"/>
    <w:rsid w:val="00D32D07"/>
    <w:rsid w:val="00D331D6"/>
    <w:rsid w:val="00D33235"/>
    <w:rsid w:val="00D337B8"/>
    <w:rsid w:val="00D34050"/>
    <w:rsid w:val="00D340F7"/>
    <w:rsid w:val="00D34E39"/>
    <w:rsid w:val="00D35310"/>
    <w:rsid w:val="00D35E2A"/>
    <w:rsid w:val="00D36391"/>
    <w:rsid w:val="00D375C5"/>
    <w:rsid w:val="00D429D6"/>
    <w:rsid w:val="00D455B0"/>
    <w:rsid w:val="00D45E8D"/>
    <w:rsid w:val="00D4741F"/>
    <w:rsid w:val="00D47CFA"/>
    <w:rsid w:val="00D508E4"/>
    <w:rsid w:val="00D50C4E"/>
    <w:rsid w:val="00D510F3"/>
    <w:rsid w:val="00D513C8"/>
    <w:rsid w:val="00D539B6"/>
    <w:rsid w:val="00D53C1F"/>
    <w:rsid w:val="00D54074"/>
    <w:rsid w:val="00D54D35"/>
    <w:rsid w:val="00D5588B"/>
    <w:rsid w:val="00D56CFC"/>
    <w:rsid w:val="00D5799E"/>
    <w:rsid w:val="00D57C2D"/>
    <w:rsid w:val="00D60F62"/>
    <w:rsid w:val="00D6139D"/>
    <w:rsid w:val="00D613C0"/>
    <w:rsid w:val="00D61413"/>
    <w:rsid w:val="00D62539"/>
    <w:rsid w:val="00D6283F"/>
    <w:rsid w:val="00D63153"/>
    <w:rsid w:val="00D64D5E"/>
    <w:rsid w:val="00D65B74"/>
    <w:rsid w:val="00D6643F"/>
    <w:rsid w:val="00D66FA6"/>
    <w:rsid w:val="00D67FB5"/>
    <w:rsid w:val="00D701FB"/>
    <w:rsid w:val="00D70D6B"/>
    <w:rsid w:val="00D7171E"/>
    <w:rsid w:val="00D71F99"/>
    <w:rsid w:val="00D7243A"/>
    <w:rsid w:val="00D72501"/>
    <w:rsid w:val="00D7260F"/>
    <w:rsid w:val="00D72774"/>
    <w:rsid w:val="00D727CB"/>
    <w:rsid w:val="00D73780"/>
    <w:rsid w:val="00D73CE2"/>
    <w:rsid w:val="00D75409"/>
    <w:rsid w:val="00D75B6D"/>
    <w:rsid w:val="00D763DF"/>
    <w:rsid w:val="00D80434"/>
    <w:rsid w:val="00D81B04"/>
    <w:rsid w:val="00D82E2A"/>
    <w:rsid w:val="00D83A41"/>
    <w:rsid w:val="00D83C6D"/>
    <w:rsid w:val="00D83CA6"/>
    <w:rsid w:val="00D856F6"/>
    <w:rsid w:val="00D85B71"/>
    <w:rsid w:val="00D85BBB"/>
    <w:rsid w:val="00D8662B"/>
    <w:rsid w:val="00D86858"/>
    <w:rsid w:val="00D86C17"/>
    <w:rsid w:val="00D86CF5"/>
    <w:rsid w:val="00D86D46"/>
    <w:rsid w:val="00D87486"/>
    <w:rsid w:val="00D87AA1"/>
    <w:rsid w:val="00D87ED8"/>
    <w:rsid w:val="00D90142"/>
    <w:rsid w:val="00D9045D"/>
    <w:rsid w:val="00D90B08"/>
    <w:rsid w:val="00D90C19"/>
    <w:rsid w:val="00D91E5F"/>
    <w:rsid w:val="00D92062"/>
    <w:rsid w:val="00D92125"/>
    <w:rsid w:val="00D92DCC"/>
    <w:rsid w:val="00D93473"/>
    <w:rsid w:val="00D94308"/>
    <w:rsid w:val="00D948AF"/>
    <w:rsid w:val="00D949F1"/>
    <w:rsid w:val="00D94B74"/>
    <w:rsid w:val="00D952BE"/>
    <w:rsid w:val="00D95AC8"/>
    <w:rsid w:val="00D96452"/>
    <w:rsid w:val="00DA0380"/>
    <w:rsid w:val="00DA063B"/>
    <w:rsid w:val="00DA1625"/>
    <w:rsid w:val="00DA173A"/>
    <w:rsid w:val="00DA1923"/>
    <w:rsid w:val="00DA2310"/>
    <w:rsid w:val="00DA2759"/>
    <w:rsid w:val="00DA3330"/>
    <w:rsid w:val="00DA3563"/>
    <w:rsid w:val="00DA3581"/>
    <w:rsid w:val="00DA5235"/>
    <w:rsid w:val="00DA5CAE"/>
    <w:rsid w:val="00DA5F41"/>
    <w:rsid w:val="00DA6583"/>
    <w:rsid w:val="00DA7F62"/>
    <w:rsid w:val="00DB0F68"/>
    <w:rsid w:val="00DB15EE"/>
    <w:rsid w:val="00DB1B03"/>
    <w:rsid w:val="00DB1ED2"/>
    <w:rsid w:val="00DB211B"/>
    <w:rsid w:val="00DB22AB"/>
    <w:rsid w:val="00DB37C8"/>
    <w:rsid w:val="00DB484C"/>
    <w:rsid w:val="00DB4E07"/>
    <w:rsid w:val="00DB5E96"/>
    <w:rsid w:val="00DB747D"/>
    <w:rsid w:val="00DC0314"/>
    <w:rsid w:val="00DC1AEC"/>
    <w:rsid w:val="00DC2787"/>
    <w:rsid w:val="00DC2B13"/>
    <w:rsid w:val="00DC39BE"/>
    <w:rsid w:val="00DC578B"/>
    <w:rsid w:val="00DC5A07"/>
    <w:rsid w:val="00DC6493"/>
    <w:rsid w:val="00DC66BD"/>
    <w:rsid w:val="00DC6EC3"/>
    <w:rsid w:val="00DC7137"/>
    <w:rsid w:val="00DC78C1"/>
    <w:rsid w:val="00DD0113"/>
    <w:rsid w:val="00DD1486"/>
    <w:rsid w:val="00DD25FD"/>
    <w:rsid w:val="00DD373B"/>
    <w:rsid w:val="00DD4CE0"/>
    <w:rsid w:val="00DD638F"/>
    <w:rsid w:val="00DD6522"/>
    <w:rsid w:val="00DD7BA2"/>
    <w:rsid w:val="00DE0309"/>
    <w:rsid w:val="00DE04C6"/>
    <w:rsid w:val="00DE0744"/>
    <w:rsid w:val="00DE08AD"/>
    <w:rsid w:val="00DE1CE3"/>
    <w:rsid w:val="00DE22C5"/>
    <w:rsid w:val="00DE2D80"/>
    <w:rsid w:val="00DE351A"/>
    <w:rsid w:val="00DE3818"/>
    <w:rsid w:val="00DE47AC"/>
    <w:rsid w:val="00DE4E61"/>
    <w:rsid w:val="00DE52B7"/>
    <w:rsid w:val="00DE59E1"/>
    <w:rsid w:val="00DE6B77"/>
    <w:rsid w:val="00DE6C20"/>
    <w:rsid w:val="00DF0562"/>
    <w:rsid w:val="00DF4293"/>
    <w:rsid w:val="00DF5191"/>
    <w:rsid w:val="00DF6854"/>
    <w:rsid w:val="00DF6C34"/>
    <w:rsid w:val="00DF736C"/>
    <w:rsid w:val="00DF79F0"/>
    <w:rsid w:val="00DF7E82"/>
    <w:rsid w:val="00E02AAF"/>
    <w:rsid w:val="00E0308C"/>
    <w:rsid w:val="00E04EB7"/>
    <w:rsid w:val="00E05453"/>
    <w:rsid w:val="00E05924"/>
    <w:rsid w:val="00E06941"/>
    <w:rsid w:val="00E10431"/>
    <w:rsid w:val="00E10D79"/>
    <w:rsid w:val="00E12335"/>
    <w:rsid w:val="00E13569"/>
    <w:rsid w:val="00E1424F"/>
    <w:rsid w:val="00E14B4D"/>
    <w:rsid w:val="00E17557"/>
    <w:rsid w:val="00E2157E"/>
    <w:rsid w:val="00E25B6F"/>
    <w:rsid w:val="00E300FC"/>
    <w:rsid w:val="00E303EB"/>
    <w:rsid w:val="00E30F5D"/>
    <w:rsid w:val="00E3153C"/>
    <w:rsid w:val="00E326DE"/>
    <w:rsid w:val="00E32708"/>
    <w:rsid w:val="00E330E9"/>
    <w:rsid w:val="00E3501A"/>
    <w:rsid w:val="00E353A4"/>
    <w:rsid w:val="00E35D5F"/>
    <w:rsid w:val="00E40782"/>
    <w:rsid w:val="00E41D01"/>
    <w:rsid w:val="00E426CB"/>
    <w:rsid w:val="00E42C0E"/>
    <w:rsid w:val="00E4333C"/>
    <w:rsid w:val="00E4342C"/>
    <w:rsid w:val="00E43DD5"/>
    <w:rsid w:val="00E46B28"/>
    <w:rsid w:val="00E471E9"/>
    <w:rsid w:val="00E47662"/>
    <w:rsid w:val="00E47B85"/>
    <w:rsid w:val="00E47F64"/>
    <w:rsid w:val="00E5011F"/>
    <w:rsid w:val="00E50200"/>
    <w:rsid w:val="00E508DE"/>
    <w:rsid w:val="00E50D74"/>
    <w:rsid w:val="00E5261B"/>
    <w:rsid w:val="00E526AF"/>
    <w:rsid w:val="00E52D2C"/>
    <w:rsid w:val="00E52D30"/>
    <w:rsid w:val="00E52ED5"/>
    <w:rsid w:val="00E5304E"/>
    <w:rsid w:val="00E53591"/>
    <w:rsid w:val="00E53FAB"/>
    <w:rsid w:val="00E5457B"/>
    <w:rsid w:val="00E54BD8"/>
    <w:rsid w:val="00E56DD3"/>
    <w:rsid w:val="00E571B1"/>
    <w:rsid w:val="00E572B1"/>
    <w:rsid w:val="00E57DA8"/>
    <w:rsid w:val="00E60414"/>
    <w:rsid w:val="00E604E2"/>
    <w:rsid w:val="00E612C9"/>
    <w:rsid w:val="00E64E2C"/>
    <w:rsid w:val="00E64FD9"/>
    <w:rsid w:val="00E64FE0"/>
    <w:rsid w:val="00E65E33"/>
    <w:rsid w:val="00E6624E"/>
    <w:rsid w:val="00E663FF"/>
    <w:rsid w:val="00E6724D"/>
    <w:rsid w:val="00E7097D"/>
    <w:rsid w:val="00E70F33"/>
    <w:rsid w:val="00E70F8F"/>
    <w:rsid w:val="00E7145F"/>
    <w:rsid w:val="00E71910"/>
    <w:rsid w:val="00E72528"/>
    <w:rsid w:val="00E736BE"/>
    <w:rsid w:val="00E75D22"/>
    <w:rsid w:val="00E75E18"/>
    <w:rsid w:val="00E76421"/>
    <w:rsid w:val="00E76AB9"/>
    <w:rsid w:val="00E770AC"/>
    <w:rsid w:val="00E77B8A"/>
    <w:rsid w:val="00E77D39"/>
    <w:rsid w:val="00E82C3C"/>
    <w:rsid w:val="00E82DB9"/>
    <w:rsid w:val="00E8339A"/>
    <w:rsid w:val="00E841DB"/>
    <w:rsid w:val="00E848BF"/>
    <w:rsid w:val="00E856CE"/>
    <w:rsid w:val="00E86388"/>
    <w:rsid w:val="00E91554"/>
    <w:rsid w:val="00E91A0D"/>
    <w:rsid w:val="00E91AF9"/>
    <w:rsid w:val="00E91F3D"/>
    <w:rsid w:val="00E92252"/>
    <w:rsid w:val="00E93174"/>
    <w:rsid w:val="00E93396"/>
    <w:rsid w:val="00E935E7"/>
    <w:rsid w:val="00E94011"/>
    <w:rsid w:val="00E94550"/>
    <w:rsid w:val="00E945A4"/>
    <w:rsid w:val="00E945F8"/>
    <w:rsid w:val="00E9473D"/>
    <w:rsid w:val="00E94E45"/>
    <w:rsid w:val="00E96392"/>
    <w:rsid w:val="00E97458"/>
    <w:rsid w:val="00EA02B2"/>
    <w:rsid w:val="00EA09CC"/>
    <w:rsid w:val="00EA115C"/>
    <w:rsid w:val="00EA19C2"/>
    <w:rsid w:val="00EA2421"/>
    <w:rsid w:val="00EA30F5"/>
    <w:rsid w:val="00EA32C3"/>
    <w:rsid w:val="00EA4467"/>
    <w:rsid w:val="00EA486D"/>
    <w:rsid w:val="00EA62FF"/>
    <w:rsid w:val="00EA6AF2"/>
    <w:rsid w:val="00EA78F6"/>
    <w:rsid w:val="00EA7E6C"/>
    <w:rsid w:val="00EB0299"/>
    <w:rsid w:val="00EB131A"/>
    <w:rsid w:val="00EB1DF8"/>
    <w:rsid w:val="00EB2288"/>
    <w:rsid w:val="00EB26BC"/>
    <w:rsid w:val="00EB2A48"/>
    <w:rsid w:val="00EB3709"/>
    <w:rsid w:val="00EB4706"/>
    <w:rsid w:val="00EB4B6C"/>
    <w:rsid w:val="00EB5016"/>
    <w:rsid w:val="00EB5658"/>
    <w:rsid w:val="00EB7AB2"/>
    <w:rsid w:val="00EB7BB8"/>
    <w:rsid w:val="00EC072A"/>
    <w:rsid w:val="00EC15F1"/>
    <w:rsid w:val="00EC1EC8"/>
    <w:rsid w:val="00EC2BCB"/>
    <w:rsid w:val="00EC38CD"/>
    <w:rsid w:val="00EC425F"/>
    <w:rsid w:val="00EC4802"/>
    <w:rsid w:val="00EC52D3"/>
    <w:rsid w:val="00EC5696"/>
    <w:rsid w:val="00EC6D82"/>
    <w:rsid w:val="00EC7396"/>
    <w:rsid w:val="00ED02D9"/>
    <w:rsid w:val="00ED083D"/>
    <w:rsid w:val="00ED10D3"/>
    <w:rsid w:val="00ED21DC"/>
    <w:rsid w:val="00ED345F"/>
    <w:rsid w:val="00ED4D58"/>
    <w:rsid w:val="00ED4DD8"/>
    <w:rsid w:val="00ED52DF"/>
    <w:rsid w:val="00ED5DF8"/>
    <w:rsid w:val="00ED5FF9"/>
    <w:rsid w:val="00ED6959"/>
    <w:rsid w:val="00ED6AA2"/>
    <w:rsid w:val="00ED7492"/>
    <w:rsid w:val="00ED7ECB"/>
    <w:rsid w:val="00EE0641"/>
    <w:rsid w:val="00EE1745"/>
    <w:rsid w:val="00EE20C5"/>
    <w:rsid w:val="00EE430B"/>
    <w:rsid w:val="00EE50AE"/>
    <w:rsid w:val="00EE690C"/>
    <w:rsid w:val="00EF1C22"/>
    <w:rsid w:val="00EF2784"/>
    <w:rsid w:val="00EF27C6"/>
    <w:rsid w:val="00EF32A0"/>
    <w:rsid w:val="00EF3CDA"/>
    <w:rsid w:val="00EF3EAC"/>
    <w:rsid w:val="00EF403E"/>
    <w:rsid w:val="00EF53EB"/>
    <w:rsid w:val="00EF6829"/>
    <w:rsid w:val="00EF7080"/>
    <w:rsid w:val="00EF7727"/>
    <w:rsid w:val="00EF7CBF"/>
    <w:rsid w:val="00F00BB7"/>
    <w:rsid w:val="00F01763"/>
    <w:rsid w:val="00F018FE"/>
    <w:rsid w:val="00F031A0"/>
    <w:rsid w:val="00F04955"/>
    <w:rsid w:val="00F05291"/>
    <w:rsid w:val="00F0536E"/>
    <w:rsid w:val="00F053CF"/>
    <w:rsid w:val="00F0637C"/>
    <w:rsid w:val="00F07108"/>
    <w:rsid w:val="00F07722"/>
    <w:rsid w:val="00F07736"/>
    <w:rsid w:val="00F121FC"/>
    <w:rsid w:val="00F139B7"/>
    <w:rsid w:val="00F154D0"/>
    <w:rsid w:val="00F16622"/>
    <w:rsid w:val="00F17516"/>
    <w:rsid w:val="00F2105B"/>
    <w:rsid w:val="00F21084"/>
    <w:rsid w:val="00F218EE"/>
    <w:rsid w:val="00F220DF"/>
    <w:rsid w:val="00F22AD5"/>
    <w:rsid w:val="00F239F9"/>
    <w:rsid w:val="00F24102"/>
    <w:rsid w:val="00F24D46"/>
    <w:rsid w:val="00F26671"/>
    <w:rsid w:val="00F26F7A"/>
    <w:rsid w:val="00F27868"/>
    <w:rsid w:val="00F27E79"/>
    <w:rsid w:val="00F27FA6"/>
    <w:rsid w:val="00F30384"/>
    <w:rsid w:val="00F306FB"/>
    <w:rsid w:val="00F31642"/>
    <w:rsid w:val="00F32EF2"/>
    <w:rsid w:val="00F34178"/>
    <w:rsid w:val="00F35846"/>
    <w:rsid w:val="00F368F5"/>
    <w:rsid w:val="00F36A43"/>
    <w:rsid w:val="00F371CF"/>
    <w:rsid w:val="00F40B2C"/>
    <w:rsid w:val="00F4159B"/>
    <w:rsid w:val="00F41B95"/>
    <w:rsid w:val="00F41D19"/>
    <w:rsid w:val="00F41EE8"/>
    <w:rsid w:val="00F41F70"/>
    <w:rsid w:val="00F42019"/>
    <w:rsid w:val="00F435BA"/>
    <w:rsid w:val="00F44081"/>
    <w:rsid w:val="00F44ABB"/>
    <w:rsid w:val="00F460BD"/>
    <w:rsid w:val="00F46CBB"/>
    <w:rsid w:val="00F47E00"/>
    <w:rsid w:val="00F5002A"/>
    <w:rsid w:val="00F5166E"/>
    <w:rsid w:val="00F5258E"/>
    <w:rsid w:val="00F5414A"/>
    <w:rsid w:val="00F5436D"/>
    <w:rsid w:val="00F552C7"/>
    <w:rsid w:val="00F553EF"/>
    <w:rsid w:val="00F556C5"/>
    <w:rsid w:val="00F56765"/>
    <w:rsid w:val="00F56782"/>
    <w:rsid w:val="00F577C8"/>
    <w:rsid w:val="00F61784"/>
    <w:rsid w:val="00F61804"/>
    <w:rsid w:val="00F64A29"/>
    <w:rsid w:val="00F6514A"/>
    <w:rsid w:val="00F655FA"/>
    <w:rsid w:val="00F65F5F"/>
    <w:rsid w:val="00F66584"/>
    <w:rsid w:val="00F673F5"/>
    <w:rsid w:val="00F67734"/>
    <w:rsid w:val="00F7018A"/>
    <w:rsid w:val="00F70A8A"/>
    <w:rsid w:val="00F713EA"/>
    <w:rsid w:val="00F71AAA"/>
    <w:rsid w:val="00F721A3"/>
    <w:rsid w:val="00F72750"/>
    <w:rsid w:val="00F73000"/>
    <w:rsid w:val="00F733DE"/>
    <w:rsid w:val="00F73945"/>
    <w:rsid w:val="00F73BF5"/>
    <w:rsid w:val="00F73E90"/>
    <w:rsid w:val="00F74083"/>
    <w:rsid w:val="00F74596"/>
    <w:rsid w:val="00F751B6"/>
    <w:rsid w:val="00F7568D"/>
    <w:rsid w:val="00F75839"/>
    <w:rsid w:val="00F76368"/>
    <w:rsid w:val="00F80DB0"/>
    <w:rsid w:val="00F81779"/>
    <w:rsid w:val="00F82D62"/>
    <w:rsid w:val="00F8310B"/>
    <w:rsid w:val="00F8338A"/>
    <w:rsid w:val="00F84D19"/>
    <w:rsid w:val="00F84FF5"/>
    <w:rsid w:val="00F854D8"/>
    <w:rsid w:val="00F873FB"/>
    <w:rsid w:val="00F87F08"/>
    <w:rsid w:val="00F90583"/>
    <w:rsid w:val="00F917A9"/>
    <w:rsid w:val="00F91B41"/>
    <w:rsid w:val="00F9247C"/>
    <w:rsid w:val="00F936A5"/>
    <w:rsid w:val="00F937B2"/>
    <w:rsid w:val="00F942C2"/>
    <w:rsid w:val="00F94529"/>
    <w:rsid w:val="00F9542E"/>
    <w:rsid w:val="00F95819"/>
    <w:rsid w:val="00F96EA7"/>
    <w:rsid w:val="00FA20B5"/>
    <w:rsid w:val="00FA2BFC"/>
    <w:rsid w:val="00FA4433"/>
    <w:rsid w:val="00FA4E47"/>
    <w:rsid w:val="00FA56DE"/>
    <w:rsid w:val="00FA649B"/>
    <w:rsid w:val="00FA6540"/>
    <w:rsid w:val="00FA7788"/>
    <w:rsid w:val="00FA7886"/>
    <w:rsid w:val="00FB0549"/>
    <w:rsid w:val="00FB2252"/>
    <w:rsid w:val="00FB2F8C"/>
    <w:rsid w:val="00FB41C0"/>
    <w:rsid w:val="00FB4C73"/>
    <w:rsid w:val="00FB59CB"/>
    <w:rsid w:val="00FB6C5A"/>
    <w:rsid w:val="00FB6D57"/>
    <w:rsid w:val="00FB6FD0"/>
    <w:rsid w:val="00FB74D8"/>
    <w:rsid w:val="00FB7744"/>
    <w:rsid w:val="00FC0915"/>
    <w:rsid w:val="00FC247E"/>
    <w:rsid w:val="00FC27BD"/>
    <w:rsid w:val="00FC50F9"/>
    <w:rsid w:val="00FC63F8"/>
    <w:rsid w:val="00FC673F"/>
    <w:rsid w:val="00FC6E77"/>
    <w:rsid w:val="00FC7442"/>
    <w:rsid w:val="00FC7DF3"/>
    <w:rsid w:val="00FD13C8"/>
    <w:rsid w:val="00FD17FE"/>
    <w:rsid w:val="00FD194B"/>
    <w:rsid w:val="00FD2383"/>
    <w:rsid w:val="00FD2B3C"/>
    <w:rsid w:val="00FD2B7A"/>
    <w:rsid w:val="00FD3A59"/>
    <w:rsid w:val="00FD3B42"/>
    <w:rsid w:val="00FD448B"/>
    <w:rsid w:val="00FD4FA5"/>
    <w:rsid w:val="00FD5231"/>
    <w:rsid w:val="00FE0524"/>
    <w:rsid w:val="00FE1D5A"/>
    <w:rsid w:val="00FE1FAA"/>
    <w:rsid w:val="00FE23B0"/>
    <w:rsid w:val="00FE2859"/>
    <w:rsid w:val="00FE390C"/>
    <w:rsid w:val="00FE4206"/>
    <w:rsid w:val="00FE5FCE"/>
    <w:rsid w:val="00FE6460"/>
    <w:rsid w:val="00FE7096"/>
    <w:rsid w:val="00FE74C4"/>
    <w:rsid w:val="00FE7E38"/>
    <w:rsid w:val="00FF0316"/>
    <w:rsid w:val="00FF049B"/>
    <w:rsid w:val="00FF2384"/>
    <w:rsid w:val="00FF2F2C"/>
    <w:rsid w:val="00FF3282"/>
    <w:rsid w:val="00FF4330"/>
    <w:rsid w:val="00FF45CA"/>
    <w:rsid w:val="00FF7309"/>
    <w:rsid w:val="00FF7F0C"/>
    <w:rsid w:val="00FF7F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F8B7"/>
  <w15:chartTrackingRefBased/>
  <w15:docId w15:val="{B700EEF5-30E7-41A6-ACF6-965DD14D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F68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F68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4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90430"/>
  </w:style>
  <w:style w:type="paragraph" w:styleId="Footer">
    <w:name w:val="footer"/>
    <w:basedOn w:val="Normal"/>
    <w:link w:val="FooterChar"/>
    <w:uiPriority w:val="99"/>
    <w:unhideWhenUsed/>
    <w:rsid w:val="009904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0430"/>
  </w:style>
  <w:style w:type="paragraph" w:customStyle="1" w:styleId="Normalny1">
    <w:name w:val="Normalny1"/>
    <w:basedOn w:val="Normal"/>
    <w:rsid w:val="00AE322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ListParagraph">
    <w:name w:val="List Paragraph"/>
    <w:basedOn w:val="Normal"/>
    <w:uiPriority w:val="34"/>
    <w:qFormat/>
    <w:rsid w:val="00AE322E"/>
    <w:pPr>
      <w:ind w:left="720"/>
      <w:contextualSpacing/>
    </w:pPr>
  </w:style>
  <w:style w:type="paragraph" w:customStyle="1" w:styleId="ti-art">
    <w:name w:val="ti-art"/>
    <w:basedOn w:val="Normal"/>
    <w:rsid w:val="00AE322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Web">
    <w:name w:val="Normal (Web)"/>
    <w:basedOn w:val="Normal"/>
    <w:uiPriority w:val="99"/>
    <w:unhideWhenUsed/>
    <w:rsid w:val="00AE322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yperlink">
    <w:name w:val="Hyperlink"/>
    <w:basedOn w:val="DefaultParagraphFont"/>
    <w:uiPriority w:val="99"/>
    <w:unhideWhenUsed/>
    <w:rsid w:val="001434F2"/>
    <w:rPr>
      <w:color w:val="0000FF"/>
      <w:u w:val="single"/>
    </w:rPr>
  </w:style>
  <w:style w:type="paragraph" w:styleId="BodyTextIndent2">
    <w:name w:val="Body Text Indent 2"/>
    <w:basedOn w:val="Normal"/>
    <w:link w:val="BodyTextIndent2Char"/>
    <w:semiHidden/>
    <w:rsid w:val="00822E2C"/>
    <w:pPr>
      <w:tabs>
        <w:tab w:val="left" w:pos="567"/>
        <w:tab w:val="left" w:pos="1134"/>
      </w:tabs>
      <w:spacing w:after="0" w:line="240" w:lineRule="auto"/>
      <w:ind w:left="1134" w:hanging="567"/>
      <w:jc w:val="both"/>
    </w:pPr>
    <w:rPr>
      <w:rFonts w:ascii="Times New Roman" w:eastAsia="Times New Roman" w:hAnsi="Times New Roman" w:cs="Times New Roman"/>
      <w:sz w:val="24"/>
      <w:szCs w:val="24"/>
      <w:lang w:eastAsia="pl-PL"/>
    </w:rPr>
  </w:style>
  <w:style w:type="character" w:customStyle="1" w:styleId="BodyTextIndent2Char">
    <w:name w:val="Body Text Indent 2 Char"/>
    <w:basedOn w:val="DefaultParagraphFont"/>
    <w:link w:val="BodyTextIndent2"/>
    <w:semiHidden/>
    <w:rsid w:val="00822E2C"/>
    <w:rPr>
      <w:rFonts w:ascii="Times New Roman" w:eastAsia="Times New Roman" w:hAnsi="Times New Roman" w:cs="Times New Roman"/>
      <w:sz w:val="24"/>
      <w:szCs w:val="24"/>
      <w:lang w:eastAsia="pl-PL"/>
    </w:rPr>
  </w:style>
  <w:style w:type="character" w:customStyle="1" w:styleId="fn-ref">
    <w:name w:val="fn-ref"/>
    <w:basedOn w:val="DefaultParagraphFont"/>
    <w:rsid w:val="004B7565"/>
  </w:style>
  <w:style w:type="character" w:customStyle="1" w:styleId="li-px">
    <w:name w:val="li-px"/>
    <w:basedOn w:val="DefaultParagraphFont"/>
    <w:rsid w:val="008A35A4"/>
  </w:style>
  <w:style w:type="character" w:customStyle="1" w:styleId="claw-item">
    <w:name w:val="c_law-item"/>
    <w:basedOn w:val="DefaultParagraphFont"/>
    <w:rsid w:val="007A45B9"/>
  </w:style>
  <w:style w:type="character" w:customStyle="1" w:styleId="csbj">
    <w:name w:val="c_sbj"/>
    <w:basedOn w:val="DefaultParagraphFont"/>
    <w:rsid w:val="007A45B9"/>
  </w:style>
  <w:style w:type="paragraph" w:customStyle="1" w:styleId="doc-ti">
    <w:name w:val="doc-ti"/>
    <w:basedOn w:val="Normal"/>
    <w:rsid w:val="002758E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i-art">
    <w:name w:val="sti-art"/>
    <w:basedOn w:val="Normal"/>
    <w:rsid w:val="002758E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justify">
    <w:name w:val="text-justify"/>
    <w:basedOn w:val="Normal"/>
    <w:rsid w:val="003D35E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lb">
    <w:name w:val="a_lb"/>
    <w:basedOn w:val="DefaultParagraphFont"/>
    <w:rsid w:val="003D35EC"/>
  </w:style>
  <w:style w:type="character" w:customStyle="1" w:styleId="text-justify1">
    <w:name w:val="text-justify1"/>
    <w:basedOn w:val="DefaultParagraphFont"/>
    <w:rsid w:val="003D35EC"/>
  </w:style>
  <w:style w:type="character" w:customStyle="1" w:styleId="Heading2Char">
    <w:name w:val="Heading 2 Char"/>
    <w:basedOn w:val="DefaultParagraphFont"/>
    <w:link w:val="Heading2"/>
    <w:uiPriority w:val="9"/>
    <w:rsid w:val="00EF682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F6829"/>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EF6829"/>
    <w:rPr>
      <w:i/>
      <w:iCs/>
    </w:rPr>
  </w:style>
  <w:style w:type="character" w:customStyle="1" w:styleId="ng-binding">
    <w:name w:val="ng-binding"/>
    <w:basedOn w:val="DefaultParagraphFont"/>
    <w:rsid w:val="00EF6829"/>
  </w:style>
  <w:style w:type="character" w:customStyle="1" w:styleId="ng-scope">
    <w:name w:val="ng-scope"/>
    <w:basedOn w:val="DefaultParagraphFont"/>
    <w:rsid w:val="00EF6829"/>
  </w:style>
  <w:style w:type="paragraph" w:customStyle="1" w:styleId="Default">
    <w:name w:val="Default"/>
    <w:rsid w:val="00E77D39"/>
    <w:pPr>
      <w:autoSpaceDE w:val="0"/>
      <w:autoSpaceDN w:val="0"/>
      <w:adjustRightInd w:val="0"/>
      <w:spacing w:after="0" w:line="240" w:lineRule="auto"/>
    </w:pPr>
    <w:rPr>
      <w:rFonts w:ascii="EUAlbertina" w:hAnsi="EUAlbertina" w:cs="EUAlbertina"/>
      <w:color w:val="000000"/>
      <w:sz w:val="24"/>
      <w:szCs w:val="24"/>
    </w:rPr>
  </w:style>
  <w:style w:type="paragraph" w:styleId="EndnoteText">
    <w:name w:val="endnote text"/>
    <w:basedOn w:val="Normal"/>
    <w:link w:val="EndnoteTextChar"/>
    <w:uiPriority w:val="99"/>
    <w:semiHidden/>
    <w:unhideWhenUsed/>
    <w:rsid w:val="00EF1C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1C22"/>
    <w:rPr>
      <w:sz w:val="20"/>
      <w:szCs w:val="20"/>
    </w:rPr>
  </w:style>
  <w:style w:type="character" w:styleId="EndnoteReference">
    <w:name w:val="endnote reference"/>
    <w:basedOn w:val="DefaultParagraphFont"/>
    <w:uiPriority w:val="99"/>
    <w:semiHidden/>
    <w:unhideWhenUsed/>
    <w:rsid w:val="00EF1C22"/>
    <w:rPr>
      <w:vertAlign w:val="superscript"/>
    </w:rPr>
  </w:style>
  <w:style w:type="paragraph" w:styleId="BalloonText">
    <w:name w:val="Balloon Text"/>
    <w:basedOn w:val="Normal"/>
    <w:link w:val="BalloonTextChar"/>
    <w:uiPriority w:val="99"/>
    <w:semiHidden/>
    <w:unhideWhenUsed/>
    <w:rsid w:val="00447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714"/>
    <w:rPr>
      <w:rFonts w:ascii="Segoe UI" w:hAnsi="Segoe UI" w:cs="Segoe UI"/>
      <w:sz w:val="18"/>
      <w:szCs w:val="18"/>
    </w:rPr>
  </w:style>
  <w:style w:type="character" w:styleId="UnresolvedMention">
    <w:name w:val="Unresolved Mention"/>
    <w:basedOn w:val="DefaultParagraphFont"/>
    <w:uiPriority w:val="99"/>
    <w:semiHidden/>
    <w:unhideWhenUsed/>
    <w:rsid w:val="0054152F"/>
    <w:rPr>
      <w:color w:val="605E5C"/>
      <w:shd w:val="clear" w:color="auto" w:fill="E1DFDD"/>
    </w:rPr>
  </w:style>
  <w:style w:type="character" w:customStyle="1" w:styleId="tlid-translation">
    <w:name w:val="tlid-translation"/>
    <w:basedOn w:val="DefaultParagraphFont"/>
    <w:rsid w:val="006F5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33972">
      <w:bodyDiv w:val="1"/>
      <w:marLeft w:val="0"/>
      <w:marRight w:val="0"/>
      <w:marTop w:val="0"/>
      <w:marBottom w:val="0"/>
      <w:divBdr>
        <w:top w:val="none" w:sz="0" w:space="0" w:color="auto"/>
        <w:left w:val="none" w:sz="0" w:space="0" w:color="auto"/>
        <w:bottom w:val="none" w:sz="0" w:space="0" w:color="auto"/>
        <w:right w:val="none" w:sz="0" w:space="0" w:color="auto"/>
      </w:divBdr>
      <w:divsChild>
        <w:div w:id="2114130294">
          <w:marLeft w:val="360"/>
          <w:marRight w:val="0"/>
          <w:marTop w:val="0"/>
          <w:marBottom w:val="0"/>
          <w:divBdr>
            <w:top w:val="none" w:sz="0" w:space="0" w:color="auto"/>
            <w:left w:val="none" w:sz="0" w:space="0" w:color="auto"/>
            <w:bottom w:val="none" w:sz="0" w:space="0" w:color="auto"/>
            <w:right w:val="none" w:sz="0" w:space="0" w:color="auto"/>
          </w:divBdr>
        </w:div>
        <w:div w:id="1640189905">
          <w:marLeft w:val="360"/>
          <w:marRight w:val="0"/>
          <w:marTop w:val="0"/>
          <w:marBottom w:val="0"/>
          <w:divBdr>
            <w:top w:val="none" w:sz="0" w:space="0" w:color="auto"/>
            <w:left w:val="none" w:sz="0" w:space="0" w:color="auto"/>
            <w:bottom w:val="none" w:sz="0" w:space="0" w:color="auto"/>
            <w:right w:val="none" w:sz="0" w:space="0" w:color="auto"/>
          </w:divBdr>
        </w:div>
        <w:div w:id="550919111">
          <w:marLeft w:val="360"/>
          <w:marRight w:val="0"/>
          <w:marTop w:val="0"/>
          <w:marBottom w:val="0"/>
          <w:divBdr>
            <w:top w:val="none" w:sz="0" w:space="0" w:color="auto"/>
            <w:left w:val="none" w:sz="0" w:space="0" w:color="auto"/>
            <w:bottom w:val="none" w:sz="0" w:space="0" w:color="auto"/>
            <w:right w:val="none" w:sz="0" w:space="0" w:color="auto"/>
          </w:divBdr>
        </w:div>
      </w:divsChild>
    </w:div>
    <w:div w:id="137235231">
      <w:bodyDiv w:val="1"/>
      <w:marLeft w:val="0"/>
      <w:marRight w:val="0"/>
      <w:marTop w:val="0"/>
      <w:marBottom w:val="0"/>
      <w:divBdr>
        <w:top w:val="none" w:sz="0" w:space="0" w:color="auto"/>
        <w:left w:val="none" w:sz="0" w:space="0" w:color="auto"/>
        <w:bottom w:val="none" w:sz="0" w:space="0" w:color="auto"/>
        <w:right w:val="none" w:sz="0" w:space="0" w:color="auto"/>
      </w:divBdr>
      <w:divsChild>
        <w:div w:id="1020551118">
          <w:marLeft w:val="0"/>
          <w:marRight w:val="0"/>
          <w:marTop w:val="0"/>
          <w:marBottom w:val="360"/>
          <w:divBdr>
            <w:top w:val="none" w:sz="0" w:space="0" w:color="auto"/>
            <w:left w:val="none" w:sz="0" w:space="0" w:color="auto"/>
            <w:bottom w:val="none" w:sz="0" w:space="0" w:color="auto"/>
            <w:right w:val="none" w:sz="0" w:space="0" w:color="auto"/>
          </w:divBdr>
        </w:div>
      </w:divsChild>
    </w:div>
    <w:div w:id="1318267484">
      <w:bodyDiv w:val="1"/>
      <w:marLeft w:val="0"/>
      <w:marRight w:val="0"/>
      <w:marTop w:val="0"/>
      <w:marBottom w:val="0"/>
      <w:divBdr>
        <w:top w:val="none" w:sz="0" w:space="0" w:color="auto"/>
        <w:left w:val="none" w:sz="0" w:space="0" w:color="auto"/>
        <w:bottom w:val="none" w:sz="0" w:space="0" w:color="auto"/>
        <w:right w:val="none" w:sz="0" w:space="0" w:color="auto"/>
      </w:divBdr>
    </w:div>
    <w:div w:id="1825855082">
      <w:bodyDiv w:val="1"/>
      <w:marLeft w:val="0"/>
      <w:marRight w:val="0"/>
      <w:marTop w:val="0"/>
      <w:marBottom w:val="0"/>
      <w:divBdr>
        <w:top w:val="none" w:sz="0" w:space="0" w:color="auto"/>
        <w:left w:val="none" w:sz="0" w:space="0" w:color="auto"/>
        <w:bottom w:val="none" w:sz="0" w:space="0" w:color="auto"/>
        <w:right w:val="none" w:sz="0" w:space="0" w:color="auto"/>
      </w:divBdr>
      <w:divsChild>
        <w:div w:id="917904412">
          <w:marLeft w:val="0"/>
          <w:marRight w:val="0"/>
          <w:marTop w:val="0"/>
          <w:marBottom w:val="360"/>
          <w:divBdr>
            <w:top w:val="none" w:sz="0" w:space="0" w:color="auto"/>
            <w:left w:val="none" w:sz="0" w:space="0" w:color="auto"/>
            <w:bottom w:val="none" w:sz="0" w:space="0" w:color="auto"/>
            <w:right w:val="none" w:sz="0" w:space="0" w:color="auto"/>
          </w:divBdr>
        </w:div>
      </w:divsChild>
    </w:div>
    <w:div w:id="194091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kik.gov.pl/koncentracje.php" TargetMode="External"/><Relationship Id="rId3" Type="http://schemas.openxmlformats.org/officeDocument/2006/relationships/settings" Target="settings.xml"/><Relationship Id="rId7" Type="http://schemas.openxmlformats.org/officeDocument/2006/relationships/hyperlink" Target="http://ec.europa.eu/competition/elojade/isef/index.cfm?fuseaction=dsp_merger_ongo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okik.gov.pl/decyzje_prezesa_uokik2.ph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9734</Words>
  <Characters>55488</Characters>
  <Application>Microsoft Office Word</Application>
  <DocSecurity>0</DocSecurity>
  <Lines>462</Lines>
  <Paragraphs>130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KK</Company>
  <LinksUpToDate>false</LinksUpToDate>
  <CharactersWithSpaces>65092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c:creator>
  <cp:keywords/>
  <dc:description/>
  <cp:lastModifiedBy>OSP Podkrepa</cp:lastModifiedBy>
  <cp:revision>21</cp:revision>
  <cp:lastPrinted>2019-08-13T08:29:00Z</cp:lastPrinted>
  <dcterms:created xsi:type="dcterms:W3CDTF">2020-03-10T11:13:00Z</dcterms:created>
  <dcterms:modified xsi:type="dcterms:W3CDTF">2020-10-07T09:45:00Z</dcterms:modified>
</cp:coreProperties>
</file>