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
      <w:tr w:rsidR="006A701A" w:rsidRPr="00F61417" w:rsidTr="00676C8D">
        <w:trPr>
          <w:gridAfter w:val="1"/>
          <w:wAfter w:w="10" w:type="dxa"/>
          <w:trHeight w:val="1611"/>
        </w:trPr>
        <w:tc>
          <w:tcPr>
            <w:tcW w:w="6631" w:type="dxa"/>
            <w:gridSpan w:val="17"/>
          </w:tcPr>
          <w:p w:rsidR="006A701A" w:rsidRPr="00F61417" w:rsidRDefault="006A701A" w:rsidP="00823EC6">
            <w:pPr>
              <w:spacing w:before="120" w:line="240" w:lineRule="auto"/>
              <w:rPr>
                <w:rFonts w:ascii="Times New Roman" w:hAnsi="Times New Roman"/>
                <w:color w:val="000000"/>
              </w:rPr>
            </w:pPr>
            <w:bookmarkStart w:id="0" w:name="t1"/>
            <w:r w:rsidRPr="00F61417">
              <w:rPr>
                <w:rFonts w:ascii="Times New Roman" w:hAnsi="Times New Roman"/>
                <w:b/>
                <w:color w:val="000000"/>
              </w:rPr>
              <w:t xml:space="preserve">Nazwa </w:t>
            </w:r>
            <w:r w:rsidR="001B75D8" w:rsidRPr="00F61417">
              <w:rPr>
                <w:rFonts w:ascii="Times New Roman" w:hAnsi="Times New Roman"/>
                <w:b/>
                <w:color w:val="000000"/>
              </w:rPr>
              <w:t>projektu</w:t>
            </w:r>
          </w:p>
          <w:p w:rsidR="00F758C1" w:rsidRPr="00F758C1" w:rsidRDefault="002030B1" w:rsidP="00F758C1">
            <w:pPr>
              <w:keepNext/>
              <w:suppressAutoHyphens/>
              <w:spacing w:line="240" w:lineRule="auto"/>
              <w:rPr>
                <w:rFonts w:ascii="Times New Roman" w:hAnsi="Times New Roman"/>
                <w:color w:val="000000"/>
              </w:rPr>
            </w:pPr>
            <w:r>
              <w:rPr>
                <w:rFonts w:ascii="Times New Roman" w:hAnsi="Times New Roman"/>
              </w:rPr>
              <w:t>Projekt ustawy</w:t>
            </w:r>
            <w:r w:rsidR="0065210A">
              <w:rPr>
                <w:rFonts w:ascii="Times New Roman" w:hAnsi="Times New Roman"/>
              </w:rPr>
              <w:t xml:space="preserve"> </w:t>
            </w:r>
            <w:r w:rsidR="00F758C1" w:rsidRPr="00F758C1">
              <w:rPr>
                <w:rFonts w:ascii="Times New Roman" w:hAnsi="Times New Roman"/>
                <w:color w:val="000000"/>
              </w:rPr>
              <w:t>o zmianie niektórych ustaw w celu obniżenia składek na ubezpieczenia społeczne osób fizycznych wykonujących działalność gospodarczą na mniejszą skalę</w:t>
            </w:r>
          </w:p>
          <w:p w:rsidR="006A701A" w:rsidRPr="009248A0" w:rsidRDefault="006A701A" w:rsidP="00616511">
            <w:pPr>
              <w:spacing w:before="120" w:line="240" w:lineRule="auto"/>
              <w:ind w:hanging="45"/>
              <w:rPr>
                <w:rFonts w:ascii="Times New Roman" w:hAnsi="Times New Roman"/>
                <w:b/>
                <w:color w:val="000000"/>
              </w:rPr>
            </w:pPr>
            <w:r w:rsidRPr="009248A0">
              <w:rPr>
                <w:rFonts w:ascii="Times New Roman" w:hAnsi="Times New Roman"/>
                <w:b/>
                <w:color w:val="000000"/>
              </w:rPr>
              <w:t>Ministerstwo wiodące i ministerstwa współpracujące</w:t>
            </w:r>
          </w:p>
          <w:p w:rsidR="009248A0" w:rsidRPr="009248A0" w:rsidRDefault="009248A0" w:rsidP="00616511">
            <w:pPr>
              <w:spacing w:before="120" w:line="240" w:lineRule="auto"/>
              <w:ind w:hanging="45"/>
              <w:rPr>
                <w:rFonts w:ascii="Times New Roman" w:hAnsi="Times New Roman"/>
                <w:color w:val="000000"/>
              </w:rPr>
            </w:pPr>
            <w:r w:rsidRPr="009248A0">
              <w:rPr>
                <w:rFonts w:ascii="Times New Roman" w:hAnsi="Times New Roman"/>
                <w:color w:val="000000"/>
              </w:rPr>
              <w:t>Ministerstwo</w:t>
            </w:r>
            <w:r w:rsidR="00120EBB">
              <w:rPr>
                <w:rFonts w:ascii="Times New Roman" w:hAnsi="Times New Roman"/>
                <w:color w:val="000000"/>
              </w:rPr>
              <w:t xml:space="preserve"> Przedsiębiorczości i Technologii</w:t>
            </w:r>
          </w:p>
          <w:bookmarkEnd w:id="0"/>
          <w:p w:rsidR="009248A0" w:rsidRDefault="009248A0" w:rsidP="001B3460">
            <w:pPr>
              <w:spacing w:line="240" w:lineRule="auto"/>
              <w:rPr>
                <w:rFonts w:ascii="Times New Roman" w:hAnsi="Times New Roman"/>
                <w:sz w:val="21"/>
                <w:szCs w:val="24"/>
              </w:rPr>
            </w:pPr>
          </w:p>
          <w:p w:rsidR="001B3460" w:rsidRPr="009248A0" w:rsidRDefault="001B3460" w:rsidP="001B3460">
            <w:pPr>
              <w:spacing w:line="240" w:lineRule="auto"/>
              <w:rPr>
                <w:rFonts w:ascii="Times New Roman" w:hAnsi="Times New Roman"/>
                <w:b/>
                <w:sz w:val="21"/>
                <w:szCs w:val="21"/>
              </w:rPr>
            </w:pPr>
            <w:r w:rsidRPr="009248A0">
              <w:rPr>
                <w:rFonts w:ascii="Times New Roman" w:hAnsi="Times New Roman"/>
                <w:b/>
                <w:sz w:val="21"/>
                <w:szCs w:val="24"/>
              </w:rPr>
              <w:t>Osoba odpowiedzialna za projekt w randze Ministra, Sekretarza Stanu lub Podsekretarza Stanu</w:t>
            </w:r>
            <w:r w:rsidRPr="009248A0">
              <w:rPr>
                <w:rFonts w:ascii="Times New Roman" w:hAnsi="Times New Roman"/>
                <w:b/>
                <w:sz w:val="21"/>
                <w:szCs w:val="21"/>
              </w:rPr>
              <w:t xml:space="preserve"> </w:t>
            </w:r>
          </w:p>
          <w:p w:rsidR="001B3460" w:rsidRDefault="009248A0" w:rsidP="001B3460">
            <w:pPr>
              <w:spacing w:line="240" w:lineRule="auto"/>
              <w:rPr>
                <w:rFonts w:ascii="Times New Roman" w:hAnsi="Times New Roman"/>
                <w:sz w:val="21"/>
                <w:szCs w:val="21"/>
              </w:rPr>
            </w:pPr>
            <w:r>
              <w:rPr>
                <w:rFonts w:ascii="Times New Roman" w:hAnsi="Times New Roman"/>
                <w:sz w:val="21"/>
                <w:szCs w:val="21"/>
              </w:rPr>
              <w:t xml:space="preserve">Jadwiga </w:t>
            </w:r>
            <w:proofErr w:type="spellStart"/>
            <w:r>
              <w:rPr>
                <w:rFonts w:ascii="Times New Roman" w:hAnsi="Times New Roman"/>
                <w:sz w:val="21"/>
                <w:szCs w:val="21"/>
              </w:rPr>
              <w:t>Emilewicz</w:t>
            </w:r>
            <w:proofErr w:type="spellEnd"/>
            <w:r>
              <w:rPr>
                <w:rFonts w:ascii="Times New Roman" w:hAnsi="Times New Roman"/>
                <w:sz w:val="21"/>
                <w:szCs w:val="21"/>
              </w:rPr>
              <w:t xml:space="preserve">, </w:t>
            </w:r>
            <w:r w:rsidR="00120EBB">
              <w:rPr>
                <w:rFonts w:ascii="Times New Roman" w:hAnsi="Times New Roman"/>
                <w:sz w:val="21"/>
                <w:szCs w:val="21"/>
              </w:rPr>
              <w:t>Minister Przedsiębiorczości i Technologii</w:t>
            </w:r>
          </w:p>
          <w:p w:rsidR="009248A0" w:rsidRPr="00F61417" w:rsidRDefault="009248A0" w:rsidP="001B3460">
            <w:pPr>
              <w:spacing w:line="240" w:lineRule="auto"/>
              <w:rPr>
                <w:rFonts w:ascii="Times New Roman" w:hAnsi="Times New Roman"/>
                <w:sz w:val="21"/>
                <w:szCs w:val="21"/>
              </w:rPr>
            </w:pPr>
          </w:p>
          <w:p w:rsidR="006A701A" w:rsidRPr="00F61417" w:rsidRDefault="006A701A" w:rsidP="00616511">
            <w:pPr>
              <w:spacing w:before="120" w:line="240" w:lineRule="auto"/>
              <w:ind w:hanging="45"/>
              <w:rPr>
                <w:rFonts w:ascii="Times New Roman" w:hAnsi="Times New Roman"/>
                <w:b/>
                <w:color w:val="000000"/>
              </w:rPr>
            </w:pPr>
            <w:r w:rsidRPr="00F61417">
              <w:rPr>
                <w:rFonts w:ascii="Times New Roman" w:hAnsi="Times New Roman"/>
                <w:b/>
                <w:color w:val="000000"/>
              </w:rPr>
              <w:t>Kontakt do opiekuna merytorycznego projektu</w:t>
            </w:r>
          </w:p>
          <w:p w:rsidR="0083004C" w:rsidRPr="009248A0" w:rsidRDefault="0083004C" w:rsidP="009248A0">
            <w:pPr>
              <w:spacing w:line="240" w:lineRule="auto"/>
              <w:rPr>
                <w:rFonts w:ascii="Times New Roman" w:hAnsi="Times New Roman"/>
                <w:color w:val="000000"/>
              </w:rPr>
            </w:pPr>
            <w:r w:rsidRPr="009248A0">
              <w:rPr>
                <w:rFonts w:ascii="Times New Roman" w:hAnsi="Times New Roman"/>
                <w:color w:val="000000"/>
              </w:rPr>
              <w:t xml:space="preserve">Dominik Wasiluk, Departament Małych i Średnich Przedsiębiorstw </w:t>
            </w:r>
            <w:r w:rsidRPr="009248A0">
              <w:rPr>
                <w:rFonts w:ascii="Times New Roman" w:hAnsi="Times New Roman"/>
                <w:color w:val="000000"/>
              </w:rPr>
              <w:br/>
              <w:t xml:space="preserve">e-mail: </w:t>
            </w:r>
            <w:hyperlink r:id="rId9" w:history="1">
              <w:r w:rsidR="00EC177B" w:rsidRPr="00726A8A">
                <w:rPr>
                  <w:rStyle w:val="Hipercze"/>
                  <w:rFonts w:ascii="Times New Roman" w:hAnsi="Times New Roman"/>
                </w:rPr>
                <w:t>dominik.wasiluk@mpit.gov.pl</w:t>
              </w:r>
            </w:hyperlink>
            <w:r w:rsidRPr="009248A0">
              <w:rPr>
                <w:rFonts w:ascii="Times New Roman" w:hAnsi="Times New Roman"/>
                <w:color w:val="000000"/>
              </w:rPr>
              <w:t>,</w:t>
            </w:r>
          </w:p>
          <w:p w:rsidR="00F4399F" w:rsidRPr="009248A0" w:rsidRDefault="0083004C" w:rsidP="0083004C">
            <w:pPr>
              <w:spacing w:line="240" w:lineRule="auto"/>
              <w:ind w:hanging="34"/>
              <w:rPr>
                <w:rFonts w:ascii="Times New Roman" w:hAnsi="Times New Roman"/>
                <w:color w:val="000000"/>
              </w:rPr>
            </w:pPr>
            <w:r w:rsidRPr="009248A0">
              <w:rPr>
                <w:rFonts w:ascii="Times New Roman" w:hAnsi="Times New Roman"/>
                <w:color w:val="000000"/>
              </w:rPr>
              <w:t>tel. 22 273 85 76</w:t>
            </w:r>
          </w:p>
          <w:p w:rsidR="009248A0" w:rsidRPr="009248A0" w:rsidRDefault="009248A0" w:rsidP="0083004C">
            <w:pPr>
              <w:spacing w:line="240" w:lineRule="auto"/>
              <w:ind w:hanging="34"/>
              <w:rPr>
                <w:rFonts w:ascii="Times New Roman" w:hAnsi="Times New Roman"/>
                <w:color w:val="000000"/>
              </w:rPr>
            </w:pPr>
          </w:p>
          <w:p w:rsidR="009248A0" w:rsidRPr="00F61417" w:rsidRDefault="009248A0" w:rsidP="00120EBB">
            <w:pPr>
              <w:spacing w:line="240" w:lineRule="auto"/>
              <w:rPr>
                <w:rFonts w:ascii="Times New Roman" w:hAnsi="Times New Roman"/>
                <w:color w:val="000000"/>
              </w:rPr>
            </w:pPr>
          </w:p>
        </w:tc>
        <w:tc>
          <w:tcPr>
            <w:tcW w:w="4306" w:type="dxa"/>
            <w:gridSpan w:val="12"/>
            <w:shd w:val="clear" w:color="auto" w:fill="FFFFFF"/>
          </w:tcPr>
          <w:p w:rsidR="001B3460" w:rsidRPr="00F61417" w:rsidRDefault="001B3460" w:rsidP="00823EC6">
            <w:pPr>
              <w:spacing w:before="120" w:line="240" w:lineRule="auto"/>
              <w:rPr>
                <w:rFonts w:ascii="Times New Roman" w:hAnsi="Times New Roman"/>
                <w:b/>
                <w:sz w:val="21"/>
                <w:szCs w:val="21"/>
              </w:rPr>
            </w:pPr>
            <w:r w:rsidRPr="00823EC6">
              <w:rPr>
                <w:rFonts w:ascii="Times New Roman" w:hAnsi="Times New Roman"/>
                <w:b/>
                <w:color w:val="000000"/>
              </w:rPr>
              <w:t>Data</w:t>
            </w:r>
            <w:r w:rsidRPr="00F61417">
              <w:rPr>
                <w:rFonts w:ascii="Times New Roman" w:hAnsi="Times New Roman"/>
                <w:b/>
                <w:sz w:val="21"/>
                <w:szCs w:val="21"/>
              </w:rPr>
              <w:t xml:space="preserve"> sporządzenia</w:t>
            </w:r>
            <w:r w:rsidRPr="00F61417">
              <w:rPr>
                <w:rFonts w:ascii="Times New Roman" w:hAnsi="Times New Roman"/>
                <w:b/>
                <w:sz w:val="21"/>
                <w:szCs w:val="21"/>
              </w:rPr>
              <w:br/>
            </w:r>
            <w:r w:rsidR="00EC177B">
              <w:rPr>
                <w:rFonts w:ascii="Times New Roman" w:hAnsi="Times New Roman"/>
                <w:sz w:val="21"/>
                <w:szCs w:val="21"/>
              </w:rPr>
              <w:t>09</w:t>
            </w:r>
            <w:r w:rsidR="00A84864">
              <w:rPr>
                <w:rFonts w:ascii="Times New Roman" w:hAnsi="Times New Roman"/>
                <w:sz w:val="21"/>
                <w:szCs w:val="21"/>
              </w:rPr>
              <w:t>.0</w:t>
            </w:r>
            <w:r w:rsidR="00EC177B">
              <w:rPr>
                <w:rFonts w:ascii="Times New Roman" w:hAnsi="Times New Roman"/>
                <w:sz w:val="21"/>
                <w:szCs w:val="21"/>
              </w:rPr>
              <w:t>4</w:t>
            </w:r>
            <w:r w:rsidR="00B83303">
              <w:rPr>
                <w:rFonts w:ascii="Times New Roman" w:hAnsi="Times New Roman"/>
                <w:sz w:val="21"/>
                <w:szCs w:val="21"/>
              </w:rPr>
              <w:t>.201</w:t>
            </w:r>
            <w:r w:rsidR="00B27509">
              <w:rPr>
                <w:rFonts w:ascii="Times New Roman" w:hAnsi="Times New Roman"/>
                <w:sz w:val="21"/>
                <w:szCs w:val="21"/>
              </w:rPr>
              <w:t>8</w:t>
            </w:r>
            <w:r w:rsidR="00B83303">
              <w:rPr>
                <w:rFonts w:ascii="Times New Roman" w:hAnsi="Times New Roman"/>
                <w:sz w:val="21"/>
                <w:szCs w:val="21"/>
              </w:rPr>
              <w:t xml:space="preserve"> r.</w:t>
            </w:r>
          </w:p>
          <w:p w:rsidR="00F76884" w:rsidRPr="00F61417" w:rsidRDefault="00F76884" w:rsidP="00F76884">
            <w:pPr>
              <w:spacing w:line="240" w:lineRule="auto"/>
              <w:rPr>
                <w:rFonts w:ascii="Times New Roman" w:hAnsi="Times New Roman"/>
                <w:b/>
              </w:rPr>
            </w:pPr>
          </w:p>
          <w:p w:rsidR="00F76884" w:rsidRPr="00F61417" w:rsidRDefault="00F76884" w:rsidP="00F76884">
            <w:pPr>
              <w:spacing w:line="240" w:lineRule="auto"/>
              <w:rPr>
                <w:rFonts w:ascii="Times New Roman" w:hAnsi="Times New Roman"/>
                <w:b/>
              </w:rPr>
            </w:pPr>
            <w:r w:rsidRPr="00F61417">
              <w:rPr>
                <w:rFonts w:ascii="Times New Roman" w:hAnsi="Times New Roman"/>
                <w:b/>
              </w:rPr>
              <w:t xml:space="preserve">Źródło: </w:t>
            </w:r>
            <w:bookmarkStart w:id="1" w:name="Lista1"/>
          </w:p>
          <w:bookmarkEnd w:id="1"/>
          <w:p w:rsidR="00F76884" w:rsidRPr="00F61417" w:rsidRDefault="007133F3" w:rsidP="00F76884">
            <w:pPr>
              <w:spacing w:line="240" w:lineRule="auto"/>
              <w:rPr>
                <w:rFonts w:ascii="Times New Roman" w:hAnsi="Times New Roman"/>
              </w:rPr>
            </w:pPr>
            <w:r>
              <w:rPr>
                <w:rFonts w:ascii="Times New Roman" w:hAnsi="Times New Roman"/>
              </w:rPr>
              <w:t>Strategia na rzecz Odpowiedzialnego Rozwoju</w:t>
            </w:r>
          </w:p>
          <w:p w:rsidR="00F76884" w:rsidRPr="00F61417" w:rsidRDefault="00F76884" w:rsidP="00F76884">
            <w:pPr>
              <w:spacing w:line="240" w:lineRule="auto"/>
              <w:rPr>
                <w:rFonts w:ascii="Times New Roman" w:hAnsi="Times New Roman"/>
              </w:rPr>
            </w:pPr>
          </w:p>
          <w:p w:rsidR="006A701A" w:rsidRDefault="0083004C" w:rsidP="00A17CB2">
            <w:pPr>
              <w:spacing w:line="240" w:lineRule="auto"/>
              <w:rPr>
                <w:rFonts w:ascii="Times New Roman" w:hAnsi="Times New Roman"/>
                <w:color w:val="000000"/>
                <w:sz w:val="28"/>
                <w:szCs w:val="28"/>
              </w:rPr>
            </w:pPr>
            <w:r w:rsidRPr="00F61417">
              <w:rPr>
                <w:rFonts w:ascii="Times New Roman" w:hAnsi="Times New Roman"/>
                <w:b/>
                <w:color w:val="000000"/>
              </w:rPr>
              <w:t xml:space="preserve">Nr w wykazie </w:t>
            </w:r>
            <w:r w:rsidRPr="0083004C">
              <w:rPr>
                <w:rFonts w:ascii="Times New Roman" w:hAnsi="Times New Roman"/>
                <w:b/>
                <w:color w:val="000000"/>
              </w:rPr>
              <w:t xml:space="preserve">prac legislacyjnych </w:t>
            </w:r>
            <w:r w:rsidRPr="0083004C">
              <w:rPr>
                <w:rFonts w:ascii="Times New Roman" w:hAnsi="Times New Roman"/>
                <w:b/>
                <w:color w:val="000000"/>
              </w:rPr>
              <w:br/>
              <w:t>i programowych Rady Ministrów</w:t>
            </w:r>
            <w:r w:rsidRPr="00F61417">
              <w:rPr>
                <w:rFonts w:ascii="Times New Roman" w:hAnsi="Times New Roman"/>
                <w:color w:val="000000"/>
                <w:sz w:val="28"/>
                <w:szCs w:val="28"/>
              </w:rPr>
              <w:t xml:space="preserve"> </w:t>
            </w:r>
          </w:p>
          <w:p w:rsidR="00017890" w:rsidRPr="00F61417" w:rsidRDefault="00DB489F" w:rsidP="00A17CB2">
            <w:pPr>
              <w:spacing w:line="240" w:lineRule="auto"/>
              <w:rPr>
                <w:rFonts w:ascii="Times New Roman" w:hAnsi="Times New Roman"/>
                <w:color w:val="000000"/>
                <w:sz w:val="28"/>
                <w:szCs w:val="28"/>
              </w:rPr>
            </w:pPr>
            <w:r w:rsidRPr="00B47F79">
              <w:rPr>
                <w:rFonts w:ascii="Times New Roman" w:hAnsi="Times New Roman"/>
              </w:rPr>
              <w:t>UD</w:t>
            </w:r>
            <w:r w:rsidR="00017890" w:rsidRPr="00B47F79">
              <w:rPr>
                <w:rFonts w:ascii="Times New Roman" w:hAnsi="Times New Roman"/>
              </w:rPr>
              <w:t>238</w:t>
            </w:r>
          </w:p>
        </w:tc>
      </w:tr>
      <w:tr w:rsidR="006A701A" w:rsidRPr="00F61417" w:rsidTr="00676C8D">
        <w:trPr>
          <w:gridAfter w:val="1"/>
          <w:wAfter w:w="10" w:type="dxa"/>
          <w:trHeight w:val="142"/>
        </w:trPr>
        <w:tc>
          <w:tcPr>
            <w:tcW w:w="10937" w:type="dxa"/>
            <w:gridSpan w:val="29"/>
            <w:shd w:val="clear" w:color="auto" w:fill="99CCFF"/>
          </w:tcPr>
          <w:p w:rsidR="006A701A" w:rsidRPr="00F61417" w:rsidRDefault="006A701A" w:rsidP="001B4CA1">
            <w:pPr>
              <w:spacing w:line="240" w:lineRule="auto"/>
              <w:ind w:left="57"/>
              <w:jc w:val="center"/>
              <w:rPr>
                <w:rFonts w:ascii="Times New Roman" w:hAnsi="Times New Roman"/>
                <w:b/>
                <w:color w:val="FFFFFF"/>
                <w:sz w:val="32"/>
                <w:szCs w:val="32"/>
              </w:rPr>
            </w:pPr>
            <w:r w:rsidRPr="00F61417">
              <w:rPr>
                <w:rFonts w:ascii="Times New Roman" w:hAnsi="Times New Roman"/>
                <w:b/>
                <w:color w:val="FFFFFF"/>
                <w:sz w:val="32"/>
                <w:szCs w:val="32"/>
              </w:rPr>
              <w:t>OCENA SKUTKÓW REGULACJI</w:t>
            </w:r>
          </w:p>
        </w:tc>
      </w:tr>
      <w:tr w:rsidR="006A701A" w:rsidRPr="00F61417" w:rsidTr="00676C8D">
        <w:trPr>
          <w:gridAfter w:val="1"/>
          <w:wAfter w:w="10" w:type="dxa"/>
          <w:trHeight w:val="333"/>
        </w:trPr>
        <w:tc>
          <w:tcPr>
            <w:tcW w:w="10937" w:type="dxa"/>
            <w:gridSpan w:val="29"/>
            <w:shd w:val="clear" w:color="auto" w:fill="99CCFF"/>
            <w:vAlign w:val="center"/>
          </w:tcPr>
          <w:p w:rsidR="006A701A" w:rsidRPr="00F61417" w:rsidRDefault="003D12F6" w:rsidP="006A701A">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rPr>
              <w:t xml:space="preserve">Jaki problem jest </w:t>
            </w:r>
            <w:r w:rsidR="00CC6305" w:rsidRPr="00F61417">
              <w:rPr>
                <w:rFonts w:ascii="Times New Roman" w:hAnsi="Times New Roman"/>
                <w:b/>
              </w:rPr>
              <w:t>rozwiązywany?</w:t>
            </w:r>
            <w:bookmarkStart w:id="2" w:name="Wybór1"/>
            <w:bookmarkEnd w:id="2"/>
          </w:p>
        </w:tc>
      </w:tr>
      <w:tr w:rsidR="006A701A" w:rsidRPr="00F61417" w:rsidTr="00676C8D">
        <w:trPr>
          <w:gridAfter w:val="1"/>
          <w:wAfter w:w="10" w:type="dxa"/>
          <w:trHeight w:val="142"/>
        </w:trPr>
        <w:tc>
          <w:tcPr>
            <w:tcW w:w="10937" w:type="dxa"/>
            <w:gridSpan w:val="29"/>
            <w:shd w:val="clear" w:color="auto" w:fill="FFFFFF"/>
          </w:tcPr>
          <w:p w:rsidR="00F4399F" w:rsidRDefault="00F4399F" w:rsidP="00B37C80">
            <w:pPr>
              <w:spacing w:line="240" w:lineRule="auto"/>
              <w:jc w:val="both"/>
              <w:rPr>
                <w:rFonts w:ascii="Times New Roman" w:hAnsi="Times New Roman"/>
                <w:color w:val="000000"/>
              </w:rPr>
            </w:pPr>
          </w:p>
          <w:p w:rsidR="006A701A" w:rsidRPr="00F61417" w:rsidRDefault="00204E54" w:rsidP="00B37C80">
            <w:pPr>
              <w:spacing w:line="240" w:lineRule="auto"/>
              <w:jc w:val="both"/>
              <w:rPr>
                <w:rFonts w:ascii="Times New Roman" w:hAnsi="Times New Roman"/>
                <w:color w:val="000000"/>
              </w:rPr>
            </w:pPr>
            <w:r w:rsidRPr="00F61417">
              <w:rPr>
                <w:rFonts w:ascii="Times New Roman" w:hAnsi="Times New Roman"/>
                <w:color w:val="000000"/>
              </w:rPr>
              <w:t xml:space="preserve">Ustawa rozwiązuje istotny problem społeczny związany z nadmiernym obciążeniem przedsiębiorców prowadzących </w:t>
            </w:r>
            <w:proofErr w:type="spellStart"/>
            <w:r w:rsidRPr="00F61417">
              <w:rPr>
                <w:rFonts w:ascii="Times New Roman" w:hAnsi="Times New Roman"/>
                <w:color w:val="000000"/>
              </w:rPr>
              <w:t>niskoprzychodowe</w:t>
            </w:r>
            <w:proofErr w:type="spellEnd"/>
            <w:r w:rsidRPr="00F61417">
              <w:rPr>
                <w:rFonts w:ascii="Times New Roman" w:hAnsi="Times New Roman"/>
                <w:color w:val="000000"/>
              </w:rPr>
              <w:t xml:space="preserve"> działalności gospodarcze (m.in. związane z działalnością sezonową). W aktualnej sytuacji, często zmuszeni są oni do funkcjonowania w szarej strefie, ponieważ uiszczanie należności publicznoprawnych w pełnej wysokości, czyniłoby ich działalności całkowicie nieopłacalnymi.</w:t>
            </w:r>
          </w:p>
          <w:p w:rsidR="006A701A" w:rsidRPr="00F61417" w:rsidRDefault="006A701A" w:rsidP="00B37C80">
            <w:pPr>
              <w:spacing w:line="240" w:lineRule="auto"/>
              <w:jc w:val="both"/>
              <w:rPr>
                <w:rFonts w:ascii="Times New Roman" w:hAnsi="Times New Roman"/>
                <w:color w:val="000000"/>
              </w:rPr>
            </w:pPr>
          </w:p>
        </w:tc>
      </w:tr>
      <w:tr w:rsidR="006A701A" w:rsidRPr="00F61417" w:rsidTr="00676C8D">
        <w:trPr>
          <w:gridAfter w:val="1"/>
          <w:wAfter w:w="10" w:type="dxa"/>
          <w:trHeight w:val="142"/>
        </w:trPr>
        <w:tc>
          <w:tcPr>
            <w:tcW w:w="10937" w:type="dxa"/>
            <w:gridSpan w:val="29"/>
            <w:shd w:val="clear" w:color="auto" w:fill="99CCFF"/>
            <w:vAlign w:val="center"/>
          </w:tcPr>
          <w:p w:rsidR="006A701A" w:rsidRPr="00F61417" w:rsidRDefault="0013216E" w:rsidP="00C53F26">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color w:val="000000"/>
                <w:spacing w:val="-2"/>
              </w:rPr>
              <w:t>Rekomendowane rozwiązanie, w tym planowane narzędzia interwencji, i oczekiwany efekt</w:t>
            </w:r>
          </w:p>
        </w:tc>
      </w:tr>
      <w:tr w:rsidR="006A701A" w:rsidRPr="00F61417" w:rsidTr="00676C8D">
        <w:trPr>
          <w:gridAfter w:val="1"/>
          <w:wAfter w:w="10" w:type="dxa"/>
          <w:trHeight w:val="142"/>
        </w:trPr>
        <w:tc>
          <w:tcPr>
            <w:tcW w:w="10937" w:type="dxa"/>
            <w:gridSpan w:val="29"/>
            <w:shd w:val="clear" w:color="auto" w:fill="auto"/>
          </w:tcPr>
          <w:p w:rsidR="006A701A" w:rsidRPr="00F61417" w:rsidRDefault="006A701A" w:rsidP="00B37C80">
            <w:pPr>
              <w:spacing w:line="240" w:lineRule="auto"/>
              <w:jc w:val="both"/>
              <w:rPr>
                <w:rFonts w:ascii="Times New Roman" w:hAnsi="Times New Roman"/>
                <w:color w:val="000000"/>
                <w:spacing w:val="-2"/>
              </w:rPr>
            </w:pPr>
          </w:p>
          <w:p w:rsidR="00C2014B" w:rsidRDefault="00C2014B" w:rsidP="00B37C80">
            <w:pPr>
              <w:spacing w:line="240" w:lineRule="auto"/>
              <w:jc w:val="both"/>
              <w:rPr>
                <w:rFonts w:ascii="Times New Roman" w:hAnsi="Times New Roman"/>
                <w:color w:val="000000"/>
                <w:spacing w:val="-2"/>
              </w:rPr>
            </w:pPr>
            <w:r>
              <w:rPr>
                <w:rFonts w:ascii="Times New Roman" w:hAnsi="Times New Roman"/>
                <w:color w:val="000000"/>
                <w:spacing w:val="-2"/>
              </w:rPr>
              <w:t xml:space="preserve">Rozwiązanie uzależnia wysokość podstawy wymiaru składek na ubezpieczenia społeczne od uzyskiwanego przychodu. Przesłanki podmiotowe podlegania tej regulacji zostały szczegółowo określone: </w:t>
            </w:r>
          </w:p>
          <w:p w:rsidR="00C2014B" w:rsidRPr="008038D5" w:rsidRDefault="00C2014B" w:rsidP="008038D5">
            <w:pPr>
              <w:pStyle w:val="Akapitzlist"/>
              <w:numPr>
                <w:ilvl w:val="0"/>
                <w:numId w:val="25"/>
              </w:numPr>
              <w:spacing w:line="240" w:lineRule="auto"/>
              <w:jc w:val="both"/>
              <w:rPr>
                <w:rFonts w:ascii="Times New Roman" w:hAnsi="Times New Roman"/>
                <w:color w:val="000000"/>
                <w:spacing w:val="-2"/>
              </w:rPr>
            </w:pPr>
            <w:r w:rsidRPr="00C2014B">
              <w:rPr>
                <w:rFonts w:ascii="Times New Roman" w:hAnsi="Times New Roman"/>
                <w:color w:val="000000"/>
                <w:spacing w:val="-2"/>
              </w:rPr>
              <w:t>uzyskiwanie przychodu nieprzekraczającego w ciągu roku kalendarzowego 30-krotności minimalnego wyna</w:t>
            </w:r>
            <w:r w:rsidR="000D4A2D">
              <w:rPr>
                <w:rFonts w:ascii="Times New Roman" w:hAnsi="Times New Roman"/>
                <w:color w:val="000000"/>
                <w:spacing w:val="-2"/>
              </w:rPr>
              <w:t>grodzenia</w:t>
            </w:r>
            <w:r w:rsidR="008038D5">
              <w:rPr>
                <w:rFonts w:ascii="Times New Roman" w:hAnsi="Times New Roman"/>
                <w:color w:val="000000"/>
                <w:spacing w:val="-2"/>
              </w:rPr>
              <w:t xml:space="preserve"> </w:t>
            </w:r>
            <w:r w:rsidR="000D4A2D">
              <w:rPr>
                <w:rFonts w:ascii="Times New Roman" w:hAnsi="Times New Roman"/>
                <w:color w:val="000000"/>
                <w:spacing w:val="-2"/>
              </w:rPr>
              <w:t>(</w:t>
            </w:r>
            <w:r w:rsidR="00B27509">
              <w:rPr>
                <w:rFonts w:ascii="Times New Roman" w:hAnsi="Times New Roman"/>
                <w:color w:val="000000"/>
                <w:spacing w:val="-2"/>
              </w:rPr>
              <w:t>w przypadku rozpoczęcia lub</w:t>
            </w:r>
            <w:r w:rsidRPr="008038D5">
              <w:rPr>
                <w:rFonts w:ascii="Times New Roman" w:hAnsi="Times New Roman"/>
                <w:color w:val="000000"/>
                <w:spacing w:val="-2"/>
              </w:rPr>
              <w:t xml:space="preserve"> zawieszenia działalności gospodarczej w ciągu roku kalendarzowego, </w:t>
            </w:r>
            <w:r w:rsidR="00781E1E" w:rsidRPr="008038D5">
              <w:rPr>
                <w:rFonts w:ascii="Times New Roman" w:hAnsi="Times New Roman"/>
                <w:color w:val="000000"/>
                <w:spacing w:val="-2"/>
              </w:rPr>
              <w:t>limit przychodów uleg</w:t>
            </w:r>
            <w:r w:rsidR="00B27509">
              <w:rPr>
                <w:rFonts w:ascii="Times New Roman" w:hAnsi="Times New Roman"/>
                <w:color w:val="000000"/>
                <w:spacing w:val="-2"/>
              </w:rPr>
              <w:t>a proporcjonalnemu zmniejszeniu</w:t>
            </w:r>
            <w:r w:rsidR="000D4A2D">
              <w:rPr>
                <w:rFonts w:ascii="Times New Roman" w:hAnsi="Times New Roman"/>
                <w:color w:val="000000"/>
                <w:spacing w:val="-2"/>
              </w:rPr>
              <w:t>)</w:t>
            </w:r>
            <w:r w:rsidR="00B27509">
              <w:rPr>
                <w:rFonts w:ascii="Times New Roman" w:hAnsi="Times New Roman"/>
                <w:color w:val="000000"/>
                <w:spacing w:val="-2"/>
              </w:rPr>
              <w:t>;</w:t>
            </w:r>
          </w:p>
          <w:p w:rsidR="00C2014B" w:rsidRDefault="00C2014B" w:rsidP="00C2014B">
            <w:pPr>
              <w:pStyle w:val="Akapitzlist"/>
              <w:numPr>
                <w:ilvl w:val="0"/>
                <w:numId w:val="25"/>
              </w:numPr>
              <w:spacing w:line="240" w:lineRule="auto"/>
              <w:jc w:val="both"/>
              <w:rPr>
                <w:rFonts w:ascii="Times New Roman" w:hAnsi="Times New Roman"/>
                <w:color w:val="000000"/>
                <w:spacing w:val="-2"/>
              </w:rPr>
            </w:pPr>
            <w:r w:rsidRPr="00C2014B">
              <w:rPr>
                <w:rFonts w:ascii="Times New Roman" w:hAnsi="Times New Roman"/>
                <w:color w:val="000000"/>
                <w:spacing w:val="-2"/>
              </w:rPr>
              <w:t xml:space="preserve">niepłacenie </w:t>
            </w:r>
            <w:r w:rsidR="008625C5">
              <w:rPr>
                <w:rFonts w:ascii="Times New Roman" w:hAnsi="Times New Roman"/>
                <w:color w:val="000000"/>
                <w:spacing w:val="-2"/>
              </w:rPr>
              <w:t xml:space="preserve">w poprzednim roku kalendarzowym </w:t>
            </w:r>
            <w:r w:rsidRPr="00C2014B">
              <w:rPr>
                <w:rFonts w:ascii="Times New Roman" w:hAnsi="Times New Roman"/>
                <w:color w:val="000000"/>
                <w:spacing w:val="-2"/>
              </w:rPr>
              <w:t>zryczałtowanego podatku dochod</w:t>
            </w:r>
            <w:r w:rsidR="00B27509">
              <w:rPr>
                <w:rFonts w:ascii="Times New Roman" w:hAnsi="Times New Roman"/>
                <w:color w:val="000000"/>
                <w:spacing w:val="-2"/>
              </w:rPr>
              <w:t>owego w formie karty podatkowej;</w:t>
            </w:r>
          </w:p>
          <w:p w:rsidR="00781E1E" w:rsidRDefault="00C2014B" w:rsidP="00781E1E">
            <w:pPr>
              <w:pStyle w:val="Akapitzlist"/>
              <w:numPr>
                <w:ilvl w:val="0"/>
                <w:numId w:val="25"/>
              </w:numPr>
              <w:spacing w:line="240" w:lineRule="auto"/>
              <w:jc w:val="both"/>
              <w:rPr>
                <w:rFonts w:ascii="Times New Roman" w:hAnsi="Times New Roman"/>
                <w:color w:val="000000"/>
                <w:spacing w:val="-2"/>
              </w:rPr>
            </w:pPr>
            <w:r w:rsidRPr="00C2014B">
              <w:rPr>
                <w:rFonts w:ascii="Times New Roman" w:hAnsi="Times New Roman"/>
                <w:color w:val="000000"/>
                <w:spacing w:val="-2"/>
              </w:rPr>
              <w:t xml:space="preserve">niekorzystanie </w:t>
            </w:r>
            <w:r w:rsidR="00E256DE">
              <w:rPr>
                <w:rFonts w:ascii="Times New Roman" w:hAnsi="Times New Roman"/>
                <w:color w:val="000000"/>
                <w:spacing w:val="-2"/>
              </w:rPr>
              <w:t xml:space="preserve">równocześnie </w:t>
            </w:r>
            <w:r w:rsidRPr="00C2014B">
              <w:rPr>
                <w:rFonts w:ascii="Times New Roman" w:hAnsi="Times New Roman"/>
                <w:color w:val="000000"/>
                <w:spacing w:val="-2"/>
              </w:rPr>
              <w:t>z preferencyjnej podstawy wymiaru składek dla osób rozpoczynających działalnoś</w:t>
            </w:r>
            <w:r w:rsidR="005E3086">
              <w:rPr>
                <w:rFonts w:ascii="Times New Roman" w:hAnsi="Times New Roman"/>
                <w:color w:val="000000"/>
                <w:spacing w:val="-2"/>
              </w:rPr>
              <w:t>ć gospodarczą (tzw. mały ZUS</w:t>
            </w:r>
            <w:r w:rsidR="00B27509">
              <w:rPr>
                <w:rFonts w:ascii="Times New Roman" w:hAnsi="Times New Roman"/>
                <w:color w:val="000000"/>
                <w:spacing w:val="-2"/>
              </w:rPr>
              <w:t>);</w:t>
            </w:r>
          </w:p>
          <w:p w:rsidR="00B27509" w:rsidRDefault="00B27509" w:rsidP="00781E1E">
            <w:pPr>
              <w:pStyle w:val="Akapitzlist"/>
              <w:numPr>
                <w:ilvl w:val="0"/>
                <w:numId w:val="25"/>
              </w:numPr>
              <w:spacing w:line="240" w:lineRule="auto"/>
              <w:jc w:val="both"/>
              <w:rPr>
                <w:rFonts w:ascii="Times New Roman" w:hAnsi="Times New Roman"/>
                <w:color w:val="000000"/>
                <w:spacing w:val="-2"/>
              </w:rPr>
            </w:pPr>
            <w:r>
              <w:rPr>
                <w:rFonts w:ascii="Times New Roman" w:hAnsi="Times New Roman"/>
                <w:color w:val="000000"/>
                <w:spacing w:val="-2"/>
              </w:rPr>
              <w:t>prowadzenie</w:t>
            </w:r>
            <w:r w:rsidR="008625C5">
              <w:rPr>
                <w:rFonts w:ascii="Times New Roman" w:hAnsi="Times New Roman"/>
                <w:color w:val="000000"/>
                <w:spacing w:val="-2"/>
              </w:rPr>
              <w:t xml:space="preserve"> pozarolniczej</w:t>
            </w:r>
            <w:r>
              <w:rPr>
                <w:rFonts w:ascii="Times New Roman" w:hAnsi="Times New Roman"/>
                <w:color w:val="000000"/>
                <w:spacing w:val="-2"/>
              </w:rPr>
              <w:t xml:space="preserve"> działalności gospodarczej w poprzednim roku kalendarzowym przez min. 60 dni;</w:t>
            </w:r>
          </w:p>
          <w:p w:rsidR="00B27509" w:rsidRDefault="00B27509" w:rsidP="00B27509">
            <w:pPr>
              <w:pStyle w:val="Akapitzlist"/>
              <w:numPr>
                <w:ilvl w:val="0"/>
                <w:numId w:val="25"/>
              </w:numPr>
              <w:spacing w:line="240" w:lineRule="auto"/>
              <w:jc w:val="both"/>
              <w:rPr>
                <w:rFonts w:ascii="Times New Roman" w:hAnsi="Times New Roman"/>
                <w:color w:val="000000"/>
                <w:spacing w:val="-2"/>
              </w:rPr>
            </w:pPr>
            <w:r>
              <w:rPr>
                <w:rFonts w:ascii="Times New Roman" w:hAnsi="Times New Roman"/>
                <w:color w:val="000000"/>
                <w:spacing w:val="-2"/>
              </w:rPr>
              <w:t xml:space="preserve">niewykonywanie </w:t>
            </w:r>
            <w:r w:rsidR="008625C5">
              <w:rPr>
                <w:rFonts w:ascii="Times New Roman" w:hAnsi="Times New Roman"/>
                <w:color w:val="000000"/>
                <w:spacing w:val="-2"/>
              </w:rPr>
              <w:t>pozarolniczej</w:t>
            </w:r>
            <w:r w:rsidR="002C64D6">
              <w:rPr>
                <w:rFonts w:ascii="Times New Roman" w:hAnsi="Times New Roman"/>
                <w:color w:val="000000"/>
                <w:spacing w:val="-2"/>
              </w:rPr>
              <w:t xml:space="preserve"> </w:t>
            </w:r>
            <w:r>
              <w:rPr>
                <w:rFonts w:ascii="Times New Roman" w:hAnsi="Times New Roman"/>
                <w:color w:val="000000"/>
                <w:spacing w:val="-2"/>
              </w:rPr>
              <w:t>działalności gospodarczej na rzecz byłego pracodawcy.</w:t>
            </w:r>
          </w:p>
          <w:p w:rsidR="00B27509" w:rsidRDefault="00B27509" w:rsidP="00B27509">
            <w:pPr>
              <w:pStyle w:val="Akapitzlist"/>
              <w:spacing w:line="240" w:lineRule="auto"/>
              <w:jc w:val="both"/>
              <w:rPr>
                <w:rFonts w:ascii="Times New Roman" w:hAnsi="Times New Roman"/>
                <w:color w:val="000000"/>
                <w:spacing w:val="-2"/>
              </w:rPr>
            </w:pPr>
          </w:p>
          <w:p w:rsidR="00B27509" w:rsidRPr="00B27509" w:rsidRDefault="00B27509" w:rsidP="00B27509">
            <w:pPr>
              <w:spacing w:line="240" w:lineRule="auto"/>
              <w:jc w:val="both"/>
              <w:rPr>
                <w:rFonts w:ascii="Times New Roman" w:hAnsi="Times New Roman"/>
                <w:color w:val="000000"/>
                <w:spacing w:val="-2"/>
              </w:rPr>
            </w:pPr>
            <w:r>
              <w:rPr>
                <w:rFonts w:ascii="Times New Roman" w:hAnsi="Times New Roman"/>
                <w:color w:val="000000"/>
                <w:spacing w:val="-2"/>
              </w:rPr>
              <w:t>Ponadto osoba prowadząca pozarolniczą działalność gospodarczą będzie mogła korzystać z projektowanego mechanizmu przez 36 miesięcy w ciągu ostatnich 60 miesięcy prowadzenia działalności.</w:t>
            </w:r>
          </w:p>
          <w:p w:rsidR="009248A0" w:rsidRDefault="009248A0" w:rsidP="00781E1E">
            <w:pPr>
              <w:spacing w:line="240" w:lineRule="auto"/>
              <w:jc w:val="both"/>
              <w:rPr>
                <w:rFonts w:ascii="Times New Roman" w:hAnsi="Times New Roman"/>
                <w:color w:val="000000"/>
                <w:spacing w:val="-2"/>
              </w:rPr>
            </w:pPr>
          </w:p>
          <w:p w:rsidR="009248A0" w:rsidRDefault="009248A0" w:rsidP="00781E1E">
            <w:pPr>
              <w:spacing w:line="240" w:lineRule="auto"/>
              <w:jc w:val="both"/>
              <w:rPr>
                <w:rFonts w:ascii="Times New Roman" w:hAnsi="Times New Roman"/>
                <w:color w:val="000000"/>
                <w:spacing w:val="-2"/>
              </w:rPr>
            </w:pPr>
            <w:r w:rsidRPr="009248A0">
              <w:rPr>
                <w:rFonts w:ascii="Times New Roman" w:hAnsi="Times New Roman"/>
                <w:color w:val="000000"/>
                <w:spacing w:val="-2"/>
              </w:rPr>
              <w:t>Pro</w:t>
            </w:r>
            <w:r w:rsidR="00C44582">
              <w:rPr>
                <w:rFonts w:ascii="Times New Roman" w:hAnsi="Times New Roman"/>
                <w:color w:val="000000"/>
                <w:spacing w:val="-2"/>
              </w:rPr>
              <w:t>jektowane rozwiązanie w ustawie o Krajowej Administracji Skarbowej ma na celu umożliwienie przekazywania przez KAS na żądanie ZUS informacji o przychodach podatnika w celu sprawnej weryfikacji poprawności ustalania najniższej podstawy wymiaru przez ubezpieczonego.</w:t>
            </w:r>
          </w:p>
          <w:p w:rsidR="006A701A" w:rsidRDefault="006A701A" w:rsidP="009248A0">
            <w:pPr>
              <w:spacing w:line="240" w:lineRule="auto"/>
              <w:jc w:val="both"/>
              <w:rPr>
                <w:rFonts w:ascii="Times New Roman" w:hAnsi="Times New Roman"/>
                <w:color w:val="000000"/>
                <w:spacing w:val="-2"/>
              </w:rPr>
            </w:pPr>
          </w:p>
          <w:p w:rsidR="009248A0" w:rsidRDefault="009248A0" w:rsidP="009248A0">
            <w:pPr>
              <w:spacing w:line="240" w:lineRule="auto"/>
              <w:jc w:val="both"/>
              <w:rPr>
                <w:rFonts w:ascii="Times New Roman" w:hAnsi="Times New Roman"/>
                <w:color w:val="000000"/>
                <w:spacing w:val="-2"/>
              </w:rPr>
            </w:pPr>
            <w:r w:rsidRPr="009248A0">
              <w:rPr>
                <w:rFonts w:ascii="Times New Roman" w:hAnsi="Times New Roman"/>
                <w:color w:val="000000"/>
                <w:spacing w:val="-2"/>
              </w:rPr>
              <w:t xml:space="preserve">W efekcie poprawi się rentowność </w:t>
            </w:r>
            <w:proofErr w:type="spellStart"/>
            <w:r w:rsidRPr="009248A0">
              <w:rPr>
                <w:rFonts w:ascii="Times New Roman" w:hAnsi="Times New Roman"/>
                <w:color w:val="000000"/>
                <w:spacing w:val="-2"/>
              </w:rPr>
              <w:t>niskoprzychodowych</w:t>
            </w:r>
            <w:proofErr w:type="spellEnd"/>
            <w:r w:rsidRPr="009248A0">
              <w:rPr>
                <w:rFonts w:ascii="Times New Roman" w:hAnsi="Times New Roman"/>
                <w:color w:val="000000"/>
                <w:spacing w:val="-2"/>
              </w:rPr>
              <w:t xml:space="preserve"> działalności gospodarczych, które obecnie ponoszą nieadekwatne obciążenia </w:t>
            </w:r>
            <w:proofErr w:type="spellStart"/>
            <w:r w:rsidRPr="009248A0">
              <w:rPr>
                <w:rFonts w:ascii="Times New Roman" w:hAnsi="Times New Roman"/>
                <w:color w:val="000000"/>
                <w:spacing w:val="-2"/>
              </w:rPr>
              <w:t>parapodatkowe</w:t>
            </w:r>
            <w:proofErr w:type="spellEnd"/>
            <w:r w:rsidR="00503250">
              <w:rPr>
                <w:rFonts w:ascii="Times New Roman" w:hAnsi="Times New Roman"/>
                <w:color w:val="000000"/>
                <w:spacing w:val="-2"/>
              </w:rPr>
              <w:t>.</w:t>
            </w:r>
            <w:r w:rsidRPr="009248A0">
              <w:rPr>
                <w:rFonts w:ascii="Times New Roman" w:hAnsi="Times New Roman"/>
                <w:color w:val="000000"/>
                <w:spacing w:val="-2"/>
              </w:rPr>
              <w:t xml:space="preserve"> To wpłynie pozytywnie na przeżywalność przedsiębiorstw oraz przyczyni się do rozwoju przedsiębiorczości. Co więcej, wprowadzone rozwiązanie będzie stanowić silną zachętę dla osób funkcjonujących w szarej strefie do zalegalizowania działalności.</w:t>
            </w:r>
          </w:p>
          <w:p w:rsidR="009248A0" w:rsidRDefault="009248A0" w:rsidP="009248A0">
            <w:pPr>
              <w:spacing w:line="240" w:lineRule="auto"/>
              <w:jc w:val="both"/>
              <w:rPr>
                <w:rFonts w:ascii="Times New Roman" w:hAnsi="Times New Roman"/>
                <w:color w:val="000000"/>
                <w:spacing w:val="-2"/>
              </w:rPr>
            </w:pPr>
          </w:p>
          <w:p w:rsidR="00BE50EF" w:rsidRDefault="00BE50EF" w:rsidP="009248A0">
            <w:pPr>
              <w:spacing w:line="240" w:lineRule="auto"/>
              <w:jc w:val="both"/>
              <w:rPr>
                <w:rFonts w:ascii="Times New Roman" w:hAnsi="Times New Roman"/>
                <w:color w:val="000000"/>
                <w:spacing w:val="-2"/>
              </w:rPr>
            </w:pPr>
            <w:r>
              <w:rPr>
                <w:rFonts w:ascii="Times New Roman" w:hAnsi="Times New Roman"/>
                <w:color w:val="000000"/>
                <w:spacing w:val="-2"/>
              </w:rPr>
              <w:br/>
            </w:r>
          </w:p>
          <w:p w:rsidR="00BE50EF" w:rsidRDefault="00BE50EF" w:rsidP="009248A0">
            <w:pPr>
              <w:spacing w:line="240" w:lineRule="auto"/>
              <w:jc w:val="both"/>
              <w:rPr>
                <w:rFonts w:ascii="Times New Roman" w:hAnsi="Times New Roman"/>
                <w:color w:val="000000"/>
                <w:spacing w:val="-2"/>
              </w:rPr>
            </w:pPr>
          </w:p>
          <w:p w:rsidR="00BE50EF" w:rsidRDefault="00BE50EF" w:rsidP="009248A0">
            <w:pPr>
              <w:spacing w:line="240" w:lineRule="auto"/>
              <w:jc w:val="both"/>
              <w:rPr>
                <w:rFonts w:ascii="Times New Roman" w:hAnsi="Times New Roman"/>
                <w:color w:val="000000"/>
                <w:spacing w:val="-2"/>
              </w:rPr>
            </w:pPr>
          </w:p>
          <w:p w:rsidR="00BE50EF" w:rsidRDefault="00BE50EF" w:rsidP="009248A0">
            <w:pPr>
              <w:spacing w:line="240" w:lineRule="auto"/>
              <w:jc w:val="both"/>
              <w:rPr>
                <w:rFonts w:ascii="Times New Roman" w:hAnsi="Times New Roman"/>
                <w:color w:val="000000"/>
                <w:spacing w:val="-2"/>
              </w:rPr>
            </w:pPr>
          </w:p>
          <w:p w:rsidR="00BE50EF" w:rsidRDefault="00BE50EF" w:rsidP="009248A0">
            <w:pPr>
              <w:spacing w:line="240" w:lineRule="auto"/>
              <w:jc w:val="both"/>
              <w:rPr>
                <w:rFonts w:ascii="Times New Roman" w:hAnsi="Times New Roman"/>
                <w:color w:val="000000"/>
                <w:spacing w:val="-2"/>
              </w:rPr>
            </w:pPr>
          </w:p>
          <w:p w:rsidR="00BE50EF" w:rsidRPr="00F61417" w:rsidRDefault="00BE50EF" w:rsidP="009248A0">
            <w:pPr>
              <w:spacing w:line="240" w:lineRule="auto"/>
              <w:jc w:val="both"/>
              <w:rPr>
                <w:rFonts w:ascii="Times New Roman" w:hAnsi="Times New Roman"/>
                <w:color w:val="000000"/>
                <w:spacing w:val="-2"/>
              </w:rPr>
            </w:pPr>
          </w:p>
        </w:tc>
      </w:tr>
      <w:tr w:rsidR="006A701A" w:rsidRPr="00F61417" w:rsidTr="00676C8D">
        <w:trPr>
          <w:gridAfter w:val="1"/>
          <w:wAfter w:w="10" w:type="dxa"/>
          <w:trHeight w:val="307"/>
        </w:trPr>
        <w:tc>
          <w:tcPr>
            <w:tcW w:w="10937" w:type="dxa"/>
            <w:gridSpan w:val="29"/>
            <w:shd w:val="clear" w:color="auto" w:fill="99CCFF"/>
            <w:vAlign w:val="center"/>
          </w:tcPr>
          <w:p w:rsidR="006A701A" w:rsidRPr="00F61417" w:rsidRDefault="009E3C4B" w:rsidP="007D2192">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spacing w:val="-2"/>
              </w:rPr>
              <w:lastRenderedPageBreak/>
              <w:t>Jak problem został ro</w:t>
            </w:r>
            <w:bookmarkStart w:id="3" w:name="_GoBack"/>
            <w:bookmarkEnd w:id="3"/>
            <w:r w:rsidRPr="00F61417">
              <w:rPr>
                <w:rFonts w:ascii="Times New Roman" w:hAnsi="Times New Roman"/>
                <w:b/>
                <w:spacing w:val="-2"/>
              </w:rPr>
              <w:t>związany w innych krajach, w szczególności krajach członkowskich OECD/UE</w:t>
            </w:r>
            <w:r w:rsidR="006A701A" w:rsidRPr="00F61417">
              <w:rPr>
                <w:rFonts w:ascii="Times New Roman" w:hAnsi="Times New Roman"/>
                <w:b/>
                <w:color w:val="000000"/>
              </w:rPr>
              <w:t>?</w:t>
            </w:r>
            <w:r w:rsidR="006A701A" w:rsidRPr="00F61417">
              <w:rPr>
                <w:rFonts w:ascii="Times New Roman" w:hAnsi="Times New Roman"/>
                <w:i/>
                <w:color w:val="000000"/>
              </w:rPr>
              <w:t xml:space="preserve"> </w:t>
            </w:r>
          </w:p>
        </w:tc>
      </w:tr>
      <w:tr w:rsidR="006A701A" w:rsidRPr="00F61417" w:rsidTr="00EF1B5B">
        <w:trPr>
          <w:gridAfter w:val="1"/>
          <w:wAfter w:w="10" w:type="dxa"/>
          <w:trHeight w:val="12158"/>
        </w:trPr>
        <w:tc>
          <w:tcPr>
            <w:tcW w:w="10937" w:type="dxa"/>
            <w:gridSpan w:val="29"/>
            <w:shd w:val="clear" w:color="auto" w:fill="auto"/>
          </w:tcPr>
          <w:p w:rsidR="00A84864" w:rsidRDefault="00A84864" w:rsidP="00B37C80">
            <w:pPr>
              <w:spacing w:line="240" w:lineRule="auto"/>
              <w:jc w:val="both"/>
              <w:rPr>
                <w:rFonts w:ascii="Times New Roman" w:hAnsi="Times New Roman"/>
                <w:color w:val="000000"/>
                <w:spacing w:val="-2"/>
              </w:rPr>
            </w:pPr>
          </w:p>
          <w:p w:rsidR="006A701A" w:rsidRPr="00F61417" w:rsidRDefault="002B4FD3" w:rsidP="00B37C80">
            <w:pPr>
              <w:spacing w:line="240" w:lineRule="auto"/>
              <w:jc w:val="both"/>
              <w:rPr>
                <w:rFonts w:ascii="Times New Roman" w:hAnsi="Times New Roman"/>
                <w:color w:val="000000"/>
                <w:spacing w:val="-2"/>
              </w:rPr>
            </w:pPr>
            <w:r w:rsidRPr="00F61417">
              <w:rPr>
                <w:rFonts w:ascii="Times New Roman" w:hAnsi="Times New Roman"/>
                <w:color w:val="000000"/>
                <w:spacing w:val="-2"/>
              </w:rPr>
              <w:t xml:space="preserve">Duża część </w:t>
            </w:r>
            <w:r w:rsidR="000C4B10" w:rsidRPr="00F61417">
              <w:rPr>
                <w:rFonts w:ascii="Times New Roman" w:hAnsi="Times New Roman"/>
                <w:color w:val="000000"/>
                <w:spacing w:val="-2"/>
              </w:rPr>
              <w:t xml:space="preserve">krajów OECD stosuje podejście polegające na </w:t>
            </w:r>
            <w:r w:rsidRPr="00F61417">
              <w:rPr>
                <w:rFonts w:ascii="Times New Roman" w:hAnsi="Times New Roman"/>
                <w:color w:val="000000"/>
                <w:spacing w:val="-2"/>
              </w:rPr>
              <w:t xml:space="preserve">określeniu składki, jako odsetka wysokości rzeczywistego dochodu osiąganego przez samozatrudnionego. Część krajów stosuje także </w:t>
            </w:r>
            <w:r w:rsidR="005B6F67">
              <w:rPr>
                <w:rFonts w:ascii="Times New Roman" w:hAnsi="Times New Roman"/>
                <w:color w:val="000000"/>
                <w:spacing w:val="-2"/>
              </w:rPr>
              <w:t xml:space="preserve">dodatkowo </w:t>
            </w:r>
            <w:r w:rsidRPr="00F61417">
              <w:rPr>
                <w:rFonts w:ascii="Times New Roman" w:hAnsi="Times New Roman"/>
                <w:color w:val="000000"/>
                <w:spacing w:val="-2"/>
              </w:rPr>
              <w:t>progi dochodowe. Niektóre różnicują wysokość składki w zależności od działalności (zawodu), który jest wykonywany.</w:t>
            </w:r>
            <w:r w:rsidR="005B6F67">
              <w:rPr>
                <w:rFonts w:ascii="Times New Roman" w:hAnsi="Times New Roman"/>
                <w:color w:val="000000"/>
                <w:spacing w:val="-2"/>
              </w:rPr>
              <w:t xml:space="preserve"> Poniżej podsumowano zastosowane w praktyce rozwiązania.</w:t>
            </w:r>
          </w:p>
          <w:p w:rsidR="000C4B10" w:rsidRPr="00F61417" w:rsidRDefault="000C4B10" w:rsidP="00B37C80">
            <w:pPr>
              <w:spacing w:line="240" w:lineRule="auto"/>
              <w:jc w:val="both"/>
              <w:rPr>
                <w:rFonts w:ascii="Times New Roman" w:hAnsi="Times New Roman"/>
                <w:color w:val="000000"/>
                <w:spacing w:val="-2"/>
              </w:rP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9072"/>
            </w:tblGrid>
            <w:tr w:rsidR="00EF1B5B" w:rsidRPr="00D844D8" w:rsidTr="00EF1B5B">
              <w:tc>
                <w:tcPr>
                  <w:tcW w:w="1589" w:type="dxa"/>
                  <w:shd w:val="clear" w:color="auto" w:fill="auto"/>
                </w:tcPr>
                <w:p w:rsidR="00EF1B5B" w:rsidRPr="00EF1B5B" w:rsidRDefault="00EF1B5B" w:rsidP="000B0E32">
                  <w:pPr>
                    <w:spacing w:line="240" w:lineRule="auto"/>
                    <w:jc w:val="center"/>
                    <w:rPr>
                      <w:rFonts w:ascii="Times New Roman" w:hAnsi="Times New Roman"/>
                      <w:b/>
                      <w:sz w:val="20"/>
                    </w:rPr>
                  </w:pPr>
                  <w:r w:rsidRPr="00EF1B5B">
                    <w:rPr>
                      <w:rFonts w:ascii="Times New Roman" w:hAnsi="Times New Roman"/>
                      <w:b/>
                      <w:sz w:val="20"/>
                    </w:rPr>
                    <w:t>Kraj</w:t>
                  </w:r>
                </w:p>
              </w:tc>
              <w:tc>
                <w:tcPr>
                  <w:tcW w:w="9072" w:type="dxa"/>
                  <w:shd w:val="clear" w:color="auto" w:fill="auto"/>
                </w:tcPr>
                <w:p w:rsidR="00EF1B5B" w:rsidRPr="00EF1B5B" w:rsidRDefault="00EF1B5B" w:rsidP="000B0E32">
                  <w:pPr>
                    <w:spacing w:line="240" w:lineRule="auto"/>
                    <w:jc w:val="center"/>
                    <w:rPr>
                      <w:rFonts w:ascii="Times New Roman" w:hAnsi="Times New Roman"/>
                      <w:b/>
                      <w:sz w:val="20"/>
                    </w:rPr>
                  </w:pPr>
                  <w:r w:rsidRPr="00EF1B5B">
                    <w:rPr>
                      <w:rFonts w:ascii="Times New Roman" w:hAnsi="Times New Roman"/>
                      <w:b/>
                      <w:sz w:val="20"/>
                    </w:rPr>
                    <w:t>Zasady ustalania wysokości składek na ubezpieczenia społeczne</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Austria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 xml:space="preserve">Obowiązek opłacania składek występuje, jeżeli roczny zysk brutto przekroczył 5108,4 EUR (w 2017). Składek nie opłaca się od rocznej nadwyżki zysku ponad 69720 EUR. </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Belgia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 xml:space="preserve">Podstawą wymiaru składek na ubezpieczenia społeczne jest zysk netto. Osoba samozatrudniona płaci 21,5% rocznego zysku netto ponad 13,010.66 EUR oraz 14,16% podstawy wymiaru ponad 56,182.45 EUR i nie odprowadza składek od zysku ponad 82,795.16 EUR (2016). Minimalna wysokość składek wynosi 699,32 EUR kwartalnie. Stawki dla osób w ciągu pierwszych 3 lat działalności są nieznacznie obniżone. </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Czechy</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Bazą do obliczania składek na ubezpieczenie społeczne jest 50% dochodu do opodatkowania. Przedsiębiorca ma możliwość skorzystania z uproszczonej kalkulacji dochodu brutto i ustalić go jako % przychodu w zależności od branży. Maksymalna roczna podstawa wymiaru składek na ubezpieczenia społeczne to 1355136 CZK (2016), czyli 48-krotność przeciętnego miesięcznego wynagrodzenia. Stawka ubezpieczenia emerytalnego to 28%.  Jeżeli przedsiębiorca zarabia mniej niż 3-krotność przeciętnego wynagrodzenia miesięcznego, to jego podstawą jest połowa tej kwoty.</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Niemcy</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Osoba samozatrudniona co do zasady nie musi uczestniczyć w publicznym systemie zabezpieczenia społecznego. Jednak niektóre zawody są zobowiązane do opłacania składek. Przykładowo samozatrudnieni nauczyciele, rzemieślnicy oraz dziennikarze muszą odprowadzać 19% podstawy wymiaru na obowiązkowe ubezpieczenie emerytalne.</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Francja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 xml:space="preserve">Podstawą wymiaru składek na ubezpieczenia społeczne jest zysk brutto, a wybrane profesje mają różne stawki ubezpieczeń. Występuje minimalna, stała kwota składki. </w:t>
                  </w:r>
                  <w:r w:rsidRPr="00EF1B5B">
                    <w:rPr>
                      <w:rFonts w:ascii="Times New Roman" w:hAnsi="Times New Roman"/>
                      <w:b/>
                      <w:sz w:val="20"/>
                    </w:rPr>
                    <w:t xml:space="preserve">Dodatkowo, szczególna regulacja dotyczy tzw. </w:t>
                  </w:r>
                  <w:r w:rsidRPr="00EF1B5B">
                    <w:rPr>
                      <w:rFonts w:ascii="Times New Roman" w:hAnsi="Times New Roman"/>
                      <w:b/>
                      <w:i/>
                      <w:sz w:val="20"/>
                    </w:rPr>
                    <w:t>micro-</w:t>
                  </w:r>
                  <w:proofErr w:type="spellStart"/>
                  <w:r w:rsidRPr="00EF1B5B">
                    <w:rPr>
                      <w:rFonts w:ascii="Times New Roman" w:hAnsi="Times New Roman"/>
                      <w:b/>
                      <w:i/>
                      <w:sz w:val="20"/>
                    </w:rPr>
                    <w:t>entrepreneurs</w:t>
                  </w:r>
                  <w:proofErr w:type="spellEnd"/>
                  <w:r w:rsidRPr="00EF1B5B">
                    <w:rPr>
                      <w:rFonts w:ascii="Times New Roman" w:hAnsi="Times New Roman"/>
                      <w:sz w:val="20"/>
                    </w:rPr>
                    <w:t xml:space="preserve">, którzy osiągają przychód brutto poniżej 82800 EUR (dla handlu, produkcji, gastronomii i hotelarstwa) albo poniżej 33200 EUR (dla pozostałych branż). Wtedy ich podstawą wymiaru jest przychód brutto, a stawka zależy od branży: 13,41%, 22,5% lub 22,7%. </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Grecja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Jest 14 kategorii (progów) i na początku działalności automatycznie trafia się do kategorii pierwszej. Nie ma dolnego ograniczenia, jest tylko górne od którego nie opłaca się składek. 5,543.55 EUR miesięcznie, dla tych którzy przystąpili do ubezpieczenia po 31.12.1992 r. i 221.74 EUR dziennie, dla tych którzy przystąpili po raz pierwszy wcześniej.</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Irlandia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Minimalna kwota, od której płaci się składki to 5000 EUR rocznie. Maksymalna składka miesięczna wynosi 500 EUR. Dodatkowa składka w wysokości 0,5%, dla dochodów powyżej 100100 EUR rocznie. Niższe stawki dla samozatrudnionych poniżej 21 r.ż.</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Włochy</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Samozatrudnieni odprowadzają składki do krajowego INPS (</w:t>
                  </w:r>
                  <w:proofErr w:type="spellStart"/>
                  <w:r w:rsidRPr="00EF1B5B">
                    <w:rPr>
                      <w:rFonts w:ascii="Times New Roman" w:hAnsi="Times New Roman"/>
                      <w:i/>
                      <w:sz w:val="20"/>
                    </w:rPr>
                    <w:t>Istituto</w:t>
                  </w:r>
                  <w:proofErr w:type="spellEnd"/>
                  <w:r w:rsidRPr="00EF1B5B">
                    <w:rPr>
                      <w:rFonts w:ascii="Times New Roman" w:hAnsi="Times New Roman"/>
                      <w:i/>
                      <w:sz w:val="20"/>
                    </w:rPr>
                    <w:t xml:space="preserve"> </w:t>
                  </w:r>
                  <w:proofErr w:type="spellStart"/>
                  <w:r w:rsidRPr="00EF1B5B">
                    <w:rPr>
                      <w:rFonts w:ascii="Times New Roman" w:hAnsi="Times New Roman"/>
                      <w:i/>
                      <w:sz w:val="20"/>
                    </w:rPr>
                    <w:t>Nazionale</w:t>
                  </w:r>
                  <w:proofErr w:type="spellEnd"/>
                  <w:r w:rsidRPr="00EF1B5B">
                    <w:rPr>
                      <w:rFonts w:ascii="Times New Roman" w:hAnsi="Times New Roman"/>
                      <w:i/>
                      <w:sz w:val="20"/>
                    </w:rPr>
                    <w:t xml:space="preserve"> </w:t>
                  </w:r>
                  <w:proofErr w:type="spellStart"/>
                  <w:r w:rsidRPr="00EF1B5B">
                    <w:rPr>
                      <w:rFonts w:ascii="Times New Roman" w:hAnsi="Times New Roman"/>
                      <w:i/>
                      <w:sz w:val="20"/>
                    </w:rPr>
                    <w:t>della</w:t>
                  </w:r>
                  <w:proofErr w:type="spellEnd"/>
                  <w:r w:rsidRPr="00EF1B5B">
                    <w:rPr>
                      <w:rFonts w:ascii="Times New Roman" w:hAnsi="Times New Roman"/>
                      <w:i/>
                      <w:sz w:val="20"/>
                    </w:rPr>
                    <w:t xml:space="preserve"> </w:t>
                  </w:r>
                  <w:proofErr w:type="spellStart"/>
                  <w:r w:rsidRPr="00EF1B5B">
                    <w:rPr>
                      <w:rFonts w:ascii="Times New Roman" w:hAnsi="Times New Roman"/>
                      <w:i/>
                      <w:sz w:val="20"/>
                    </w:rPr>
                    <w:t>Previdenza</w:t>
                  </w:r>
                  <w:proofErr w:type="spellEnd"/>
                  <w:r w:rsidRPr="00EF1B5B">
                    <w:rPr>
                      <w:rFonts w:ascii="Times New Roman" w:hAnsi="Times New Roman"/>
                      <w:i/>
                      <w:sz w:val="20"/>
                    </w:rPr>
                    <w:t xml:space="preserve"> </w:t>
                  </w:r>
                  <w:proofErr w:type="spellStart"/>
                  <w:r w:rsidRPr="00EF1B5B">
                    <w:rPr>
                      <w:rFonts w:ascii="Times New Roman" w:hAnsi="Times New Roman"/>
                      <w:i/>
                      <w:sz w:val="20"/>
                    </w:rPr>
                    <w:t>Sociale</w:t>
                  </w:r>
                  <w:proofErr w:type="spellEnd"/>
                  <w:r w:rsidRPr="00EF1B5B">
                    <w:rPr>
                      <w:rFonts w:ascii="Times New Roman" w:hAnsi="Times New Roman"/>
                      <w:i/>
                      <w:sz w:val="20"/>
                    </w:rPr>
                    <w:t>)</w:t>
                  </w:r>
                  <w:r w:rsidRPr="00EF1B5B">
                    <w:rPr>
                      <w:rFonts w:ascii="Times New Roman" w:hAnsi="Times New Roman"/>
                      <w:sz w:val="20"/>
                    </w:rPr>
                    <w:t xml:space="preserve"> albo w przypadku wybranych profesji (np. prawnicy, księgowi, inżynierowie) do swoich </w:t>
                  </w:r>
                  <w:proofErr w:type="spellStart"/>
                  <w:r w:rsidRPr="00EF1B5B">
                    <w:rPr>
                      <w:rFonts w:ascii="Times New Roman" w:hAnsi="Times New Roman"/>
                      <w:i/>
                      <w:sz w:val="20"/>
                    </w:rPr>
                    <w:t>cassa</w:t>
                  </w:r>
                  <w:proofErr w:type="spellEnd"/>
                  <w:r w:rsidRPr="00EF1B5B">
                    <w:rPr>
                      <w:rFonts w:ascii="Times New Roman" w:hAnsi="Times New Roman"/>
                      <w:sz w:val="20"/>
                    </w:rPr>
                    <w:t xml:space="preserve"> lub do INPS</w:t>
                  </w:r>
                  <w:r w:rsidRPr="00EF1B5B">
                    <w:rPr>
                      <w:rFonts w:ascii="Times New Roman" w:hAnsi="Times New Roman"/>
                      <w:i/>
                      <w:sz w:val="20"/>
                    </w:rPr>
                    <w:t xml:space="preserve">. </w:t>
                  </w:r>
                  <w:r w:rsidRPr="00EF1B5B">
                    <w:rPr>
                      <w:rFonts w:ascii="Times New Roman" w:hAnsi="Times New Roman"/>
                      <w:sz w:val="20"/>
                    </w:rPr>
                    <w:t xml:space="preserve">Podstawą wymiaru jest dochód brutto, a stawki wahają się od 18% do 27,72%. Przykładowo, dla detalistów minimalna podstawa to 15,548EUR rocznie. Do wysokości 46,123 EUR stawka wynosi 23,64%, a między 46,123 EUR a 76,872 EUR 24,64%, powyżej tego progu już się składek nie odprowadza (2017).  </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Łotwa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Stawka wynosi 30,58% podstawy wymiaru, jednak kwota zapłacona nie może być niższa niż 4440 EUR rocznie (2017).</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Norwegia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Stawka wynosi 11,4% podstawy wymiaru. Minimalna wysokość podstawy to 49,650 NOK. Maksymalna składka to 25% rocznego dochodu.</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Szwecja</w:t>
                  </w:r>
                </w:p>
              </w:tc>
              <w:tc>
                <w:tcPr>
                  <w:tcW w:w="9072" w:type="dxa"/>
                  <w:shd w:val="clear" w:color="auto" w:fill="auto"/>
                  <w:vAlign w:val="center"/>
                </w:tcPr>
                <w:p w:rsidR="00EF1B5B" w:rsidRPr="00EF1B5B" w:rsidRDefault="00EF1B5B" w:rsidP="000B0E32">
                  <w:pPr>
                    <w:spacing w:line="240" w:lineRule="auto"/>
                    <w:jc w:val="both"/>
                    <w:rPr>
                      <w:rFonts w:ascii="Times New Roman" w:hAnsi="Times New Roman"/>
                      <w:sz w:val="20"/>
                    </w:rPr>
                  </w:pPr>
                  <w:r w:rsidRPr="00EF1B5B">
                    <w:rPr>
                      <w:rFonts w:ascii="Times New Roman" w:hAnsi="Times New Roman"/>
                      <w:sz w:val="20"/>
                    </w:rPr>
                    <w:t>Składka emerytalna równa jest 17,21% podstawy wymiaru. Minimalna wysokość podstawy to 18,739 SEK, a maksymalna 478,551 SEK (2016).</w:t>
                  </w:r>
                </w:p>
              </w:tc>
            </w:tr>
            <w:tr w:rsidR="00EF1B5B" w:rsidRPr="00D844D8" w:rsidTr="00EF1B5B">
              <w:tc>
                <w:tcPr>
                  <w:tcW w:w="1589" w:type="dxa"/>
                  <w:shd w:val="clear" w:color="auto" w:fill="auto"/>
                  <w:vAlign w:val="center"/>
                </w:tcPr>
                <w:p w:rsidR="00EF1B5B" w:rsidRPr="00EF1B5B" w:rsidRDefault="00EF1B5B" w:rsidP="000B0E32">
                  <w:pPr>
                    <w:spacing w:line="240" w:lineRule="auto"/>
                    <w:jc w:val="center"/>
                    <w:rPr>
                      <w:rFonts w:ascii="Times New Roman" w:hAnsi="Times New Roman"/>
                      <w:sz w:val="20"/>
                    </w:rPr>
                  </w:pPr>
                  <w:r w:rsidRPr="00EF1B5B">
                    <w:rPr>
                      <w:rFonts w:ascii="Times New Roman" w:hAnsi="Times New Roman"/>
                      <w:sz w:val="20"/>
                    </w:rPr>
                    <w:t>Wielka Brytania</w:t>
                  </w:r>
                </w:p>
              </w:tc>
              <w:tc>
                <w:tcPr>
                  <w:tcW w:w="9072" w:type="dxa"/>
                  <w:shd w:val="clear" w:color="auto" w:fill="auto"/>
                  <w:vAlign w:val="center"/>
                </w:tcPr>
                <w:p w:rsidR="00EF1B5B" w:rsidRPr="00EF1B5B" w:rsidRDefault="00EF1B5B" w:rsidP="000B0E32">
                  <w:pPr>
                    <w:keepNext/>
                    <w:spacing w:line="240" w:lineRule="auto"/>
                    <w:jc w:val="both"/>
                    <w:rPr>
                      <w:rFonts w:ascii="Times New Roman" w:hAnsi="Times New Roman"/>
                      <w:sz w:val="20"/>
                    </w:rPr>
                  </w:pPr>
                  <w:r w:rsidRPr="00EF1B5B">
                    <w:rPr>
                      <w:rFonts w:ascii="Times New Roman" w:hAnsi="Times New Roman"/>
                      <w:sz w:val="20"/>
                    </w:rPr>
                    <w:t>W przypadku podstawy od 6,025 GBP do 8,164 GBP rocznie płaci się 2,85 GBP tygodniowo. Poniżej 6,025 GBP nie ma obowiązku odprowadzania składek na ubezpieczenia społeczne. Od podstawy pomiędzy 8,164 GBP a 45,000 GBP stawka wynosi 9% dochodu, a powyżej tej kwoty 2%. Od 2018 rząd planuje zniesienie pierwszego progu i wprowadzenie obowiązku opłacania składek od drugiego progu, obecnie 8,164% oraz podniesienie stawek.</w:t>
                  </w:r>
                </w:p>
              </w:tc>
            </w:tr>
          </w:tbl>
          <w:p w:rsidR="006A701A" w:rsidRPr="00F61417" w:rsidRDefault="006A701A" w:rsidP="007B377C">
            <w:pPr>
              <w:spacing w:line="240" w:lineRule="auto"/>
              <w:jc w:val="both"/>
              <w:rPr>
                <w:rFonts w:ascii="Times New Roman" w:hAnsi="Times New Roman"/>
                <w:color w:val="000000"/>
                <w:spacing w:val="-2"/>
              </w:rPr>
            </w:pPr>
          </w:p>
        </w:tc>
      </w:tr>
      <w:tr w:rsidR="006A701A" w:rsidRPr="00F61417" w:rsidTr="00676C8D">
        <w:trPr>
          <w:gridAfter w:val="1"/>
          <w:wAfter w:w="10" w:type="dxa"/>
          <w:trHeight w:val="359"/>
        </w:trPr>
        <w:tc>
          <w:tcPr>
            <w:tcW w:w="10937" w:type="dxa"/>
            <w:gridSpan w:val="29"/>
            <w:shd w:val="clear" w:color="auto" w:fill="99CCFF"/>
            <w:vAlign w:val="center"/>
          </w:tcPr>
          <w:p w:rsidR="006A701A" w:rsidRPr="00F61417" w:rsidRDefault="006A701A" w:rsidP="00213EFD">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color w:val="000000"/>
              </w:rPr>
              <w:t>Podmioty, na które oddziałuje projekt</w:t>
            </w:r>
          </w:p>
        </w:tc>
      </w:tr>
      <w:tr w:rsidR="00260F33" w:rsidRPr="00F61417" w:rsidTr="00676C8D">
        <w:trPr>
          <w:gridAfter w:val="1"/>
          <w:wAfter w:w="10" w:type="dxa"/>
          <w:trHeight w:val="142"/>
        </w:trPr>
        <w:tc>
          <w:tcPr>
            <w:tcW w:w="2668" w:type="dxa"/>
            <w:gridSpan w:val="3"/>
            <w:shd w:val="clear" w:color="auto" w:fill="auto"/>
          </w:tcPr>
          <w:p w:rsidR="00260F33" w:rsidRPr="00F61417" w:rsidRDefault="00260F33" w:rsidP="0072636A">
            <w:pPr>
              <w:spacing w:before="40" w:line="240" w:lineRule="auto"/>
              <w:jc w:val="center"/>
              <w:rPr>
                <w:rFonts w:ascii="Times New Roman" w:hAnsi="Times New Roman"/>
                <w:color w:val="000000"/>
                <w:spacing w:val="-2"/>
              </w:rPr>
            </w:pPr>
            <w:r w:rsidRPr="00F61417">
              <w:rPr>
                <w:rFonts w:ascii="Times New Roman" w:hAnsi="Times New Roman"/>
                <w:color w:val="000000"/>
                <w:spacing w:val="-2"/>
              </w:rPr>
              <w:t>Grupa</w:t>
            </w:r>
          </w:p>
        </w:tc>
        <w:tc>
          <w:tcPr>
            <w:tcW w:w="2292" w:type="dxa"/>
            <w:gridSpan w:val="8"/>
            <w:shd w:val="clear" w:color="auto" w:fill="auto"/>
          </w:tcPr>
          <w:p w:rsidR="00260F33" w:rsidRPr="00F61417" w:rsidRDefault="00563199" w:rsidP="0072636A">
            <w:pPr>
              <w:spacing w:before="40" w:line="240" w:lineRule="auto"/>
              <w:jc w:val="center"/>
              <w:rPr>
                <w:rFonts w:ascii="Times New Roman" w:hAnsi="Times New Roman"/>
                <w:color w:val="000000"/>
                <w:spacing w:val="-2"/>
              </w:rPr>
            </w:pPr>
            <w:r w:rsidRPr="00F61417">
              <w:rPr>
                <w:rFonts w:ascii="Times New Roman" w:hAnsi="Times New Roman"/>
                <w:color w:val="000000"/>
                <w:spacing w:val="-2"/>
              </w:rPr>
              <w:t>Wielkość</w:t>
            </w:r>
          </w:p>
        </w:tc>
        <w:tc>
          <w:tcPr>
            <w:tcW w:w="2996" w:type="dxa"/>
            <w:gridSpan w:val="12"/>
            <w:shd w:val="clear" w:color="auto" w:fill="auto"/>
          </w:tcPr>
          <w:p w:rsidR="00260F33" w:rsidRPr="00F61417" w:rsidRDefault="00260F33" w:rsidP="0072636A">
            <w:pPr>
              <w:spacing w:before="40" w:line="240" w:lineRule="auto"/>
              <w:jc w:val="center"/>
              <w:rPr>
                <w:rFonts w:ascii="Times New Roman" w:hAnsi="Times New Roman"/>
                <w:color w:val="000000"/>
                <w:spacing w:val="-2"/>
              </w:rPr>
            </w:pPr>
            <w:r w:rsidRPr="00F61417">
              <w:rPr>
                <w:rFonts w:ascii="Times New Roman" w:hAnsi="Times New Roman"/>
                <w:color w:val="000000"/>
                <w:spacing w:val="-2"/>
              </w:rPr>
              <w:t>Źródło danych</w:t>
            </w:r>
            <w:r w:rsidRPr="00F61417" w:rsidDel="00260F33">
              <w:rPr>
                <w:rFonts w:ascii="Times New Roman" w:hAnsi="Times New Roman"/>
                <w:color w:val="000000"/>
                <w:spacing w:val="-2"/>
              </w:rPr>
              <w:t xml:space="preserve"> </w:t>
            </w:r>
          </w:p>
        </w:tc>
        <w:tc>
          <w:tcPr>
            <w:tcW w:w="2981" w:type="dxa"/>
            <w:gridSpan w:val="6"/>
            <w:shd w:val="clear" w:color="auto" w:fill="auto"/>
          </w:tcPr>
          <w:p w:rsidR="00260F33" w:rsidRPr="00F61417" w:rsidRDefault="00260F33" w:rsidP="0072636A">
            <w:pPr>
              <w:spacing w:before="40" w:line="240" w:lineRule="auto"/>
              <w:jc w:val="center"/>
              <w:rPr>
                <w:rFonts w:ascii="Times New Roman" w:hAnsi="Times New Roman"/>
                <w:color w:val="000000"/>
                <w:spacing w:val="-2"/>
              </w:rPr>
            </w:pPr>
            <w:r w:rsidRPr="00F61417">
              <w:rPr>
                <w:rFonts w:ascii="Times New Roman" w:hAnsi="Times New Roman"/>
                <w:color w:val="000000"/>
                <w:spacing w:val="-2"/>
              </w:rPr>
              <w:t>Oddziaływanie</w:t>
            </w:r>
          </w:p>
        </w:tc>
      </w:tr>
      <w:tr w:rsidR="00260F33" w:rsidRPr="00F61417" w:rsidTr="00A306F8">
        <w:trPr>
          <w:gridAfter w:val="1"/>
          <w:wAfter w:w="10" w:type="dxa"/>
          <w:trHeight w:val="142"/>
        </w:trPr>
        <w:tc>
          <w:tcPr>
            <w:tcW w:w="2668" w:type="dxa"/>
            <w:gridSpan w:val="3"/>
            <w:shd w:val="clear" w:color="auto" w:fill="auto"/>
          </w:tcPr>
          <w:p w:rsidR="00260F33" w:rsidRPr="00F61417" w:rsidRDefault="00312C9F" w:rsidP="00E023B7">
            <w:pPr>
              <w:spacing w:line="240" w:lineRule="auto"/>
              <w:jc w:val="center"/>
              <w:rPr>
                <w:rFonts w:ascii="Times New Roman" w:hAnsi="Times New Roman"/>
                <w:color w:val="000000"/>
                <w:spacing w:val="-2"/>
              </w:rPr>
            </w:pPr>
            <w:r w:rsidRPr="00F61417">
              <w:rPr>
                <w:rFonts w:ascii="Times New Roman" w:hAnsi="Times New Roman"/>
                <w:color w:val="000000"/>
              </w:rPr>
              <w:t>Przedsiębiorcy</w:t>
            </w:r>
            <w:r w:rsidR="003678C3">
              <w:rPr>
                <w:rFonts w:ascii="Times New Roman" w:hAnsi="Times New Roman"/>
                <w:color w:val="000000"/>
              </w:rPr>
              <w:t xml:space="preserve"> (osoby fizyczne)</w:t>
            </w:r>
            <w:r w:rsidRPr="00F61417">
              <w:rPr>
                <w:rFonts w:ascii="Times New Roman" w:hAnsi="Times New Roman"/>
                <w:color w:val="000000"/>
              </w:rPr>
              <w:t xml:space="preserve"> osiągający w skali roku przychód rzędu trzydziestokrotności kwoty minimalnego wynagrodzenia za pracę</w:t>
            </w:r>
          </w:p>
        </w:tc>
        <w:tc>
          <w:tcPr>
            <w:tcW w:w="2292" w:type="dxa"/>
            <w:gridSpan w:val="8"/>
            <w:shd w:val="clear" w:color="auto" w:fill="auto"/>
            <w:vAlign w:val="center"/>
          </w:tcPr>
          <w:p w:rsidR="00260F33" w:rsidRPr="00F61417" w:rsidRDefault="00621C28" w:rsidP="008B43F9">
            <w:pPr>
              <w:spacing w:line="240" w:lineRule="auto"/>
              <w:jc w:val="center"/>
              <w:rPr>
                <w:rFonts w:ascii="Times New Roman" w:hAnsi="Times New Roman"/>
                <w:color w:val="000000"/>
                <w:spacing w:val="-2"/>
              </w:rPr>
            </w:pPr>
            <w:r>
              <w:rPr>
                <w:rFonts w:ascii="Times New Roman" w:hAnsi="Times New Roman"/>
                <w:color w:val="000000"/>
                <w:spacing w:val="-2"/>
              </w:rPr>
              <w:t>~</w:t>
            </w:r>
            <w:r w:rsidR="00431847">
              <w:rPr>
                <w:rFonts w:ascii="Times New Roman" w:hAnsi="Times New Roman"/>
                <w:color w:val="000000"/>
                <w:spacing w:val="-2"/>
              </w:rPr>
              <w:t>173.1</w:t>
            </w:r>
            <w:r w:rsidR="00B605CF" w:rsidRPr="00A306F8">
              <w:rPr>
                <w:rFonts w:ascii="Times New Roman" w:hAnsi="Times New Roman"/>
                <w:color w:val="000000"/>
                <w:spacing w:val="-2"/>
              </w:rPr>
              <w:t xml:space="preserve"> </w:t>
            </w:r>
            <w:r w:rsidR="00057418" w:rsidRPr="00A306F8">
              <w:rPr>
                <w:rFonts w:ascii="Times New Roman" w:hAnsi="Times New Roman"/>
                <w:color w:val="000000"/>
                <w:spacing w:val="-2"/>
              </w:rPr>
              <w:t>tys.</w:t>
            </w:r>
            <w:r w:rsidR="00057418">
              <w:rPr>
                <w:rFonts w:ascii="Times New Roman" w:hAnsi="Times New Roman"/>
                <w:color w:val="000000"/>
                <w:spacing w:val="-2"/>
              </w:rPr>
              <w:t xml:space="preserve"> </w:t>
            </w:r>
            <w:r w:rsidR="008F4CE8">
              <w:rPr>
                <w:rFonts w:ascii="Times New Roman" w:hAnsi="Times New Roman"/>
                <w:color w:val="000000"/>
                <w:spacing w:val="-2"/>
              </w:rPr>
              <w:t>przedsiębiorców</w:t>
            </w:r>
          </w:p>
        </w:tc>
        <w:tc>
          <w:tcPr>
            <w:tcW w:w="2996" w:type="dxa"/>
            <w:gridSpan w:val="12"/>
            <w:shd w:val="clear" w:color="auto" w:fill="auto"/>
            <w:vAlign w:val="center"/>
          </w:tcPr>
          <w:p w:rsidR="00260F33" w:rsidRPr="00F61417" w:rsidRDefault="003C005E" w:rsidP="00A306F8">
            <w:pPr>
              <w:spacing w:line="240" w:lineRule="auto"/>
              <w:jc w:val="center"/>
              <w:rPr>
                <w:rFonts w:ascii="Times New Roman" w:hAnsi="Times New Roman"/>
                <w:color w:val="000000"/>
                <w:spacing w:val="-2"/>
              </w:rPr>
            </w:pPr>
            <w:r>
              <w:rPr>
                <w:rFonts w:ascii="Times New Roman" w:hAnsi="Times New Roman"/>
                <w:color w:val="000000"/>
                <w:spacing w:val="-2"/>
              </w:rPr>
              <w:t>MF/</w:t>
            </w:r>
            <w:proofErr w:type="spellStart"/>
            <w:r>
              <w:rPr>
                <w:rFonts w:ascii="Times New Roman" w:hAnsi="Times New Roman"/>
                <w:color w:val="000000"/>
                <w:spacing w:val="-2"/>
              </w:rPr>
              <w:t>MPiT</w:t>
            </w:r>
            <w:proofErr w:type="spellEnd"/>
          </w:p>
        </w:tc>
        <w:tc>
          <w:tcPr>
            <w:tcW w:w="2981" w:type="dxa"/>
            <w:gridSpan w:val="6"/>
            <w:shd w:val="clear" w:color="auto" w:fill="auto"/>
            <w:vAlign w:val="center"/>
          </w:tcPr>
          <w:p w:rsidR="00260F33" w:rsidRPr="00F61417" w:rsidRDefault="00D02955" w:rsidP="00A306F8">
            <w:pPr>
              <w:spacing w:line="240" w:lineRule="auto"/>
              <w:jc w:val="center"/>
              <w:rPr>
                <w:rFonts w:ascii="Times New Roman" w:hAnsi="Times New Roman"/>
                <w:color w:val="000000"/>
                <w:spacing w:val="-2"/>
              </w:rPr>
            </w:pPr>
            <w:r>
              <w:rPr>
                <w:rFonts w:ascii="Times New Roman" w:hAnsi="Times New Roman"/>
                <w:color w:val="000000"/>
                <w:spacing w:val="-2"/>
              </w:rPr>
              <w:t>p</w:t>
            </w:r>
            <w:r w:rsidR="00312C9F" w:rsidRPr="00F61417">
              <w:rPr>
                <w:rFonts w:ascii="Times New Roman" w:hAnsi="Times New Roman"/>
                <w:color w:val="000000"/>
                <w:spacing w:val="-2"/>
              </w:rPr>
              <w:t>ozytywne</w:t>
            </w:r>
            <w:r w:rsidR="00057418">
              <w:rPr>
                <w:rFonts w:ascii="Times New Roman" w:hAnsi="Times New Roman"/>
                <w:color w:val="000000"/>
                <w:spacing w:val="-2"/>
              </w:rPr>
              <w:t xml:space="preserve">, zmniejszające obciążenia </w:t>
            </w:r>
            <w:proofErr w:type="spellStart"/>
            <w:r w:rsidR="00C64A30">
              <w:rPr>
                <w:rFonts w:ascii="Times New Roman" w:hAnsi="Times New Roman"/>
                <w:color w:val="000000"/>
                <w:spacing w:val="-2"/>
              </w:rPr>
              <w:t>para</w:t>
            </w:r>
            <w:r w:rsidR="00057418">
              <w:rPr>
                <w:rFonts w:ascii="Times New Roman" w:hAnsi="Times New Roman"/>
                <w:color w:val="000000"/>
                <w:spacing w:val="-2"/>
              </w:rPr>
              <w:t>podatkowe</w:t>
            </w:r>
            <w:proofErr w:type="spellEnd"/>
          </w:p>
        </w:tc>
      </w:tr>
      <w:tr w:rsidR="00E770F2" w:rsidRPr="00F61417" w:rsidTr="00D02955">
        <w:trPr>
          <w:gridAfter w:val="1"/>
          <w:wAfter w:w="10" w:type="dxa"/>
          <w:trHeight w:val="142"/>
        </w:trPr>
        <w:tc>
          <w:tcPr>
            <w:tcW w:w="2668" w:type="dxa"/>
            <w:gridSpan w:val="3"/>
            <w:shd w:val="clear" w:color="auto" w:fill="auto"/>
            <w:vAlign w:val="center"/>
          </w:tcPr>
          <w:p w:rsidR="00E770F2" w:rsidRPr="00F61417" w:rsidRDefault="00E770F2" w:rsidP="00D02955">
            <w:pPr>
              <w:spacing w:line="240" w:lineRule="auto"/>
              <w:jc w:val="center"/>
              <w:rPr>
                <w:rFonts w:ascii="Times New Roman" w:hAnsi="Times New Roman"/>
                <w:color w:val="000000"/>
              </w:rPr>
            </w:pPr>
            <w:r>
              <w:rPr>
                <w:rFonts w:ascii="Times New Roman" w:hAnsi="Times New Roman"/>
                <w:color w:val="000000"/>
              </w:rPr>
              <w:t>Zakład Ubezpieczeń Społecznych</w:t>
            </w:r>
          </w:p>
        </w:tc>
        <w:tc>
          <w:tcPr>
            <w:tcW w:w="2292" w:type="dxa"/>
            <w:gridSpan w:val="8"/>
            <w:shd w:val="clear" w:color="auto" w:fill="auto"/>
            <w:vAlign w:val="center"/>
          </w:tcPr>
          <w:p w:rsidR="00E770F2" w:rsidRDefault="00E770F2" w:rsidP="008B43F9">
            <w:pPr>
              <w:spacing w:line="240" w:lineRule="auto"/>
              <w:jc w:val="center"/>
              <w:rPr>
                <w:rFonts w:ascii="Times New Roman" w:hAnsi="Times New Roman"/>
                <w:color w:val="000000"/>
                <w:spacing w:val="-2"/>
              </w:rPr>
            </w:pPr>
            <w:r>
              <w:rPr>
                <w:rFonts w:ascii="Times New Roman" w:hAnsi="Times New Roman"/>
                <w:color w:val="000000"/>
                <w:spacing w:val="-2"/>
              </w:rPr>
              <w:t>1</w:t>
            </w:r>
          </w:p>
        </w:tc>
        <w:tc>
          <w:tcPr>
            <w:tcW w:w="2996" w:type="dxa"/>
            <w:gridSpan w:val="12"/>
            <w:shd w:val="clear" w:color="auto" w:fill="auto"/>
            <w:vAlign w:val="center"/>
          </w:tcPr>
          <w:p w:rsidR="00E770F2" w:rsidRDefault="00E770F2" w:rsidP="00A306F8">
            <w:pPr>
              <w:spacing w:line="240" w:lineRule="auto"/>
              <w:jc w:val="center"/>
              <w:rPr>
                <w:rFonts w:ascii="Times New Roman" w:hAnsi="Times New Roman"/>
                <w:color w:val="000000"/>
                <w:spacing w:val="-2"/>
              </w:rPr>
            </w:pPr>
            <w:r>
              <w:rPr>
                <w:rFonts w:ascii="Times New Roman" w:hAnsi="Times New Roman"/>
                <w:color w:val="000000"/>
                <w:spacing w:val="-2"/>
              </w:rPr>
              <w:t>-</w:t>
            </w:r>
          </w:p>
        </w:tc>
        <w:tc>
          <w:tcPr>
            <w:tcW w:w="2981" w:type="dxa"/>
            <w:gridSpan w:val="6"/>
            <w:shd w:val="clear" w:color="auto" w:fill="auto"/>
            <w:vAlign w:val="center"/>
          </w:tcPr>
          <w:p w:rsidR="00E770F2" w:rsidRPr="00F61417" w:rsidRDefault="00D02955" w:rsidP="00A306F8">
            <w:pPr>
              <w:spacing w:line="240" w:lineRule="auto"/>
              <w:jc w:val="center"/>
              <w:rPr>
                <w:rFonts w:ascii="Times New Roman" w:hAnsi="Times New Roman"/>
                <w:color w:val="000000"/>
                <w:spacing w:val="-2"/>
              </w:rPr>
            </w:pPr>
            <w:r>
              <w:rPr>
                <w:rFonts w:ascii="Times New Roman" w:hAnsi="Times New Roman"/>
                <w:color w:val="000000"/>
                <w:spacing w:val="-2"/>
              </w:rPr>
              <w:t>k</w:t>
            </w:r>
            <w:r w:rsidR="00E770F2">
              <w:rPr>
                <w:rFonts w:ascii="Times New Roman" w:hAnsi="Times New Roman"/>
                <w:color w:val="000000"/>
                <w:spacing w:val="-2"/>
              </w:rPr>
              <w:t>onieczność aktualizacji procedur i systemu informatycznego</w:t>
            </w:r>
          </w:p>
        </w:tc>
      </w:tr>
      <w:tr w:rsidR="006A701A" w:rsidRPr="00F61417" w:rsidTr="00676C8D">
        <w:trPr>
          <w:gridAfter w:val="1"/>
          <w:wAfter w:w="10" w:type="dxa"/>
          <w:trHeight w:val="302"/>
        </w:trPr>
        <w:tc>
          <w:tcPr>
            <w:tcW w:w="10937" w:type="dxa"/>
            <w:gridSpan w:val="29"/>
            <w:shd w:val="clear" w:color="auto" w:fill="99CCFF"/>
            <w:vAlign w:val="center"/>
          </w:tcPr>
          <w:p w:rsidR="006A701A" w:rsidRPr="00F61417" w:rsidRDefault="001B3460" w:rsidP="00213EFD">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color w:val="000000"/>
              </w:rPr>
              <w:lastRenderedPageBreak/>
              <w:t>Informacje na temat zakresu</w:t>
            </w:r>
            <w:r w:rsidR="0076658F" w:rsidRPr="00F61417">
              <w:rPr>
                <w:rFonts w:ascii="Times New Roman" w:hAnsi="Times New Roman"/>
                <w:b/>
                <w:color w:val="000000"/>
              </w:rPr>
              <w:t>,</w:t>
            </w:r>
            <w:r w:rsidRPr="00F61417">
              <w:rPr>
                <w:rFonts w:ascii="Times New Roman" w:hAnsi="Times New Roman"/>
                <w:b/>
                <w:color w:val="000000"/>
              </w:rPr>
              <w:t xml:space="preserve"> czasu trwania </w:t>
            </w:r>
            <w:r w:rsidR="0076658F" w:rsidRPr="00F61417">
              <w:rPr>
                <w:rFonts w:ascii="Times New Roman" w:hAnsi="Times New Roman"/>
                <w:b/>
                <w:color w:val="000000"/>
              </w:rPr>
              <w:t xml:space="preserve">i podsumowanie wyników </w:t>
            </w:r>
            <w:r w:rsidRPr="00F61417">
              <w:rPr>
                <w:rFonts w:ascii="Times New Roman" w:hAnsi="Times New Roman"/>
                <w:b/>
                <w:color w:val="000000"/>
              </w:rPr>
              <w:t>konsultacji</w:t>
            </w:r>
          </w:p>
        </w:tc>
      </w:tr>
      <w:tr w:rsidR="006A701A" w:rsidRPr="00F61417" w:rsidTr="00676C8D">
        <w:trPr>
          <w:gridAfter w:val="1"/>
          <w:wAfter w:w="10" w:type="dxa"/>
          <w:trHeight w:val="342"/>
        </w:trPr>
        <w:tc>
          <w:tcPr>
            <w:tcW w:w="10937" w:type="dxa"/>
            <w:gridSpan w:val="29"/>
            <w:shd w:val="clear" w:color="auto" w:fill="FFFFFF"/>
          </w:tcPr>
          <w:p w:rsidR="00E023B7" w:rsidRDefault="00E023B7" w:rsidP="00A32F34">
            <w:pPr>
              <w:spacing w:line="240" w:lineRule="auto"/>
              <w:jc w:val="both"/>
              <w:rPr>
                <w:rFonts w:ascii="Times New Roman" w:hAnsi="Times New Roman"/>
                <w:color w:val="000000"/>
                <w:lang w:eastAsia="pl-PL"/>
              </w:rPr>
            </w:pPr>
          </w:p>
          <w:p w:rsidR="002C64D6" w:rsidRDefault="002C64D6" w:rsidP="00A32F34">
            <w:pPr>
              <w:spacing w:line="240" w:lineRule="auto"/>
              <w:jc w:val="both"/>
              <w:rPr>
                <w:rFonts w:ascii="Times New Roman" w:hAnsi="Times New Roman"/>
                <w:color w:val="000000"/>
                <w:lang w:eastAsia="pl-PL"/>
              </w:rPr>
            </w:pPr>
            <w:r>
              <w:rPr>
                <w:rFonts w:ascii="Times New Roman" w:hAnsi="Times New Roman"/>
                <w:color w:val="000000"/>
                <w:lang w:eastAsia="pl-PL"/>
              </w:rPr>
              <w:t xml:space="preserve">Konsultacje publiczne zostały przeprowadzone w terminie 13 kwietnia – 5 maja 2017 r. </w:t>
            </w:r>
            <w:r w:rsidR="00120075">
              <w:rPr>
                <w:rFonts w:ascii="Times New Roman" w:hAnsi="Times New Roman"/>
                <w:color w:val="000000"/>
                <w:lang w:eastAsia="pl-PL"/>
              </w:rPr>
              <w:t xml:space="preserve">Zaproszenie do udziału w konsultacjach zostało skierowane do 14 ogólnopolskich organizacji społecznych, w tym głównych organizacji przedsiębiorców. </w:t>
            </w:r>
            <w:r>
              <w:rPr>
                <w:rFonts w:ascii="Times New Roman" w:hAnsi="Times New Roman"/>
                <w:color w:val="000000"/>
                <w:lang w:eastAsia="pl-PL"/>
              </w:rPr>
              <w:t>W efekcie projekt został zmodyfikowany o m.in.:</w:t>
            </w:r>
          </w:p>
          <w:p w:rsidR="002C64D6" w:rsidRDefault="002C64D6" w:rsidP="002C64D6">
            <w:pPr>
              <w:pStyle w:val="Akapitzlist"/>
              <w:numPr>
                <w:ilvl w:val="0"/>
                <w:numId w:val="28"/>
              </w:numPr>
              <w:spacing w:line="240" w:lineRule="auto"/>
              <w:jc w:val="both"/>
              <w:rPr>
                <w:rFonts w:ascii="Times New Roman" w:hAnsi="Times New Roman"/>
                <w:color w:val="000000"/>
                <w:lang w:eastAsia="pl-PL"/>
              </w:rPr>
            </w:pPr>
            <w:r>
              <w:rPr>
                <w:rFonts w:ascii="Times New Roman" w:hAnsi="Times New Roman"/>
                <w:color w:val="000000"/>
                <w:lang w:eastAsia="pl-PL"/>
              </w:rPr>
              <w:t>mechanizm ustalania najniższej podstawy wymiaru uzależniony od przychodu uzyskiwanego w roku poprzednim;</w:t>
            </w:r>
          </w:p>
          <w:p w:rsidR="002C64D6" w:rsidRDefault="002C64D6" w:rsidP="002C64D6">
            <w:pPr>
              <w:pStyle w:val="Akapitzlist"/>
              <w:numPr>
                <w:ilvl w:val="0"/>
                <w:numId w:val="28"/>
              </w:numPr>
              <w:spacing w:line="240" w:lineRule="auto"/>
              <w:jc w:val="both"/>
              <w:rPr>
                <w:rFonts w:ascii="Times New Roman" w:hAnsi="Times New Roman"/>
                <w:color w:val="000000"/>
                <w:lang w:eastAsia="pl-PL"/>
              </w:rPr>
            </w:pPr>
            <w:r>
              <w:rPr>
                <w:rFonts w:ascii="Times New Roman" w:hAnsi="Times New Roman"/>
                <w:color w:val="000000"/>
                <w:lang w:eastAsia="pl-PL"/>
              </w:rPr>
              <w:t>elektroniczną wymianę informacji pomiędzy KAS a ZUS umożliwiającą weryfikację przychodu ubezpieczonego, co minimalizuje obciążenia przedsiębiorców;</w:t>
            </w:r>
          </w:p>
          <w:p w:rsidR="002C64D6" w:rsidRDefault="002C64D6" w:rsidP="002C64D6">
            <w:pPr>
              <w:pStyle w:val="Akapitzlist"/>
              <w:numPr>
                <w:ilvl w:val="0"/>
                <w:numId w:val="28"/>
              </w:numPr>
              <w:spacing w:line="240" w:lineRule="auto"/>
              <w:jc w:val="both"/>
              <w:rPr>
                <w:rFonts w:ascii="Times New Roman" w:hAnsi="Times New Roman"/>
                <w:color w:val="000000"/>
                <w:lang w:eastAsia="pl-PL"/>
              </w:rPr>
            </w:pPr>
            <w:r>
              <w:rPr>
                <w:rFonts w:ascii="Times New Roman" w:hAnsi="Times New Roman"/>
                <w:color w:val="000000"/>
                <w:lang w:eastAsia="pl-PL"/>
              </w:rPr>
              <w:t>wprowadzenie warunków dot. zakazu świadczenia usług na rzecz byłego pracodawcy, prowadzenia pozarolniczej działalności gospodarczej przez min. 60 dni w poprzednim roku kalendarzowym oraz limitu korzystania z nowych rozwiązań przez 36 miesięcy w ciągu ostatnich 60 miesięcy prowadzenia pozarolniczej działalności gospodarczej.</w:t>
            </w:r>
          </w:p>
          <w:p w:rsidR="003C005E" w:rsidRPr="003C005E" w:rsidRDefault="003C005E" w:rsidP="003C005E">
            <w:pPr>
              <w:spacing w:line="240" w:lineRule="auto"/>
              <w:jc w:val="both"/>
              <w:rPr>
                <w:rFonts w:ascii="Times New Roman" w:hAnsi="Times New Roman"/>
                <w:color w:val="000000"/>
                <w:lang w:eastAsia="pl-PL"/>
              </w:rPr>
            </w:pPr>
            <w:r>
              <w:rPr>
                <w:rFonts w:ascii="Times New Roman" w:hAnsi="Times New Roman"/>
                <w:color w:val="000000"/>
                <w:lang w:eastAsia="pl-PL"/>
              </w:rPr>
              <w:t>Projekt będzie ponownie przedstawiony Radzie Dialogu Społecznego.</w:t>
            </w:r>
          </w:p>
          <w:p w:rsidR="006A701A" w:rsidRPr="00F61417" w:rsidRDefault="006A701A" w:rsidP="00DF4B3D">
            <w:pPr>
              <w:spacing w:line="240" w:lineRule="auto"/>
              <w:jc w:val="both"/>
              <w:rPr>
                <w:rFonts w:ascii="Times New Roman" w:hAnsi="Times New Roman"/>
                <w:color w:val="000000"/>
                <w:spacing w:val="-2"/>
              </w:rPr>
            </w:pPr>
          </w:p>
        </w:tc>
      </w:tr>
      <w:tr w:rsidR="006A701A" w:rsidRPr="00F61417" w:rsidTr="00676C8D">
        <w:trPr>
          <w:gridAfter w:val="1"/>
          <w:wAfter w:w="10" w:type="dxa"/>
          <w:trHeight w:val="363"/>
        </w:trPr>
        <w:tc>
          <w:tcPr>
            <w:tcW w:w="10937" w:type="dxa"/>
            <w:gridSpan w:val="29"/>
            <w:shd w:val="clear" w:color="auto" w:fill="99CCFF"/>
            <w:vAlign w:val="center"/>
          </w:tcPr>
          <w:p w:rsidR="006A701A" w:rsidRPr="00F61417" w:rsidRDefault="006A701A" w:rsidP="0072636A">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color w:val="000000"/>
              </w:rPr>
              <w:t xml:space="preserve"> Wpływ na sektor finansów publicznych</w:t>
            </w:r>
          </w:p>
        </w:tc>
      </w:tr>
      <w:tr w:rsidR="00260F33" w:rsidRPr="00F61417" w:rsidTr="00676C8D">
        <w:trPr>
          <w:gridAfter w:val="1"/>
          <w:wAfter w:w="10" w:type="dxa"/>
          <w:trHeight w:val="142"/>
        </w:trPr>
        <w:tc>
          <w:tcPr>
            <w:tcW w:w="3133" w:type="dxa"/>
            <w:gridSpan w:val="4"/>
            <w:vMerge w:val="restart"/>
            <w:shd w:val="clear" w:color="auto" w:fill="FFFFFF"/>
          </w:tcPr>
          <w:p w:rsidR="00260F33" w:rsidRPr="00F61417" w:rsidRDefault="00821717" w:rsidP="00B363DC">
            <w:pPr>
              <w:spacing w:before="40" w:after="40"/>
              <w:rPr>
                <w:rFonts w:ascii="Times New Roman" w:hAnsi="Times New Roman"/>
                <w:i/>
                <w:color w:val="000000"/>
                <w:sz w:val="21"/>
                <w:szCs w:val="21"/>
              </w:rPr>
            </w:pPr>
            <w:r w:rsidRPr="00F61417">
              <w:rPr>
                <w:rFonts w:ascii="Times New Roman" w:hAnsi="Times New Roman"/>
                <w:color w:val="000000"/>
                <w:sz w:val="21"/>
                <w:szCs w:val="21"/>
              </w:rPr>
              <w:t>(</w:t>
            </w:r>
            <w:r w:rsidRPr="0057579C">
              <w:rPr>
                <w:rFonts w:ascii="Times New Roman" w:hAnsi="Times New Roman"/>
                <w:color w:val="000000"/>
                <w:sz w:val="21"/>
                <w:szCs w:val="21"/>
              </w:rPr>
              <w:t xml:space="preserve">ceny </w:t>
            </w:r>
            <w:r w:rsidR="00CF5F4F" w:rsidRPr="0057579C">
              <w:rPr>
                <w:rFonts w:ascii="Times New Roman" w:hAnsi="Times New Roman"/>
                <w:color w:val="000000"/>
                <w:sz w:val="21"/>
                <w:szCs w:val="21"/>
              </w:rPr>
              <w:t>stałe</w:t>
            </w:r>
            <w:r w:rsidRPr="0057579C">
              <w:rPr>
                <w:rFonts w:ascii="Times New Roman" w:hAnsi="Times New Roman"/>
                <w:color w:val="000000"/>
                <w:sz w:val="21"/>
                <w:szCs w:val="21"/>
              </w:rPr>
              <w:t xml:space="preserve"> z </w:t>
            </w:r>
            <w:r w:rsidR="00203176">
              <w:rPr>
                <w:rFonts w:ascii="Times New Roman" w:hAnsi="Times New Roman"/>
                <w:color w:val="000000"/>
                <w:sz w:val="21"/>
                <w:szCs w:val="21"/>
              </w:rPr>
              <w:t>2017</w:t>
            </w:r>
            <w:r w:rsidR="00B363DC" w:rsidRPr="0057579C">
              <w:rPr>
                <w:rFonts w:ascii="Times New Roman" w:hAnsi="Times New Roman"/>
                <w:color w:val="000000"/>
                <w:sz w:val="21"/>
                <w:szCs w:val="21"/>
              </w:rPr>
              <w:t xml:space="preserve"> </w:t>
            </w:r>
            <w:r w:rsidRPr="0057579C">
              <w:rPr>
                <w:rFonts w:ascii="Times New Roman" w:hAnsi="Times New Roman"/>
                <w:color w:val="000000"/>
                <w:sz w:val="21"/>
                <w:szCs w:val="21"/>
              </w:rPr>
              <w:t>r.</w:t>
            </w:r>
            <w:r w:rsidRPr="00F61417">
              <w:rPr>
                <w:rFonts w:ascii="Times New Roman" w:hAnsi="Times New Roman"/>
                <w:color w:val="000000"/>
                <w:sz w:val="21"/>
                <w:szCs w:val="21"/>
              </w:rPr>
              <w:t>)</w:t>
            </w:r>
          </w:p>
        </w:tc>
        <w:tc>
          <w:tcPr>
            <w:tcW w:w="7804" w:type="dxa"/>
            <w:gridSpan w:val="25"/>
            <w:shd w:val="clear" w:color="auto" w:fill="FFFFFF"/>
          </w:tcPr>
          <w:p w:rsidR="00260F33" w:rsidRPr="00F61417" w:rsidRDefault="00260F33" w:rsidP="00260F33">
            <w:pPr>
              <w:spacing w:before="40" w:after="40" w:line="240" w:lineRule="auto"/>
              <w:jc w:val="center"/>
              <w:rPr>
                <w:rFonts w:ascii="Times New Roman" w:hAnsi="Times New Roman"/>
                <w:i/>
                <w:color w:val="000000"/>
                <w:spacing w:val="-2"/>
                <w:sz w:val="21"/>
                <w:szCs w:val="21"/>
              </w:rPr>
            </w:pPr>
            <w:r w:rsidRPr="00F61417">
              <w:rPr>
                <w:rFonts w:ascii="Times New Roman" w:hAnsi="Times New Roman"/>
                <w:color w:val="000000"/>
                <w:sz w:val="21"/>
                <w:szCs w:val="21"/>
              </w:rPr>
              <w:t>Skutki w okresie 10 lat od wejścia w życie zmian [</w:t>
            </w:r>
            <w:r w:rsidR="00A056CB" w:rsidRPr="00F61417">
              <w:rPr>
                <w:rFonts w:ascii="Times New Roman" w:hAnsi="Times New Roman"/>
                <w:color w:val="000000"/>
                <w:sz w:val="21"/>
                <w:szCs w:val="21"/>
              </w:rPr>
              <w:t xml:space="preserve">mln </w:t>
            </w:r>
            <w:r w:rsidRPr="00F61417">
              <w:rPr>
                <w:rFonts w:ascii="Times New Roman" w:hAnsi="Times New Roman"/>
                <w:color w:val="000000"/>
                <w:sz w:val="21"/>
                <w:szCs w:val="21"/>
              </w:rPr>
              <w:t>zł]</w:t>
            </w:r>
          </w:p>
        </w:tc>
      </w:tr>
      <w:tr w:rsidR="0057668E" w:rsidRPr="00F61417" w:rsidTr="00676C8D">
        <w:trPr>
          <w:gridAfter w:val="1"/>
          <w:wAfter w:w="10" w:type="dxa"/>
          <w:trHeight w:val="142"/>
        </w:trPr>
        <w:tc>
          <w:tcPr>
            <w:tcW w:w="3133" w:type="dxa"/>
            <w:gridSpan w:val="4"/>
            <w:vMerge/>
            <w:shd w:val="clear" w:color="auto" w:fill="FFFFFF"/>
          </w:tcPr>
          <w:p w:rsidR="0057668E" w:rsidRPr="00F61417" w:rsidRDefault="0057668E" w:rsidP="00A52ADB">
            <w:pPr>
              <w:spacing w:before="40" w:after="40" w:line="240" w:lineRule="auto"/>
              <w:rPr>
                <w:rFonts w:ascii="Times New Roman" w:hAnsi="Times New Roman"/>
                <w:i/>
                <w:color w:val="000000"/>
                <w:sz w:val="21"/>
                <w:szCs w:val="21"/>
              </w:rPr>
            </w:pPr>
          </w:p>
        </w:tc>
        <w:tc>
          <w:tcPr>
            <w:tcW w:w="569" w:type="dxa"/>
            <w:gridSpan w:val="2"/>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0</w:t>
            </w:r>
          </w:p>
        </w:tc>
        <w:tc>
          <w:tcPr>
            <w:tcW w:w="570" w:type="dxa"/>
            <w:gridSpan w:val="2"/>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1</w:t>
            </w:r>
          </w:p>
        </w:tc>
        <w:tc>
          <w:tcPr>
            <w:tcW w:w="570" w:type="dxa"/>
            <w:gridSpan w:val="2"/>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2</w:t>
            </w:r>
          </w:p>
        </w:tc>
        <w:tc>
          <w:tcPr>
            <w:tcW w:w="569" w:type="dxa"/>
            <w:gridSpan w:val="3"/>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3</w:t>
            </w:r>
          </w:p>
        </w:tc>
        <w:tc>
          <w:tcPr>
            <w:tcW w:w="570" w:type="dxa"/>
            <w:gridSpan w:val="2"/>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4</w:t>
            </w:r>
          </w:p>
        </w:tc>
        <w:tc>
          <w:tcPr>
            <w:tcW w:w="570" w:type="dxa"/>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5</w:t>
            </w:r>
          </w:p>
        </w:tc>
        <w:tc>
          <w:tcPr>
            <w:tcW w:w="570" w:type="dxa"/>
            <w:gridSpan w:val="3"/>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6</w:t>
            </w:r>
          </w:p>
        </w:tc>
        <w:tc>
          <w:tcPr>
            <w:tcW w:w="569" w:type="dxa"/>
            <w:gridSpan w:val="3"/>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7</w:t>
            </w:r>
          </w:p>
        </w:tc>
        <w:tc>
          <w:tcPr>
            <w:tcW w:w="570" w:type="dxa"/>
            <w:gridSpan w:val="2"/>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8</w:t>
            </w:r>
          </w:p>
        </w:tc>
        <w:tc>
          <w:tcPr>
            <w:tcW w:w="570" w:type="dxa"/>
            <w:gridSpan w:val="2"/>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9</w:t>
            </w:r>
          </w:p>
        </w:tc>
        <w:tc>
          <w:tcPr>
            <w:tcW w:w="570" w:type="dxa"/>
            <w:shd w:val="clear" w:color="auto" w:fill="FFFFFF"/>
          </w:tcPr>
          <w:p w:rsidR="0057668E" w:rsidRPr="0057579C" w:rsidRDefault="0057668E" w:rsidP="001D6A3C">
            <w:pPr>
              <w:spacing w:line="240" w:lineRule="auto"/>
              <w:jc w:val="center"/>
              <w:rPr>
                <w:rFonts w:ascii="Times New Roman" w:hAnsi="Times New Roman"/>
                <w:color w:val="000000"/>
                <w:sz w:val="21"/>
                <w:szCs w:val="21"/>
              </w:rPr>
            </w:pPr>
            <w:r w:rsidRPr="0057579C">
              <w:rPr>
                <w:rFonts w:ascii="Times New Roman" w:hAnsi="Times New Roman"/>
                <w:color w:val="000000"/>
                <w:sz w:val="21"/>
                <w:szCs w:val="21"/>
              </w:rPr>
              <w:t>10</w:t>
            </w:r>
          </w:p>
        </w:tc>
        <w:tc>
          <w:tcPr>
            <w:tcW w:w="1537" w:type="dxa"/>
            <w:gridSpan w:val="2"/>
            <w:shd w:val="clear" w:color="auto" w:fill="FFFFFF"/>
          </w:tcPr>
          <w:p w:rsidR="0057668E" w:rsidRPr="00F61417" w:rsidRDefault="0057668E" w:rsidP="00A52ADB">
            <w:pPr>
              <w:spacing w:before="40" w:after="40" w:line="240" w:lineRule="auto"/>
              <w:jc w:val="center"/>
              <w:rPr>
                <w:rFonts w:ascii="Times New Roman" w:hAnsi="Times New Roman"/>
                <w:i/>
                <w:color w:val="000000"/>
                <w:spacing w:val="-2"/>
                <w:sz w:val="21"/>
                <w:szCs w:val="21"/>
              </w:rPr>
            </w:pPr>
            <w:r w:rsidRPr="00F61417">
              <w:rPr>
                <w:rFonts w:ascii="Times New Roman" w:hAnsi="Times New Roman"/>
                <w:i/>
                <w:color w:val="000000"/>
                <w:spacing w:val="-2"/>
                <w:sz w:val="21"/>
                <w:szCs w:val="21"/>
              </w:rPr>
              <w:t>Łącznie</w:t>
            </w:r>
            <w:r w:rsidR="00CF5F4F" w:rsidRPr="00F61417">
              <w:rPr>
                <w:rFonts w:ascii="Times New Roman" w:hAnsi="Times New Roman"/>
                <w:i/>
                <w:color w:val="000000"/>
                <w:spacing w:val="-2"/>
                <w:sz w:val="21"/>
                <w:szCs w:val="21"/>
              </w:rPr>
              <w:t xml:space="preserve"> (0-10)</w:t>
            </w:r>
          </w:p>
        </w:tc>
      </w:tr>
      <w:tr w:rsidR="00EC177B" w:rsidRPr="00F61417" w:rsidTr="00431847">
        <w:trPr>
          <w:trHeight w:val="321"/>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b/>
                <w:color w:val="000000"/>
                <w:sz w:val="21"/>
                <w:szCs w:val="21"/>
              </w:rPr>
              <w:t>Dochody ogółem</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spacing w:line="240" w:lineRule="auto"/>
              <w:jc w:val="center"/>
              <w:rPr>
                <w:rFonts w:ascii="Times New Roman" w:hAnsi="Times New Roman"/>
                <w:color w:val="000000"/>
                <w:sz w:val="13"/>
                <w:szCs w:val="13"/>
                <w:lang w:eastAsia="pl-PL"/>
              </w:rPr>
            </w:pPr>
            <w:r w:rsidRPr="001F7B71">
              <w:rPr>
                <w:rFonts w:ascii="Times New Roman" w:hAnsi="Times New Roman"/>
                <w:color w:val="000000"/>
                <w:sz w:val="13"/>
                <w:szCs w:val="13"/>
              </w:rPr>
              <w:t>-533,9</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-548,3</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-564,2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-506</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-521,7</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-537,8</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-554,6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-571,8</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-589,5</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-607,9</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-5535,7</w:t>
            </w:r>
          </w:p>
        </w:tc>
      </w:tr>
      <w:tr w:rsidR="00EC177B" w:rsidRPr="00F61417" w:rsidTr="00431847">
        <w:trPr>
          <w:trHeight w:val="321"/>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color w:val="000000"/>
                <w:sz w:val="21"/>
                <w:szCs w:val="21"/>
              </w:rPr>
              <w:t>budżet państwa</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54,1</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55,6</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51,3</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52,9</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54,5</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57,9</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59,8</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61,6</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561,1</w:t>
            </w:r>
          </w:p>
        </w:tc>
      </w:tr>
      <w:tr w:rsidR="00EC177B" w:rsidRPr="00F61417" w:rsidTr="00431847">
        <w:trPr>
          <w:trHeight w:val="344"/>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color w:val="000000"/>
                <w:sz w:val="21"/>
                <w:szCs w:val="21"/>
              </w:rPr>
              <w:t>JST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53,6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50,8</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52,4</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55,7</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59,2</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61</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555,7</w:t>
            </w:r>
          </w:p>
        </w:tc>
      </w:tr>
      <w:tr w:rsidR="00EC177B" w:rsidRPr="00F61417" w:rsidTr="00431847">
        <w:trPr>
          <w:trHeight w:val="344"/>
        </w:trPr>
        <w:tc>
          <w:tcPr>
            <w:tcW w:w="3133" w:type="dxa"/>
            <w:gridSpan w:val="4"/>
            <w:shd w:val="clear" w:color="auto" w:fill="FFFFFF"/>
            <w:vAlign w:val="center"/>
          </w:tcPr>
          <w:p w:rsidR="00EC177B" w:rsidRPr="00F61417" w:rsidRDefault="00EC177B" w:rsidP="00E24AEE">
            <w:pPr>
              <w:spacing w:line="240" w:lineRule="auto"/>
              <w:rPr>
                <w:rFonts w:ascii="Times New Roman" w:hAnsi="Times New Roman"/>
                <w:color w:val="000000"/>
                <w:sz w:val="21"/>
                <w:szCs w:val="21"/>
              </w:rPr>
            </w:pPr>
            <w:r>
              <w:rPr>
                <w:rFonts w:ascii="Times New Roman" w:hAnsi="Times New Roman"/>
                <w:color w:val="000000"/>
                <w:sz w:val="21"/>
                <w:szCs w:val="21"/>
              </w:rPr>
              <w:t>pozostałe jednostki (ZUS)</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r>
      <w:tr w:rsidR="00EC177B" w:rsidRPr="00F61417" w:rsidTr="00431847">
        <w:trPr>
          <w:trHeight w:val="344"/>
        </w:trPr>
        <w:tc>
          <w:tcPr>
            <w:tcW w:w="3133" w:type="dxa"/>
            <w:gridSpan w:val="4"/>
            <w:shd w:val="clear" w:color="auto" w:fill="FFFFFF"/>
            <w:vAlign w:val="center"/>
          </w:tcPr>
          <w:p w:rsidR="00EC177B" w:rsidRPr="00F61417" w:rsidRDefault="00EC177B" w:rsidP="00E24AEE">
            <w:pPr>
              <w:spacing w:line="240" w:lineRule="auto"/>
              <w:rPr>
                <w:rFonts w:ascii="Times New Roman" w:hAnsi="Times New Roman"/>
                <w:color w:val="000000"/>
                <w:sz w:val="21"/>
                <w:szCs w:val="21"/>
              </w:rPr>
            </w:pPr>
            <w:r w:rsidRPr="00F61417">
              <w:rPr>
                <w:rFonts w:ascii="Times New Roman" w:hAnsi="Times New Roman"/>
                <w:color w:val="000000"/>
                <w:sz w:val="21"/>
                <w:szCs w:val="21"/>
              </w:rPr>
              <w:t>pozostałe jednostki (</w:t>
            </w:r>
            <w:r>
              <w:rPr>
                <w:rFonts w:ascii="Times New Roman" w:hAnsi="Times New Roman"/>
                <w:color w:val="000000"/>
                <w:sz w:val="21"/>
                <w:szCs w:val="21"/>
              </w:rPr>
              <w:t>FUS</w:t>
            </w:r>
            <w:r w:rsidRPr="00F61417">
              <w:rPr>
                <w:rFonts w:ascii="Times New Roman" w:hAnsi="Times New Roman"/>
                <w:color w:val="000000"/>
                <w:sz w:val="21"/>
                <w:szCs w:val="21"/>
              </w:rPr>
              <w: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spacing w:line="240" w:lineRule="auto"/>
              <w:jc w:val="center"/>
              <w:rPr>
                <w:rFonts w:ascii="Times New Roman" w:hAnsi="Times New Roman"/>
                <w:color w:val="000000"/>
                <w:sz w:val="13"/>
                <w:szCs w:val="13"/>
                <w:lang w:eastAsia="pl-PL"/>
              </w:rPr>
            </w:pPr>
            <w:r w:rsidRPr="001F7B71">
              <w:rPr>
                <w:rFonts w:ascii="Times New Roman" w:hAnsi="Times New Roman"/>
                <w:color w:val="000000"/>
                <w:sz w:val="13"/>
                <w:szCs w:val="13"/>
              </w:rPr>
              <w:t>-554,2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-569,1</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-585,6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-525,3</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-541,6</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-558,4</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-575,7</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-593,5</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-612</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-630,9</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-5746,3</w:t>
            </w:r>
          </w:p>
        </w:tc>
      </w:tr>
      <w:tr w:rsidR="00EC177B" w:rsidRPr="00F61417" w:rsidTr="00431847">
        <w:trPr>
          <w:trHeight w:val="344"/>
        </w:trPr>
        <w:tc>
          <w:tcPr>
            <w:tcW w:w="3133" w:type="dxa"/>
            <w:gridSpan w:val="4"/>
            <w:shd w:val="clear" w:color="auto" w:fill="FFFFFF"/>
            <w:vAlign w:val="center"/>
          </w:tcPr>
          <w:p w:rsidR="00EC177B" w:rsidRPr="00F61417" w:rsidRDefault="00EC177B" w:rsidP="00E24AEE">
            <w:pPr>
              <w:spacing w:line="240" w:lineRule="auto"/>
              <w:rPr>
                <w:rFonts w:ascii="Times New Roman" w:hAnsi="Times New Roman"/>
                <w:color w:val="000000"/>
                <w:sz w:val="21"/>
                <w:szCs w:val="21"/>
              </w:rPr>
            </w:pPr>
            <w:r w:rsidRPr="00F61417">
              <w:rPr>
                <w:rFonts w:ascii="Times New Roman" w:hAnsi="Times New Roman"/>
                <w:color w:val="000000"/>
                <w:sz w:val="21"/>
                <w:szCs w:val="21"/>
              </w:rPr>
              <w:t>pozostałe jednostki (</w:t>
            </w:r>
            <w:r>
              <w:rPr>
                <w:rFonts w:ascii="Times New Roman" w:hAnsi="Times New Roman"/>
                <w:color w:val="000000"/>
                <w:sz w:val="21"/>
                <w:szCs w:val="21"/>
              </w:rPr>
              <w:t>FP</w:t>
            </w:r>
            <w:r w:rsidRPr="00F61417">
              <w:rPr>
                <w:rFonts w:ascii="Times New Roman" w:hAnsi="Times New Roman"/>
                <w:color w:val="000000"/>
                <w:sz w:val="21"/>
                <w:szCs w:val="21"/>
              </w:rPr>
              <w: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-87,4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-89,8</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-92,4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-82,8</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-85,4</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-88</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-90,8</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-93,6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-96,5</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-99,5</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-906,2</w:t>
            </w:r>
          </w:p>
        </w:tc>
      </w:tr>
      <w:tr w:rsidR="00EC177B" w:rsidRPr="00F61417" w:rsidTr="00431847">
        <w:trPr>
          <w:trHeight w:val="330"/>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b/>
                <w:color w:val="000000"/>
                <w:sz w:val="21"/>
                <w:szCs w:val="21"/>
              </w:rPr>
              <w:t>Wydatki ogółem</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15.0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-25,1</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-25,9</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-23,3</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-24</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-24,6</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-26,2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-27,1</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-28</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-239,6</w:t>
            </w:r>
          </w:p>
        </w:tc>
      </w:tr>
      <w:tr w:rsidR="00EC177B" w:rsidRPr="00F61417" w:rsidTr="00431847">
        <w:trPr>
          <w:trHeight w:val="330"/>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color w:val="000000"/>
                <w:sz w:val="21"/>
                <w:szCs w:val="21"/>
              </w:rPr>
              <w:t>budżet państwa</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r>
      <w:tr w:rsidR="00EC177B" w:rsidRPr="00F61417" w:rsidTr="00431847">
        <w:trPr>
          <w:trHeight w:val="351"/>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color w:val="000000"/>
                <w:sz w:val="21"/>
                <w:szCs w:val="21"/>
              </w:rPr>
              <w:t>JST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r>
      <w:tr w:rsidR="00EC177B" w:rsidRPr="00F61417" w:rsidTr="00431847">
        <w:trPr>
          <w:trHeight w:val="351"/>
        </w:trPr>
        <w:tc>
          <w:tcPr>
            <w:tcW w:w="3133" w:type="dxa"/>
            <w:gridSpan w:val="4"/>
            <w:shd w:val="clear" w:color="auto" w:fill="FFFFFF"/>
            <w:vAlign w:val="center"/>
          </w:tcPr>
          <w:p w:rsidR="00EC177B" w:rsidRDefault="00EC177B" w:rsidP="00C53F26">
            <w:pPr>
              <w:spacing w:line="240" w:lineRule="auto"/>
              <w:rPr>
                <w:rFonts w:ascii="Times New Roman" w:hAnsi="Times New Roman"/>
                <w:color w:val="000000"/>
                <w:sz w:val="21"/>
                <w:szCs w:val="21"/>
              </w:rPr>
            </w:pPr>
            <w:r>
              <w:rPr>
                <w:rFonts w:ascii="Times New Roman" w:hAnsi="Times New Roman"/>
                <w:color w:val="000000"/>
                <w:sz w:val="21"/>
                <w:szCs w:val="21"/>
              </w:rPr>
              <w:t>pozostałe jednostki (ZUS)</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15.0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15.0</w:t>
            </w:r>
          </w:p>
        </w:tc>
      </w:tr>
      <w:tr w:rsidR="00EC177B" w:rsidRPr="00F61417" w:rsidTr="00431847">
        <w:trPr>
          <w:trHeight w:val="351"/>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Pr>
                <w:rFonts w:ascii="Times New Roman" w:hAnsi="Times New Roman"/>
                <w:color w:val="000000"/>
                <w:sz w:val="21"/>
                <w:szCs w:val="21"/>
              </w:rPr>
              <w:t>pozostałe jednostki (FUS</w:t>
            </w:r>
            <w:r w:rsidRPr="00F61417">
              <w:rPr>
                <w:rFonts w:ascii="Times New Roman" w:hAnsi="Times New Roman"/>
                <w:color w:val="000000"/>
                <w:sz w:val="21"/>
                <w:szCs w:val="21"/>
              </w:rPr>
              <w: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spacing w:line="240" w:lineRule="auto"/>
              <w:jc w:val="center"/>
              <w:rPr>
                <w:rFonts w:ascii="Times New Roman" w:hAnsi="Times New Roman"/>
                <w:color w:val="000000"/>
                <w:sz w:val="13"/>
                <w:szCs w:val="13"/>
                <w:lang w:eastAsia="pl-PL"/>
              </w:rPr>
            </w:pPr>
            <w:r w:rsidRPr="001F7B71">
              <w:rPr>
                <w:rFonts w:ascii="Times New Roman" w:hAnsi="Times New Roman"/>
                <w:color w:val="000000"/>
                <w:sz w:val="13"/>
                <w:szCs w:val="13"/>
              </w:rPr>
              <w:t>-25</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-25,1</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-25,9</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-23,3</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-24</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-24,6</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-26,2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-27,1</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-28</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-254,6</w:t>
            </w:r>
          </w:p>
        </w:tc>
      </w:tr>
      <w:tr w:rsidR="00EC177B" w:rsidRPr="00F61417" w:rsidTr="00431847">
        <w:trPr>
          <w:trHeight w:val="351"/>
        </w:trPr>
        <w:tc>
          <w:tcPr>
            <w:tcW w:w="3133" w:type="dxa"/>
            <w:gridSpan w:val="4"/>
            <w:shd w:val="clear" w:color="auto" w:fill="FFFFFF"/>
            <w:vAlign w:val="center"/>
          </w:tcPr>
          <w:p w:rsidR="00EC177B" w:rsidRPr="00F61417" w:rsidRDefault="00EC177B" w:rsidP="00E24AEE">
            <w:pPr>
              <w:spacing w:line="240" w:lineRule="auto"/>
              <w:rPr>
                <w:rFonts w:ascii="Times New Roman" w:hAnsi="Times New Roman"/>
                <w:color w:val="000000"/>
                <w:sz w:val="21"/>
                <w:szCs w:val="21"/>
              </w:rPr>
            </w:pPr>
            <w:r w:rsidRPr="00F61417">
              <w:rPr>
                <w:rFonts w:ascii="Times New Roman" w:hAnsi="Times New Roman"/>
                <w:color w:val="000000"/>
                <w:sz w:val="21"/>
                <w:szCs w:val="21"/>
              </w:rPr>
              <w:t>pozostałe jednostki (</w:t>
            </w:r>
            <w:r>
              <w:rPr>
                <w:rFonts w:ascii="Times New Roman" w:hAnsi="Times New Roman"/>
                <w:color w:val="000000"/>
                <w:sz w:val="21"/>
                <w:szCs w:val="21"/>
              </w:rPr>
              <w:t>FP</w:t>
            </w:r>
            <w:r w:rsidRPr="00F61417">
              <w:rPr>
                <w:rFonts w:ascii="Times New Roman" w:hAnsi="Times New Roman"/>
                <w:color w:val="000000"/>
                <w:sz w:val="21"/>
                <w:szCs w:val="21"/>
              </w:rPr>
              <w: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r>
      <w:tr w:rsidR="00EC177B" w:rsidRPr="00F61417" w:rsidTr="00431847">
        <w:trPr>
          <w:trHeight w:val="360"/>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b/>
                <w:color w:val="000000"/>
                <w:sz w:val="21"/>
                <w:szCs w:val="21"/>
              </w:rPr>
              <w:t>Saldo ogółem</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-15.0</w:t>
            </w:r>
          </w:p>
        </w:tc>
        <w:tc>
          <w:tcPr>
            <w:tcW w:w="570" w:type="dxa"/>
            <w:gridSpan w:val="2"/>
            <w:shd w:val="clear" w:color="auto" w:fill="FFFFFF"/>
            <w:vAlign w:val="center"/>
          </w:tcPr>
          <w:p w:rsidR="00EC177B" w:rsidRPr="001F7B71" w:rsidRDefault="00EC177B" w:rsidP="00120075">
            <w:pPr>
              <w:spacing w:line="240" w:lineRule="auto"/>
              <w:jc w:val="center"/>
              <w:rPr>
                <w:rFonts w:ascii="Times New Roman" w:hAnsi="Times New Roman"/>
                <w:color w:val="000000"/>
                <w:sz w:val="13"/>
                <w:szCs w:val="13"/>
                <w:lang w:eastAsia="pl-PL"/>
              </w:rPr>
            </w:pPr>
            <w:r w:rsidRPr="001F7B71">
              <w:rPr>
                <w:rFonts w:ascii="Times New Roman" w:hAnsi="Times New Roman"/>
                <w:color w:val="000000"/>
                <w:sz w:val="13"/>
                <w:szCs w:val="13"/>
              </w:rPr>
              <w:t>-508,9</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-523,2</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-538,3</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-482,7</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-497,7</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-513,2</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-529,2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-545,6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-562,5</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-579,9</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-5296,2</w:t>
            </w:r>
          </w:p>
        </w:tc>
      </w:tr>
      <w:tr w:rsidR="00EC177B" w:rsidRPr="00F61417" w:rsidTr="00431847">
        <w:trPr>
          <w:trHeight w:val="360"/>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color w:val="000000"/>
                <w:sz w:val="21"/>
                <w:szCs w:val="21"/>
              </w:rPr>
              <w:t>budżet państwa</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54,1</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55,6</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51,3</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52,9</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54,5</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57,9</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59,8</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61,6</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561,1</w:t>
            </w:r>
          </w:p>
        </w:tc>
      </w:tr>
      <w:tr w:rsidR="00EC177B" w:rsidRPr="00F61417" w:rsidTr="00431847">
        <w:trPr>
          <w:trHeight w:val="357"/>
        </w:trPr>
        <w:tc>
          <w:tcPr>
            <w:tcW w:w="3133" w:type="dxa"/>
            <w:gridSpan w:val="4"/>
            <w:shd w:val="clear" w:color="auto" w:fill="FFFFFF"/>
            <w:vAlign w:val="center"/>
          </w:tcPr>
          <w:p w:rsidR="00EC177B" w:rsidRPr="00F61417" w:rsidRDefault="00EC177B" w:rsidP="00C53F26">
            <w:pPr>
              <w:spacing w:line="240" w:lineRule="auto"/>
              <w:rPr>
                <w:rFonts w:ascii="Times New Roman" w:hAnsi="Times New Roman"/>
                <w:color w:val="000000"/>
                <w:sz w:val="21"/>
                <w:szCs w:val="21"/>
              </w:rPr>
            </w:pPr>
            <w:r w:rsidRPr="00F61417">
              <w:rPr>
                <w:rFonts w:ascii="Times New Roman" w:hAnsi="Times New Roman"/>
                <w:color w:val="000000"/>
                <w:sz w:val="21"/>
                <w:szCs w:val="21"/>
              </w:rPr>
              <w:t>JST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53,6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50,8</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52,4</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55,7</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57,4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59,2</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61</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555,7</w:t>
            </w:r>
          </w:p>
        </w:tc>
      </w:tr>
      <w:tr w:rsidR="00EC177B" w:rsidRPr="00F61417" w:rsidTr="00431847">
        <w:trPr>
          <w:trHeight w:val="357"/>
        </w:trPr>
        <w:tc>
          <w:tcPr>
            <w:tcW w:w="3133" w:type="dxa"/>
            <w:gridSpan w:val="4"/>
            <w:shd w:val="clear" w:color="auto" w:fill="FFFFFF"/>
            <w:vAlign w:val="center"/>
          </w:tcPr>
          <w:p w:rsidR="00EC177B" w:rsidRPr="00F61417" w:rsidRDefault="00EC177B" w:rsidP="00E24AEE">
            <w:pPr>
              <w:spacing w:line="240" w:lineRule="auto"/>
              <w:rPr>
                <w:rFonts w:ascii="Times New Roman" w:hAnsi="Times New Roman"/>
                <w:color w:val="000000"/>
                <w:sz w:val="21"/>
                <w:szCs w:val="21"/>
              </w:rPr>
            </w:pPr>
            <w:r>
              <w:rPr>
                <w:rFonts w:ascii="Times New Roman" w:hAnsi="Times New Roman"/>
                <w:color w:val="000000"/>
                <w:sz w:val="21"/>
                <w:szCs w:val="21"/>
              </w:rPr>
              <w:t>pozostałe jednostki (ZUS)</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-15.0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0.0</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-15.0</w:t>
            </w:r>
          </w:p>
        </w:tc>
      </w:tr>
      <w:tr w:rsidR="00EC177B" w:rsidRPr="00F61417" w:rsidTr="00431847">
        <w:trPr>
          <w:trHeight w:val="357"/>
        </w:trPr>
        <w:tc>
          <w:tcPr>
            <w:tcW w:w="3133" w:type="dxa"/>
            <w:gridSpan w:val="4"/>
            <w:shd w:val="clear" w:color="auto" w:fill="FFFFFF"/>
            <w:vAlign w:val="center"/>
          </w:tcPr>
          <w:p w:rsidR="00EC177B" w:rsidRPr="00F61417" w:rsidRDefault="00EC177B" w:rsidP="00E24AEE">
            <w:pPr>
              <w:spacing w:line="240" w:lineRule="auto"/>
              <w:rPr>
                <w:rFonts w:ascii="Times New Roman" w:hAnsi="Times New Roman"/>
                <w:color w:val="000000"/>
                <w:sz w:val="21"/>
                <w:szCs w:val="21"/>
              </w:rPr>
            </w:pPr>
            <w:r w:rsidRPr="00F61417">
              <w:rPr>
                <w:rFonts w:ascii="Times New Roman" w:hAnsi="Times New Roman"/>
                <w:color w:val="000000"/>
                <w:sz w:val="21"/>
                <w:szCs w:val="21"/>
              </w:rPr>
              <w:t>pozostałe jednostki (</w:t>
            </w:r>
            <w:r>
              <w:rPr>
                <w:rFonts w:ascii="Times New Roman" w:hAnsi="Times New Roman"/>
                <w:color w:val="000000"/>
                <w:sz w:val="21"/>
                <w:szCs w:val="21"/>
              </w:rPr>
              <w:t>FUS</w:t>
            </w:r>
            <w:r w:rsidRPr="00F61417">
              <w:rPr>
                <w:rFonts w:ascii="Times New Roman" w:hAnsi="Times New Roman"/>
                <w:color w:val="000000"/>
                <w:sz w:val="21"/>
                <w:szCs w:val="21"/>
              </w:rPr>
              <w: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spacing w:line="240" w:lineRule="auto"/>
              <w:jc w:val="center"/>
              <w:rPr>
                <w:rFonts w:ascii="Times New Roman" w:hAnsi="Times New Roman"/>
                <w:color w:val="000000"/>
                <w:sz w:val="13"/>
                <w:szCs w:val="13"/>
                <w:lang w:eastAsia="pl-PL"/>
              </w:rPr>
            </w:pPr>
            <w:r w:rsidRPr="001F7B71">
              <w:rPr>
                <w:rFonts w:ascii="Times New Roman" w:hAnsi="Times New Roman"/>
                <w:color w:val="000000"/>
                <w:sz w:val="13"/>
                <w:szCs w:val="13"/>
              </w:rPr>
              <w:t>-529,2</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-544</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-559,7</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-502</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-517,6</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-533,7</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-550,3</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-567,3</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-584,9</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-602,9</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-5491,6</w:t>
            </w:r>
          </w:p>
        </w:tc>
      </w:tr>
      <w:tr w:rsidR="00EC177B" w:rsidRPr="00F61417" w:rsidTr="00431847">
        <w:trPr>
          <w:trHeight w:val="357"/>
        </w:trPr>
        <w:tc>
          <w:tcPr>
            <w:tcW w:w="3133" w:type="dxa"/>
            <w:gridSpan w:val="4"/>
            <w:shd w:val="clear" w:color="auto" w:fill="FFFFFF"/>
            <w:vAlign w:val="center"/>
          </w:tcPr>
          <w:p w:rsidR="00EC177B" w:rsidRPr="00F61417" w:rsidRDefault="00EC177B" w:rsidP="00E24AEE">
            <w:pPr>
              <w:spacing w:line="240" w:lineRule="auto"/>
              <w:rPr>
                <w:rFonts w:ascii="Times New Roman" w:hAnsi="Times New Roman"/>
                <w:color w:val="000000"/>
                <w:sz w:val="21"/>
                <w:szCs w:val="21"/>
              </w:rPr>
            </w:pPr>
            <w:r w:rsidRPr="00F61417">
              <w:rPr>
                <w:rFonts w:ascii="Times New Roman" w:hAnsi="Times New Roman"/>
                <w:color w:val="000000"/>
                <w:sz w:val="21"/>
                <w:szCs w:val="21"/>
              </w:rPr>
              <w:t>pozostałe jednostki (</w:t>
            </w:r>
            <w:r>
              <w:rPr>
                <w:rFonts w:ascii="Times New Roman" w:hAnsi="Times New Roman"/>
                <w:color w:val="000000"/>
                <w:sz w:val="21"/>
                <w:szCs w:val="21"/>
              </w:rPr>
              <w:t>FP</w:t>
            </w:r>
            <w:r w:rsidRPr="00F61417">
              <w:rPr>
                <w:rFonts w:ascii="Times New Roman" w:hAnsi="Times New Roman"/>
                <w:color w:val="000000"/>
                <w:sz w:val="21"/>
                <w:szCs w:val="21"/>
              </w:rPr>
              <w:t>)</w:t>
            </w:r>
          </w:p>
        </w:tc>
        <w:tc>
          <w:tcPr>
            <w:tcW w:w="569" w:type="dxa"/>
            <w:gridSpan w:val="2"/>
            <w:shd w:val="clear" w:color="auto" w:fill="FFFFFF"/>
            <w:vAlign w:val="center"/>
          </w:tcPr>
          <w:p w:rsidR="00EC177B" w:rsidRPr="00431847" w:rsidRDefault="00EC177B" w:rsidP="00120075">
            <w:pPr>
              <w:jc w:val="center"/>
              <w:rPr>
                <w:rFonts w:ascii="Times New Roman" w:hAnsi="Times New Roman"/>
                <w:color w:val="000000"/>
                <w:sz w:val="13"/>
                <w:szCs w:val="13"/>
              </w:rPr>
            </w:pPr>
            <w:r w:rsidRPr="00431847">
              <w:rPr>
                <w:rFonts w:ascii="Times New Roman" w:hAnsi="Times New Roman"/>
                <w:color w:val="000000"/>
                <w:sz w:val="13"/>
                <w:szCs w:val="13"/>
              </w:rPr>
              <w:t>0.0</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-87,4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-89,8</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-92,4</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-82,8</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-85,4</w:t>
            </w:r>
          </w:p>
        </w:tc>
        <w:tc>
          <w:tcPr>
            <w:tcW w:w="570"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-88</w:t>
            </w:r>
          </w:p>
        </w:tc>
        <w:tc>
          <w:tcPr>
            <w:tcW w:w="569"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-90,8</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-93,6</w:t>
            </w:r>
          </w:p>
        </w:tc>
        <w:tc>
          <w:tcPr>
            <w:tcW w:w="570" w:type="dxa"/>
            <w:gridSpan w:val="2"/>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-96,5</w:t>
            </w:r>
          </w:p>
        </w:tc>
        <w:tc>
          <w:tcPr>
            <w:tcW w:w="570" w:type="dxa"/>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-99,5</w:t>
            </w:r>
          </w:p>
        </w:tc>
        <w:tc>
          <w:tcPr>
            <w:tcW w:w="1547" w:type="dxa"/>
            <w:gridSpan w:val="3"/>
            <w:shd w:val="clear" w:color="auto" w:fill="FFFFFF"/>
            <w:vAlign w:val="center"/>
          </w:tcPr>
          <w:p w:rsidR="00EC177B" w:rsidRPr="001F7B71" w:rsidRDefault="00EC177B" w:rsidP="00120075">
            <w:pPr>
              <w:jc w:val="center"/>
              <w:rPr>
                <w:rFonts w:ascii="Times New Roman" w:hAnsi="Times New Roman"/>
                <w:color w:val="000000"/>
                <w:sz w:val="13"/>
                <w:szCs w:val="13"/>
              </w:rPr>
            </w:pPr>
            <w:r w:rsidRPr="001F7B71">
              <w:rPr>
                <w:rFonts w:ascii="Times New Roman" w:hAnsi="Times New Roman"/>
                <w:color w:val="000000"/>
                <w:sz w:val="13"/>
                <w:szCs w:val="13"/>
              </w:rPr>
              <w:t>-906,2</w:t>
            </w:r>
          </w:p>
        </w:tc>
      </w:tr>
      <w:tr w:rsidR="00E24AEE" w:rsidRPr="00F61417" w:rsidTr="00676C8D">
        <w:trPr>
          <w:gridAfter w:val="1"/>
          <w:wAfter w:w="10" w:type="dxa"/>
          <w:trHeight w:val="348"/>
        </w:trPr>
        <w:tc>
          <w:tcPr>
            <w:tcW w:w="2243" w:type="dxa"/>
            <w:gridSpan w:val="2"/>
            <w:shd w:val="clear" w:color="auto" w:fill="FFFFFF"/>
            <w:vAlign w:val="center"/>
          </w:tcPr>
          <w:p w:rsidR="00E24AEE" w:rsidRPr="00F61417" w:rsidRDefault="00E24AEE" w:rsidP="005741EE">
            <w:pPr>
              <w:spacing w:line="240" w:lineRule="auto"/>
              <w:rPr>
                <w:rFonts w:ascii="Times New Roman" w:hAnsi="Times New Roman"/>
                <w:color w:val="000000"/>
                <w:sz w:val="21"/>
                <w:szCs w:val="21"/>
              </w:rPr>
            </w:pPr>
            <w:r w:rsidRPr="00F61417">
              <w:rPr>
                <w:rFonts w:ascii="Times New Roman" w:hAnsi="Times New Roman"/>
                <w:color w:val="000000"/>
                <w:sz w:val="21"/>
                <w:szCs w:val="21"/>
              </w:rPr>
              <w:t xml:space="preserve">Źródła finansowania </w:t>
            </w:r>
          </w:p>
        </w:tc>
        <w:tc>
          <w:tcPr>
            <w:tcW w:w="8694" w:type="dxa"/>
            <w:gridSpan w:val="27"/>
            <w:shd w:val="clear" w:color="auto" w:fill="FFFFFF"/>
            <w:vAlign w:val="center"/>
          </w:tcPr>
          <w:p w:rsidR="00E24AEE" w:rsidRPr="00F61417" w:rsidRDefault="00E24AEE" w:rsidP="00B37C80">
            <w:pPr>
              <w:spacing w:line="240" w:lineRule="auto"/>
              <w:jc w:val="both"/>
              <w:rPr>
                <w:rFonts w:ascii="Times New Roman" w:hAnsi="Times New Roman"/>
                <w:color w:val="000000"/>
                <w:sz w:val="21"/>
                <w:szCs w:val="21"/>
              </w:rPr>
            </w:pPr>
          </w:p>
          <w:p w:rsidR="002D3625" w:rsidRDefault="00E24AEE" w:rsidP="00B37C80">
            <w:pPr>
              <w:spacing w:line="240" w:lineRule="auto"/>
              <w:jc w:val="both"/>
              <w:rPr>
                <w:rFonts w:ascii="Times New Roman" w:hAnsi="Times New Roman"/>
                <w:color w:val="000000"/>
                <w:sz w:val="21"/>
                <w:szCs w:val="21"/>
              </w:rPr>
            </w:pPr>
            <w:r w:rsidRPr="00F61417">
              <w:rPr>
                <w:rFonts w:ascii="Times New Roman" w:hAnsi="Times New Roman"/>
                <w:color w:val="000000"/>
                <w:sz w:val="21"/>
                <w:szCs w:val="21"/>
              </w:rPr>
              <w:t xml:space="preserve">Projekcja wpływu na sektor finansów publicznych zakłada, że </w:t>
            </w:r>
            <w:r w:rsidR="003678C3">
              <w:rPr>
                <w:rFonts w:ascii="Times New Roman" w:hAnsi="Times New Roman"/>
                <w:color w:val="000000"/>
                <w:sz w:val="21"/>
                <w:szCs w:val="21"/>
              </w:rPr>
              <w:t>zmniejszenie</w:t>
            </w:r>
            <w:r w:rsidR="001A67C0">
              <w:rPr>
                <w:rFonts w:ascii="Times New Roman" w:hAnsi="Times New Roman"/>
                <w:color w:val="000000"/>
                <w:sz w:val="21"/>
                <w:szCs w:val="21"/>
              </w:rPr>
              <w:t xml:space="preserve"> wpływów z tytułu składek</w:t>
            </w:r>
            <w:r w:rsidR="003678C3">
              <w:rPr>
                <w:rFonts w:ascii="Times New Roman" w:hAnsi="Times New Roman"/>
                <w:color w:val="000000"/>
                <w:sz w:val="21"/>
                <w:szCs w:val="21"/>
              </w:rPr>
              <w:t xml:space="preserve"> zostanie zrekompensowane zwiększeniem dotacji/pożyczki dla FUS z budżetu państwa.</w:t>
            </w:r>
            <w:r w:rsidR="00C42A10">
              <w:rPr>
                <w:rFonts w:ascii="Times New Roman" w:hAnsi="Times New Roman"/>
                <w:color w:val="000000"/>
                <w:sz w:val="21"/>
                <w:szCs w:val="21"/>
              </w:rPr>
              <w:t xml:space="preserve"> </w:t>
            </w:r>
            <w:r w:rsidR="001A43B1">
              <w:rPr>
                <w:rFonts w:ascii="Times New Roman" w:hAnsi="Times New Roman"/>
                <w:color w:val="000000"/>
                <w:sz w:val="21"/>
                <w:szCs w:val="21"/>
              </w:rPr>
              <w:t>Realizacja projektowanych rozwiązań odbywać się będzie w ramach planu fi</w:t>
            </w:r>
            <w:r w:rsidR="003C005E">
              <w:rPr>
                <w:rFonts w:ascii="Times New Roman" w:hAnsi="Times New Roman"/>
                <w:color w:val="000000"/>
                <w:sz w:val="21"/>
                <w:szCs w:val="21"/>
              </w:rPr>
              <w:t>nansowego Funduszu Pracy na 2019</w:t>
            </w:r>
            <w:r w:rsidR="001A43B1">
              <w:rPr>
                <w:rFonts w:ascii="Times New Roman" w:hAnsi="Times New Roman"/>
                <w:color w:val="000000"/>
                <w:sz w:val="21"/>
                <w:szCs w:val="21"/>
              </w:rPr>
              <w:t xml:space="preserve"> r. i kolejne lata.</w:t>
            </w:r>
          </w:p>
          <w:p w:rsidR="00E24AEE" w:rsidRPr="00F61417" w:rsidRDefault="002D3625"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Koszty organizacyjne ZUS związane z wdrożeniem zmiany zostaną sfinansowane z </w:t>
            </w:r>
            <w:r w:rsidR="001A43B1">
              <w:rPr>
                <w:rFonts w:ascii="Times New Roman" w:hAnsi="Times New Roman"/>
                <w:color w:val="000000"/>
                <w:sz w:val="21"/>
                <w:szCs w:val="21"/>
              </w:rPr>
              <w:t>przychodów uzyskanych w trybie art. 76 ustawy o systemie ubezpieczeń społecznych.</w:t>
            </w:r>
          </w:p>
          <w:p w:rsidR="00E24AEE" w:rsidRPr="00F61417" w:rsidRDefault="00E24AEE" w:rsidP="00B37C80">
            <w:pPr>
              <w:spacing w:line="240" w:lineRule="auto"/>
              <w:jc w:val="both"/>
              <w:rPr>
                <w:rFonts w:ascii="Times New Roman" w:hAnsi="Times New Roman"/>
                <w:color w:val="000000"/>
                <w:sz w:val="21"/>
                <w:szCs w:val="21"/>
              </w:rPr>
            </w:pPr>
          </w:p>
        </w:tc>
      </w:tr>
      <w:tr w:rsidR="00E24AEE" w:rsidRPr="00F61417" w:rsidTr="00676C8D">
        <w:trPr>
          <w:gridAfter w:val="1"/>
          <w:wAfter w:w="10" w:type="dxa"/>
          <w:trHeight w:val="1926"/>
        </w:trPr>
        <w:tc>
          <w:tcPr>
            <w:tcW w:w="2243" w:type="dxa"/>
            <w:gridSpan w:val="2"/>
            <w:shd w:val="clear" w:color="auto" w:fill="FFFFFF"/>
          </w:tcPr>
          <w:p w:rsidR="00E24AEE" w:rsidRPr="00F61417" w:rsidRDefault="00E24AEE" w:rsidP="00821717">
            <w:pPr>
              <w:spacing w:line="240" w:lineRule="auto"/>
              <w:rPr>
                <w:rFonts w:ascii="Times New Roman" w:hAnsi="Times New Roman"/>
                <w:color w:val="000000"/>
                <w:sz w:val="21"/>
                <w:szCs w:val="21"/>
              </w:rPr>
            </w:pPr>
            <w:r w:rsidRPr="00F61417">
              <w:rPr>
                <w:rFonts w:ascii="Times New Roman" w:hAnsi="Times New Roman"/>
                <w:color w:val="000000"/>
                <w:sz w:val="21"/>
                <w:szCs w:val="21"/>
              </w:rPr>
              <w:t>Dodatkowe informacje, w tym wskazanie źródeł danych i przyjętych do obliczeń założeń</w:t>
            </w:r>
          </w:p>
        </w:tc>
        <w:tc>
          <w:tcPr>
            <w:tcW w:w="8694" w:type="dxa"/>
            <w:gridSpan w:val="27"/>
            <w:shd w:val="clear" w:color="auto" w:fill="FFFFFF"/>
          </w:tcPr>
          <w:p w:rsidR="00503250" w:rsidRDefault="00503250" w:rsidP="00B37C80">
            <w:pPr>
              <w:spacing w:line="240" w:lineRule="auto"/>
              <w:jc w:val="both"/>
              <w:rPr>
                <w:rFonts w:ascii="Times New Roman" w:hAnsi="Times New Roman"/>
                <w:color w:val="000000"/>
                <w:sz w:val="21"/>
                <w:szCs w:val="21"/>
              </w:rPr>
            </w:pPr>
          </w:p>
          <w:p w:rsidR="00E24AEE" w:rsidRDefault="0084621D"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Przy sporządzaniu oceny wpływu na sektor finansów publicznych przyjęto założenia co do wzrostu wynagrodzeń realnych zgodne z „Wytycznymi dotyczącymi stosowania jednolitych wskaźników makroekonomicznych będących podstawą oszacowania skutków finansowych projektowanych ustaw. Aktualizacja – październik 201</w:t>
            </w:r>
            <w:r w:rsidR="000B0E32">
              <w:rPr>
                <w:rFonts w:ascii="Times New Roman" w:hAnsi="Times New Roman"/>
                <w:color w:val="000000"/>
                <w:sz w:val="21"/>
                <w:szCs w:val="21"/>
              </w:rPr>
              <w:t>7</w:t>
            </w:r>
            <w:r>
              <w:rPr>
                <w:rFonts w:ascii="Times New Roman" w:hAnsi="Times New Roman"/>
                <w:color w:val="000000"/>
                <w:sz w:val="21"/>
                <w:szCs w:val="21"/>
              </w:rPr>
              <w:t xml:space="preserve">”. </w:t>
            </w:r>
          </w:p>
          <w:p w:rsidR="00CD3329" w:rsidRDefault="00CD3329" w:rsidP="00B37C80">
            <w:pPr>
              <w:spacing w:line="240" w:lineRule="auto"/>
              <w:jc w:val="both"/>
              <w:rPr>
                <w:rFonts w:ascii="Times New Roman" w:hAnsi="Times New Roman"/>
                <w:color w:val="000000"/>
                <w:sz w:val="21"/>
                <w:szCs w:val="21"/>
              </w:rPr>
            </w:pPr>
          </w:p>
          <w:p w:rsidR="000B0E32" w:rsidRDefault="00FC2679" w:rsidP="000B0E32">
            <w:pPr>
              <w:spacing w:line="240" w:lineRule="auto"/>
              <w:jc w:val="both"/>
              <w:rPr>
                <w:rFonts w:ascii="Times New Roman" w:hAnsi="Times New Roman"/>
                <w:color w:val="000000"/>
                <w:sz w:val="21"/>
                <w:szCs w:val="21"/>
              </w:rPr>
            </w:pPr>
            <w:r>
              <w:rPr>
                <w:rFonts w:ascii="Times New Roman" w:hAnsi="Times New Roman"/>
                <w:color w:val="000000"/>
                <w:sz w:val="21"/>
                <w:szCs w:val="21"/>
              </w:rPr>
              <w:t>Rozkład przychodów</w:t>
            </w:r>
            <w:r w:rsidR="003A306D">
              <w:rPr>
                <w:rFonts w:ascii="Times New Roman" w:hAnsi="Times New Roman"/>
                <w:color w:val="000000"/>
                <w:sz w:val="21"/>
                <w:szCs w:val="21"/>
              </w:rPr>
              <w:t xml:space="preserve"> i dochodów</w:t>
            </w:r>
            <w:r>
              <w:rPr>
                <w:rFonts w:ascii="Times New Roman" w:hAnsi="Times New Roman"/>
                <w:color w:val="000000"/>
                <w:sz w:val="21"/>
                <w:szCs w:val="21"/>
              </w:rPr>
              <w:t xml:space="preserve"> przedsiębiorców o przychodach poniżej 30-krotności minimalnego wynagrodzenia </w:t>
            </w:r>
            <w:r w:rsidR="00CD3329">
              <w:rPr>
                <w:rFonts w:ascii="Times New Roman" w:hAnsi="Times New Roman"/>
                <w:color w:val="000000"/>
                <w:sz w:val="21"/>
                <w:szCs w:val="21"/>
              </w:rPr>
              <w:t xml:space="preserve">oszacowano </w:t>
            </w:r>
            <w:r>
              <w:rPr>
                <w:rFonts w:ascii="Times New Roman" w:hAnsi="Times New Roman"/>
                <w:color w:val="000000"/>
                <w:sz w:val="21"/>
                <w:szCs w:val="21"/>
              </w:rPr>
              <w:t>w oparciu o dane indywidualne podatników PIT-36, PIT-36L i PIT-28</w:t>
            </w:r>
            <w:r w:rsidR="008E1850">
              <w:rPr>
                <w:rFonts w:ascii="Times New Roman" w:hAnsi="Times New Roman"/>
                <w:color w:val="000000"/>
                <w:sz w:val="21"/>
                <w:szCs w:val="21"/>
              </w:rPr>
              <w:t xml:space="preserve"> oraz dane składkowe z ZUS</w:t>
            </w:r>
            <w:r w:rsidR="00CD3329">
              <w:rPr>
                <w:rFonts w:ascii="Times New Roman" w:hAnsi="Times New Roman"/>
                <w:color w:val="000000"/>
                <w:sz w:val="21"/>
                <w:szCs w:val="21"/>
              </w:rPr>
              <w:t xml:space="preserve"> w roku </w:t>
            </w:r>
            <w:r w:rsidR="00B605CF">
              <w:rPr>
                <w:rFonts w:ascii="Times New Roman" w:hAnsi="Times New Roman"/>
                <w:color w:val="000000"/>
                <w:sz w:val="21"/>
                <w:szCs w:val="21"/>
              </w:rPr>
              <w:t>2015</w:t>
            </w:r>
            <w:r>
              <w:rPr>
                <w:rFonts w:ascii="Times New Roman" w:hAnsi="Times New Roman"/>
                <w:color w:val="000000"/>
                <w:sz w:val="21"/>
                <w:szCs w:val="21"/>
              </w:rPr>
              <w:t>.</w:t>
            </w:r>
            <w:r w:rsidR="00CD3329">
              <w:rPr>
                <w:rFonts w:ascii="Times New Roman" w:hAnsi="Times New Roman"/>
                <w:color w:val="000000"/>
                <w:sz w:val="21"/>
                <w:szCs w:val="21"/>
              </w:rPr>
              <w:t xml:space="preserve"> </w:t>
            </w:r>
            <w:r w:rsidR="000B0E32">
              <w:rPr>
                <w:rFonts w:ascii="Times New Roman" w:hAnsi="Times New Roman"/>
                <w:color w:val="000000"/>
                <w:sz w:val="21"/>
                <w:szCs w:val="21"/>
              </w:rPr>
              <w:t xml:space="preserve">Szczegółowy rozkład przychodów w tej </w:t>
            </w:r>
            <w:r w:rsidR="000B0E32">
              <w:rPr>
                <w:rFonts w:ascii="Times New Roman" w:hAnsi="Times New Roman"/>
                <w:color w:val="000000"/>
                <w:sz w:val="21"/>
                <w:szCs w:val="21"/>
              </w:rPr>
              <w:lastRenderedPageBreak/>
              <w:t>grupie przedstawiony jest na wykresie w załączniku.</w:t>
            </w:r>
            <w:r w:rsidR="008E1850">
              <w:rPr>
                <w:rFonts w:ascii="Times New Roman" w:hAnsi="Times New Roman"/>
                <w:color w:val="000000"/>
                <w:sz w:val="21"/>
                <w:szCs w:val="21"/>
              </w:rPr>
              <w:t xml:space="preserve"> </w:t>
            </w:r>
            <w:r w:rsidR="007635AF">
              <w:rPr>
                <w:rFonts w:ascii="Times New Roman" w:hAnsi="Times New Roman"/>
                <w:color w:val="000000"/>
                <w:sz w:val="21"/>
                <w:szCs w:val="21"/>
              </w:rPr>
              <w:t xml:space="preserve">Wyliczenia </w:t>
            </w:r>
            <w:r w:rsidR="008E1850">
              <w:rPr>
                <w:rFonts w:ascii="Times New Roman" w:hAnsi="Times New Roman"/>
                <w:color w:val="000000"/>
                <w:sz w:val="21"/>
                <w:szCs w:val="21"/>
              </w:rPr>
              <w:t xml:space="preserve"> </w:t>
            </w:r>
            <w:r w:rsidR="007635AF">
              <w:rPr>
                <w:rFonts w:ascii="Times New Roman" w:hAnsi="Times New Roman"/>
                <w:color w:val="000000"/>
                <w:sz w:val="21"/>
                <w:szCs w:val="21"/>
              </w:rPr>
              <w:t>przeprowadzo</w:t>
            </w:r>
            <w:r w:rsidR="00431847">
              <w:rPr>
                <w:rFonts w:ascii="Times New Roman" w:hAnsi="Times New Roman"/>
                <w:color w:val="000000"/>
                <w:sz w:val="21"/>
                <w:szCs w:val="21"/>
              </w:rPr>
              <w:t>no dla danych za rok 2015</w:t>
            </w:r>
            <w:r w:rsidR="007635AF">
              <w:rPr>
                <w:rFonts w:ascii="Times New Roman" w:hAnsi="Times New Roman"/>
                <w:color w:val="000000"/>
                <w:sz w:val="21"/>
                <w:szCs w:val="21"/>
              </w:rPr>
              <w:t xml:space="preserve"> indeksując </w:t>
            </w:r>
            <w:r w:rsidR="00431847">
              <w:rPr>
                <w:rFonts w:ascii="Times New Roman" w:hAnsi="Times New Roman"/>
                <w:color w:val="000000"/>
                <w:sz w:val="21"/>
                <w:szCs w:val="21"/>
              </w:rPr>
              <w:t>wartość składek i przychodów</w:t>
            </w:r>
            <w:r w:rsidR="007635AF">
              <w:rPr>
                <w:rFonts w:ascii="Times New Roman" w:hAnsi="Times New Roman"/>
                <w:color w:val="000000"/>
                <w:sz w:val="21"/>
                <w:szCs w:val="21"/>
              </w:rPr>
              <w:t xml:space="preserve"> o wzrost prognozowanego przecię</w:t>
            </w:r>
            <w:r w:rsidR="00431847">
              <w:rPr>
                <w:rFonts w:ascii="Times New Roman" w:hAnsi="Times New Roman"/>
                <w:color w:val="000000"/>
                <w:sz w:val="21"/>
                <w:szCs w:val="21"/>
              </w:rPr>
              <w:t>tnego wynagrodzenia do roku 2018</w:t>
            </w:r>
            <w:r w:rsidR="007635AF">
              <w:rPr>
                <w:rFonts w:ascii="Times New Roman" w:hAnsi="Times New Roman"/>
                <w:color w:val="000000"/>
                <w:sz w:val="21"/>
                <w:szCs w:val="21"/>
              </w:rPr>
              <w:t xml:space="preserve"> i o wzrost realnego przeciętnego wynagrodzenia w latach kolejnych.</w:t>
            </w:r>
            <w:r w:rsidR="00DF4B3D">
              <w:rPr>
                <w:rFonts w:ascii="Times New Roman" w:hAnsi="Times New Roman"/>
                <w:color w:val="000000"/>
                <w:sz w:val="21"/>
                <w:szCs w:val="21"/>
              </w:rPr>
              <w:t xml:space="preserve"> </w:t>
            </w:r>
          </w:p>
          <w:p w:rsidR="00291E84" w:rsidRDefault="00291E84" w:rsidP="00B37C80">
            <w:pPr>
              <w:spacing w:line="240" w:lineRule="auto"/>
              <w:jc w:val="both"/>
              <w:rPr>
                <w:rFonts w:ascii="Times New Roman" w:hAnsi="Times New Roman"/>
                <w:color w:val="000000"/>
                <w:sz w:val="21"/>
                <w:szCs w:val="21"/>
              </w:rPr>
            </w:pPr>
          </w:p>
          <w:p w:rsidR="009710A6" w:rsidRDefault="001A67C0">
            <w:pPr>
              <w:spacing w:line="240" w:lineRule="auto"/>
              <w:jc w:val="both"/>
              <w:rPr>
                <w:rFonts w:ascii="Times New Roman" w:hAnsi="Times New Roman"/>
                <w:color w:val="000000"/>
                <w:sz w:val="21"/>
                <w:szCs w:val="21"/>
              </w:rPr>
            </w:pPr>
            <w:r>
              <w:rPr>
                <w:rFonts w:ascii="Times New Roman" w:hAnsi="Times New Roman"/>
                <w:color w:val="000000"/>
                <w:sz w:val="21"/>
                <w:szCs w:val="21"/>
              </w:rPr>
              <w:t>Ubytek</w:t>
            </w:r>
            <w:r w:rsidR="00291E84">
              <w:rPr>
                <w:rFonts w:ascii="Times New Roman" w:hAnsi="Times New Roman"/>
                <w:color w:val="000000"/>
                <w:sz w:val="21"/>
                <w:szCs w:val="21"/>
              </w:rPr>
              <w:t xml:space="preserve"> wpływów </w:t>
            </w:r>
            <w:r>
              <w:rPr>
                <w:rFonts w:ascii="Times New Roman" w:hAnsi="Times New Roman"/>
                <w:color w:val="000000"/>
                <w:sz w:val="21"/>
                <w:szCs w:val="21"/>
              </w:rPr>
              <w:t>do</w:t>
            </w:r>
            <w:r w:rsidR="00291E84">
              <w:rPr>
                <w:rFonts w:ascii="Times New Roman" w:hAnsi="Times New Roman"/>
                <w:color w:val="000000"/>
                <w:sz w:val="21"/>
                <w:szCs w:val="21"/>
              </w:rPr>
              <w:t xml:space="preserve"> FUS i FP został obliczony jako różnica pomiędzy składkami należnymi obliczonymi w oparciu o podstawy wymiaru wynikające z</w:t>
            </w:r>
            <w:r w:rsidR="00D730D3">
              <w:rPr>
                <w:rFonts w:ascii="Times New Roman" w:hAnsi="Times New Roman"/>
                <w:color w:val="000000"/>
                <w:sz w:val="21"/>
                <w:szCs w:val="21"/>
              </w:rPr>
              <w:t xml:space="preserve"> wprowadzanej regulacji i</w:t>
            </w:r>
            <w:r w:rsidR="00120EBB">
              <w:rPr>
                <w:rFonts w:ascii="Times New Roman" w:hAnsi="Times New Roman"/>
                <w:color w:val="000000"/>
                <w:sz w:val="21"/>
                <w:szCs w:val="21"/>
              </w:rPr>
              <w:t xml:space="preserve"> oszacowanych</w:t>
            </w:r>
            <w:r w:rsidR="00291E84">
              <w:rPr>
                <w:rFonts w:ascii="Times New Roman" w:hAnsi="Times New Roman"/>
                <w:color w:val="000000"/>
                <w:sz w:val="21"/>
                <w:szCs w:val="21"/>
              </w:rPr>
              <w:t xml:space="preserve"> przychodów oraz składkami obliczonymi przy o</w:t>
            </w:r>
            <w:r w:rsidR="00637C6F">
              <w:rPr>
                <w:rFonts w:ascii="Times New Roman" w:hAnsi="Times New Roman"/>
                <w:color w:val="000000"/>
                <w:sz w:val="21"/>
                <w:szCs w:val="21"/>
              </w:rPr>
              <w:t>becnie obowiązującym systemie z </w:t>
            </w:r>
            <w:r w:rsidR="00291E84">
              <w:rPr>
                <w:rFonts w:ascii="Times New Roman" w:hAnsi="Times New Roman"/>
                <w:color w:val="000000"/>
                <w:sz w:val="21"/>
                <w:szCs w:val="21"/>
              </w:rPr>
              <w:t>uwzględnieniem wpływu zawieszania prowadzenia działalności gospodarczej na wymiar należnych składek.</w:t>
            </w:r>
            <w:r w:rsidR="00D730D3">
              <w:rPr>
                <w:rFonts w:ascii="Times New Roman" w:hAnsi="Times New Roman"/>
                <w:color w:val="000000"/>
                <w:sz w:val="21"/>
                <w:szCs w:val="21"/>
              </w:rPr>
              <w:t xml:space="preserve"> </w:t>
            </w:r>
          </w:p>
          <w:p w:rsidR="003A306D" w:rsidRDefault="003A306D" w:rsidP="00B37C80">
            <w:pPr>
              <w:spacing w:line="240" w:lineRule="auto"/>
              <w:jc w:val="both"/>
              <w:rPr>
                <w:rFonts w:ascii="Times New Roman" w:hAnsi="Times New Roman"/>
                <w:color w:val="000000"/>
                <w:sz w:val="21"/>
                <w:szCs w:val="21"/>
              </w:rPr>
            </w:pPr>
          </w:p>
          <w:p w:rsidR="003A306D" w:rsidRDefault="003A306D"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Wzrost dochodów budżetu państwa i JST jest konsekwencją zwiększenia podstawy opodatkowania, w wyniku obniżenia składek odliczanych od dochodu. Obliczenia uwzględniają fakt, iż w przypadku części przedsiębiorców (niewykazujących dochodu) obniżenie poziomu obciążeń składkowych nie doprowadzi do wzrostu należnego podatku dochodowego.</w:t>
            </w:r>
          </w:p>
          <w:p w:rsidR="00CD3329" w:rsidRDefault="00CD3329" w:rsidP="00B37C80">
            <w:pPr>
              <w:spacing w:line="240" w:lineRule="auto"/>
              <w:jc w:val="both"/>
              <w:rPr>
                <w:rFonts w:ascii="Times New Roman" w:hAnsi="Times New Roman"/>
                <w:color w:val="000000"/>
                <w:sz w:val="21"/>
                <w:szCs w:val="21"/>
              </w:rPr>
            </w:pPr>
          </w:p>
          <w:p w:rsidR="00FC2679" w:rsidRDefault="00FC2679"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Przyjęto wpływy i wydatki funduszu wypadkowego w oparciu o „</w:t>
            </w:r>
            <w:r w:rsidR="00CE3A2B">
              <w:rPr>
                <w:rFonts w:ascii="Times New Roman" w:hAnsi="Times New Roman"/>
                <w:color w:val="000000"/>
                <w:sz w:val="21"/>
                <w:szCs w:val="21"/>
              </w:rPr>
              <w:t>Prognozę wpływów i wydatków Fun</w:t>
            </w:r>
            <w:r>
              <w:rPr>
                <w:rFonts w:ascii="Times New Roman" w:hAnsi="Times New Roman"/>
                <w:color w:val="000000"/>
                <w:sz w:val="21"/>
                <w:szCs w:val="21"/>
              </w:rPr>
              <w:t>d</w:t>
            </w:r>
            <w:r w:rsidR="00CE3A2B">
              <w:rPr>
                <w:rFonts w:ascii="Times New Roman" w:hAnsi="Times New Roman"/>
                <w:color w:val="000000"/>
                <w:sz w:val="21"/>
                <w:szCs w:val="21"/>
              </w:rPr>
              <w:t>u</w:t>
            </w:r>
            <w:r>
              <w:rPr>
                <w:rFonts w:ascii="Times New Roman" w:hAnsi="Times New Roman"/>
                <w:color w:val="000000"/>
                <w:sz w:val="21"/>
                <w:szCs w:val="21"/>
              </w:rPr>
              <w:t>szu Ubezpieczeń Społecznych na lata 2016-2020” (ZUS)</w:t>
            </w:r>
            <w:r w:rsidR="003A306D">
              <w:rPr>
                <w:rFonts w:ascii="Times New Roman" w:hAnsi="Times New Roman"/>
                <w:color w:val="000000"/>
                <w:sz w:val="21"/>
                <w:szCs w:val="21"/>
              </w:rPr>
              <w:t xml:space="preserve"> z ekstrapolacją na lata kolejne</w:t>
            </w:r>
            <w:r w:rsidR="00CE3A2B">
              <w:rPr>
                <w:rFonts w:ascii="Times New Roman" w:hAnsi="Times New Roman"/>
                <w:color w:val="000000"/>
                <w:sz w:val="21"/>
                <w:szCs w:val="21"/>
              </w:rPr>
              <w:t xml:space="preserve"> (wzrost wpływów i wydatków przyjęty na poziomie wzrostu wynagrodzeń realnych z wytycznych MF)</w:t>
            </w:r>
            <w:r>
              <w:rPr>
                <w:rFonts w:ascii="Times New Roman" w:hAnsi="Times New Roman"/>
                <w:color w:val="000000"/>
                <w:sz w:val="21"/>
                <w:szCs w:val="21"/>
              </w:rPr>
              <w:t>.</w:t>
            </w:r>
            <w:r w:rsidR="00CD3329">
              <w:rPr>
                <w:rFonts w:ascii="Times New Roman" w:hAnsi="Times New Roman"/>
                <w:color w:val="000000"/>
                <w:sz w:val="21"/>
                <w:szCs w:val="21"/>
              </w:rPr>
              <w:t xml:space="preserve"> Założono, że zmniejszenie wpływów składek na fundusz wypadkowy przyczynia się do proporcjonalnego zmniejszenia jego wydatków ze względu na zmniejszenie podstawy, a w ślad za nią wysokości otrzymywanych świadczeń.</w:t>
            </w:r>
          </w:p>
          <w:p w:rsidR="00EC177B" w:rsidRDefault="00EC177B" w:rsidP="00B37C80">
            <w:pPr>
              <w:spacing w:line="240" w:lineRule="auto"/>
              <w:jc w:val="both"/>
              <w:rPr>
                <w:rFonts w:ascii="Times New Roman" w:hAnsi="Times New Roman"/>
                <w:color w:val="000000"/>
                <w:sz w:val="21"/>
                <w:szCs w:val="21"/>
              </w:rPr>
            </w:pPr>
          </w:p>
          <w:p w:rsidR="00EC177B" w:rsidRDefault="00EC177B" w:rsidP="00EC177B">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Od 4 roku w projekcji uwzględniony jest spadek obciążeń dla sektora finansów publicznych w wyniku ograniczenia możliwości korzystania z preferencji do 3 lat w okresie 5-letnim. W oparciu o dane z lat 2005-2015 efekt tego ograniczenia oszacowano na ok. 13%. </w:t>
            </w:r>
          </w:p>
          <w:p w:rsidR="00CE3A2B" w:rsidRDefault="00CE3A2B" w:rsidP="00B37C80">
            <w:pPr>
              <w:spacing w:line="240" w:lineRule="auto"/>
              <w:jc w:val="both"/>
              <w:rPr>
                <w:rFonts w:ascii="Times New Roman" w:hAnsi="Times New Roman"/>
                <w:color w:val="000000"/>
                <w:sz w:val="21"/>
                <w:szCs w:val="21"/>
              </w:rPr>
            </w:pPr>
          </w:p>
          <w:p w:rsidR="00CE3A2B" w:rsidRDefault="00CE3A2B" w:rsidP="00B37C80">
            <w:pPr>
              <w:spacing w:line="240" w:lineRule="auto"/>
              <w:jc w:val="both"/>
              <w:rPr>
                <w:rFonts w:ascii="Times New Roman" w:hAnsi="Times New Roman"/>
                <w:color w:val="000000"/>
                <w:sz w:val="21"/>
                <w:szCs w:val="21"/>
              </w:rPr>
            </w:pPr>
            <w:r>
              <w:rPr>
                <w:rFonts w:ascii="Times New Roman" w:hAnsi="Times New Roman"/>
                <w:color w:val="000000"/>
                <w:sz w:val="21"/>
                <w:szCs w:val="21"/>
              </w:rPr>
              <w:t>Projekcja wpływu</w:t>
            </w:r>
            <w:r w:rsidR="00D730D3">
              <w:rPr>
                <w:rFonts w:ascii="Times New Roman" w:hAnsi="Times New Roman"/>
                <w:color w:val="000000"/>
                <w:sz w:val="21"/>
                <w:szCs w:val="21"/>
              </w:rPr>
              <w:t xml:space="preserve"> </w:t>
            </w:r>
            <w:r>
              <w:rPr>
                <w:rFonts w:ascii="Times New Roman" w:hAnsi="Times New Roman"/>
                <w:color w:val="000000"/>
                <w:sz w:val="21"/>
                <w:szCs w:val="21"/>
              </w:rPr>
              <w:t>na sektor finansów publicznych ze względów ostrożnościowych nie uwzględnia pozytywnego wpływu regulacji na stan finansów publicznych związanego m.in. z większą przeżywalnością przedsiębiorstw, redukcją szarej strefy i bezrobocia.</w:t>
            </w:r>
          </w:p>
          <w:p w:rsidR="005729AF" w:rsidRDefault="005729AF" w:rsidP="00B37C80">
            <w:pPr>
              <w:spacing w:line="240" w:lineRule="auto"/>
              <w:jc w:val="both"/>
              <w:rPr>
                <w:rFonts w:ascii="Times New Roman" w:hAnsi="Times New Roman"/>
                <w:color w:val="000000"/>
                <w:sz w:val="21"/>
                <w:szCs w:val="21"/>
              </w:rPr>
            </w:pPr>
          </w:p>
          <w:p w:rsidR="005729AF" w:rsidRDefault="005729AF" w:rsidP="00B37C80">
            <w:pPr>
              <w:spacing w:line="240" w:lineRule="auto"/>
              <w:jc w:val="both"/>
              <w:rPr>
                <w:rFonts w:ascii="Times New Roman" w:hAnsi="Times New Roman"/>
                <w:color w:val="000000"/>
                <w:sz w:val="21"/>
                <w:szCs w:val="21"/>
              </w:rPr>
            </w:pPr>
            <w:r w:rsidRPr="00E31CB3">
              <w:rPr>
                <w:rFonts w:ascii="Times New Roman" w:hAnsi="Times New Roman"/>
                <w:color w:val="000000"/>
                <w:sz w:val="21"/>
                <w:szCs w:val="21"/>
              </w:rPr>
              <w:t>Wydatek 15 mln zł w roku 0 odnosi się do kosztów organizacyjnych ZUS wynikających przede wszystkim z konieczności przystosowania systemu informatycznego.</w:t>
            </w:r>
          </w:p>
          <w:p w:rsidR="00A84864" w:rsidRPr="00F61417" w:rsidRDefault="00A84864" w:rsidP="00B37C80">
            <w:pPr>
              <w:spacing w:line="240" w:lineRule="auto"/>
              <w:jc w:val="both"/>
              <w:rPr>
                <w:rFonts w:ascii="Times New Roman" w:hAnsi="Times New Roman"/>
                <w:color w:val="000000"/>
                <w:sz w:val="21"/>
                <w:szCs w:val="21"/>
              </w:rPr>
            </w:pPr>
          </w:p>
        </w:tc>
      </w:tr>
      <w:tr w:rsidR="00E24AEE" w:rsidRPr="00F61417" w:rsidTr="00676C8D">
        <w:trPr>
          <w:gridAfter w:val="1"/>
          <w:wAfter w:w="10" w:type="dxa"/>
          <w:trHeight w:val="345"/>
        </w:trPr>
        <w:tc>
          <w:tcPr>
            <w:tcW w:w="10937" w:type="dxa"/>
            <w:gridSpan w:val="29"/>
            <w:shd w:val="clear" w:color="auto" w:fill="99CCFF"/>
          </w:tcPr>
          <w:p w:rsidR="00E24AEE" w:rsidRPr="00F61417" w:rsidRDefault="00E24AEE" w:rsidP="0072636A">
            <w:pPr>
              <w:numPr>
                <w:ilvl w:val="0"/>
                <w:numId w:val="3"/>
              </w:numPr>
              <w:spacing w:before="120" w:after="120" w:line="240" w:lineRule="auto"/>
              <w:jc w:val="both"/>
              <w:rPr>
                <w:rFonts w:ascii="Times New Roman" w:hAnsi="Times New Roman"/>
                <w:b/>
                <w:color w:val="000000"/>
                <w:spacing w:val="-2"/>
              </w:rPr>
            </w:pPr>
            <w:r w:rsidRPr="00F61417">
              <w:rPr>
                <w:rFonts w:ascii="Times New Roman" w:hAnsi="Times New Roman"/>
                <w:b/>
                <w:color w:val="000000"/>
                <w:spacing w:val="-2"/>
              </w:rPr>
              <w:lastRenderedPageBreak/>
              <w:t xml:space="preserve">Wpływ na </w:t>
            </w:r>
            <w:r w:rsidRPr="00F61417">
              <w:rPr>
                <w:rFonts w:ascii="Times New Roman" w:hAnsi="Times New Roman"/>
                <w:b/>
                <w:color w:val="000000"/>
              </w:rPr>
              <w:t>konkurencyjność gospodarki i przedsiębiorczość, w tym funkcjonowanie przedsiębiorców oraz na rodzinę, obywateli i gospodarstwa domowe</w:t>
            </w:r>
          </w:p>
        </w:tc>
      </w:tr>
      <w:tr w:rsidR="00E24AEE" w:rsidRPr="00F61417" w:rsidTr="00676C8D">
        <w:trPr>
          <w:gridAfter w:val="1"/>
          <w:wAfter w:w="10" w:type="dxa"/>
          <w:trHeight w:val="142"/>
        </w:trPr>
        <w:tc>
          <w:tcPr>
            <w:tcW w:w="10937" w:type="dxa"/>
            <w:gridSpan w:val="29"/>
            <w:shd w:val="clear" w:color="auto" w:fill="FFFFFF"/>
          </w:tcPr>
          <w:p w:rsidR="00E24AEE" w:rsidRPr="00F61417" w:rsidRDefault="00E24AEE" w:rsidP="00811D46">
            <w:pPr>
              <w:spacing w:line="240" w:lineRule="auto"/>
              <w:jc w:val="center"/>
              <w:rPr>
                <w:rFonts w:ascii="Times New Roman" w:hAnsi="Times New Roman"/>
                <w:color w:val="000000"/>
                <w:spacing w:val="-2"/>
                <w:sz w:val="21"/>
                <w:szCs w:val="21"/>
              </w:rPr>
            </w:pPr>
            <w:r w:rsidRPr="00F61417">
              <w:rPr>
                <w:rFonts w:ascii="Times New Roman" w:hAnsi="Times New Roman"/>
                <w:color w:val="000000"/>
                <w:spacing w:val="-2"/>
                <w:sz w:val="21"/>
                <w:szCs w:val="21"/>
              </w:rPr>
              <w:t>Skutki</w:t>
            </w:r>
          </w:p>
        </w:tc>
      </w:tr>
      <w:tr w:rsidR="00E24AEE" w:rsidRPr="00F61417" w:rsidTr="00676C8D">
        <w:trPr>
          <w:gridAfter w:val="1"/>
          <w:wAfter w:w="10" w:type="dxa"/>
          <w:trHeight w:val="142"/>
        </w:trPr>
        <w:tc>
          <w:tcPr>
            <w:tcW w:w="3889" w:type="dxa"/>
            <w:gridSpan w:val="7"/>
            <w:shd w:val="clear" w:color="auto" w:fill="FFFFFF"/>
          </w:tcPr>
          <w:p w:rsidR="00E24AEE" w:rsidRPr="00F61417" w:rsidRDefault="00E24AEE" w:rsidP="00811D46">
            <w:pPr>
              <w:spacing w:line="240" w:lineRule="auto"/>
              <w:rPr>
                <w:rFonts w:ascii="Times New Roman" w:hAnsi="Times New Roman"/>
                <w:color w:val="000000"/>
                <w:sz w:val="21"/>
                <w:szCs w:val="21"/>
              </w:rPr>
            </w:pPr>
            <w:r w:rsidRPr="00F61417">
              <w:rPr>
                <w:rFonts w:ascii="Times New Roman" w:hAnsi="Times New Roman"/>
                <w:color w:val="000000"/>
                <w:sz w:val="21"/>
                <w:szCs w:val="21"/>
              </w:rPr>
              <w:t>Czas w latach od wejścia w życie zmian</w:t>
            </w:r>
          </w:p>
        </w:tc>
        <w:tc>
          <w:tcPr>
            <w:tcW w:w="937" w:type="dxa"/>
            <w:gridSpan w:val="2"/>
            <w:shd w:val="clear" w:color="auto" w:fill="FFFFFF"/>
          </w:tcPr>
          <w:p w:rsidR="00E24AEE" w:rsidRPr="00F61417" w:rsidRDefault="00E24AEE" w:rsidP="00811D46">
            <w:pPr>
              <w:spacing w:line="240" w:lineRule="auto"/>
              <w:jc w:val="center"/>
              <w:rPr>
                <w:rFonts w:ascii="Times New Roman" w:hAnsi="Times New Roman"/>
                <w:color w:val="000000"/>
                <w:sz w:val="21"/>
                <w:szCs w:val="21"/>
              </w:rPr>
            </w:pPr>
            <w:r w:rsidRPr="00F61417">
              <w:rPr>
                <w:rFonts w:ascii="Times New Roman" w:hAnsi="Times New Roman"/>
                <w:color w:val="000000"/>
                <w:sz w:val="21"/>
                <w:szCs w:val="21"/>
              </w:rPr>
              <w:t>0</w:t>
            </w:r>
          </w:p>
        </w:tc>
        <w:tc>
          <w:tcPr>
            <w:tcW w:w="938" w:type="dxa"/>
            <w:gridSpan w:val="5"/>
            <w:shd w:val="clear" w:color="auto" w:fill="FFFFFF"/>
          </w:tcPr>
          <w:p w:rsidR="00E24AEE" w:rsidRPr="00F61417" w:rsidRDefault="00E24AEE" w:rsidP="00811D46">
            <w:pPr>
              <w:spacing w:line="240" w:lineRule="auto"/>
              <w:jc w:val="center"/>
              <w:rPr>
                <w:rFonts w:ascii="Times New Roman" w:hAnsi="Times New Roman"/>
                <w:color w:val="000000"/>
                <w:sz w:val="21"/>
                <w:szCs w:val="21"/>
              </w:rPr>
            </w:pPr>
            <w:r w:rsidRPr="00F61417">
              <w:rPr>
                <w:rFonts w:ascii="Times New Roman" w:hAnsi="Times New Roman"/>
                <w:color w:val="000000"/>
                <w:sz w:val="21"/>
                <w:szCs w:val="21"/>
              </w:rPr>
              <w:t>1</w:t>
            </w:r>
          </w:p>
        </w:tc>
        <w:tc>
          <w:tcPr>
            <w:tcW w:w="938" w:type="dxa"/>
            <w:gridSpan w:val="4"/>
            <w:shd w:val="clear" w:color="auto" w:fill="FFFFFF"/>
          </w:tcPr>
          <w:p w:rsidR="00E24AEE" w:rsidRPr="00F61417" w:rsidRDefault="00E24AEE" w:rsidP="00811D46">
            <w:pPr>
              <w:spacing w:line="240" w:lineRule="auto"/>
              <w:jc w:val="center"/>
              <w:rPr>
                <w:rFonts w:ascii="Times New Roman" w:hAnsi="Times New Roman"/>
                <w:color w:val="000000"/>
                <w:sz w:val="21"/>
                <w:szCs w:val="21"/>
              </w:rPr>
            </w:pPr>
            <w:r w:rsidRPr="00F61417">
              <w:rPr>
                <w:rFonts w:ascii="Times New Roman" w:hAnsi="Times New Roman"/>
                <w:color w:val="000000"/>
                <w:sz w:val="21"/>
                <w:szCs w:val="21"/>
              </w:rPr>
              <w:t>2</w:t>
            </w:r>
          </w:p>
        </w:tc>
        <w:tc>
          <w:tcPr>
            <w:tcW w:w="937" w:type="dxa"/>
            <w:gridSpan w:val="3"/>
            <w:shd w:val="clear" w:color="auto" w:fill="FFFFFF"/>
          </w:tcPr>
          <w:p w:rsidR="00E24AEE" w:rsidRPr="00F61417" w:rsidRDefault="00E24AEE" w:rsidP="00811D46">
            <w:pPr>
              <w:spacing w:line="240" w:lineRule="auto"/>
              <w:jc w:val="center"/>
              <w:rPr>
                <w:rFonts w:ascii="Times New Roman" w:hAnsi="Times New Roman"/>
                <w:color w:val="000000"/>
                <w:sz w:val="21"/>
                <w:szCs w:val="21"/>
              </w:rPr>
            </w:pPr>
            <w:r w:rsidRPr="00F61417">
              <w:rPr>
                <w:rFonts w:ascii="Times New Roman" w:hAnsi="Times New Roman"/>
                <w:color w:val="000000"/>
                <w:sz w:val="21"/>
                <w:szCs w:val="21"/>
              </w:rPr>
              <w:t>3</w:t>
            </w:r>
          </w:p>
        </w:tc>
        <w:tc>
          <w:tcPr>
            <w:tcW w:w="938" w:type="dxa"/>
            <w:gridSpan w:val="4"/>
            <w:shd w:val="clear" w:color="auto" w:fill="FFFFFF"/>
          </w:tcPr>
          <w:p w:rsidR="00E24AEE" w:rsidRPr="00F61417" w:rsidRDefault="00E24AEE" w:rsidP="00811D46">
            <w:pPr>
              <w:spacing w:line="240" w:lineRule="auto"/>
              <w:jc w:val="center"/>
              <w:rPr>
                <w:rFonts w:ascii="Times New Roman" w:hAnsi="Times New Roman"/>
                <w:color w:val="000000"/>
                <w:sz w:val="21"/>
                <w:szCs w:val="21"/>
              </w:rPr>
            </w:pPr>
            <w:r w:rsidRPr="00F61417">
              <w:rPr>
                <w:rFonts w:ascii="Times New Roman" w:hAnsi="Times New Roman"/>
                <w:color w:val="000000"/>
                <w:sz w:val="21"/>
                <w:szCs w:val="21"/>
              </w:rPr>
              <w:t>5</w:t>
            </w:r>
          </w:p>
        </w:tc>
        <w:tc>
          <w:tcPr>
            <w:tcW w:w="938" w:type="dxa"/>
            <w:gridSpan w:val="3"/>
            <w:shd w:val="clear" w:color="auto" w:fill="FFFFFF"/>
          </w:tcPr>
          <w:p w:rsidR="00E24AEE" w:rsidRPr="00F61417" w:rsidRDefault="00E24AEE" w:rsidP="00811D46">
            <w:pPr>
              <w:spacing w:line="240" w:lineRule="auto"/>
              <w:jc w:val="center"/>
              <w:rPr>
                <w:rFonts w:ascii="Times New Roman" w:hAnsi="Times New Roman"/>
                <w:color w:val="000000"/>
                <w:sz w:val="21"/>
                <w:szCs w:val="21"/>
              </w:rPr>
            </w:pPr>
            <w:r w:rsidRPr="00F61417">
              <w:rPr>
                <w:rFonts w:ascii="Times New Roman" w:hAnsi="Times New Roman"/>
                <w:color w:val="000000"/>
                <w:sz w:val="21"/>
                <w:szCs w:val="21"/>
              </w:rPr>
              <w:t>10</w:t>
            </w:r>
          </w:p>
        </w:tc>
        <w:tc>
          <w:tcPr>
            <w:tcW w:w="1422" w:type="dxa"/>
            <w:shd w:val="clear" w:color="auto" w:fill="FFFFFF"/>
          </w:tcPr>
          <w:p w:rsidR="00E24AEE" w:rsidRPr="00F61417" w:rsidRDefault="00E24AEE" w:rsidP="00811D46">
            <w:pPr>
              <w:spacing w:line="240" w:lineRule="auto"/>
              <w:jc w:val="center"/>
              <w:rPr>
                <w:rFonts w:ascii="Times New Roman" w:hAnsi="Times New Roman"/>
                <w:i/>
                <w:color w:val="000000"/>
                <w:spacing w:val="-2"/>
                <w:sz w:val="21"/>
                <w:szCs w:val="21"/>
              </w:rPr>
            </w:pPr>
            <w:r w:rsidRPr="00F61417">
              <w:rPr>
                <w:rFonts w:ascii="Times New Roman" w:hAnsi="Times New Roman"/>
                <w:i/>
                <w:color w:val="000000"/>
                <w:spacing w:val="-2"/>
                <w:sz w:val="21"/>
                <w:szCs w:val="21"/>
              </w:rPr>
              <w:t>Łącznie</w:t>
            </w:r>
            <w:r w:rsidRPr="00F61417" w:rsidDel="0073273A">
              <w:rPr>
                <w:rFonts w:ascii="Times New Roman" w:hAnsi="Times New Roman"/>
                <w:i/>
                <w:color w:val="000000"/>
                <w:spacing w:val="-2"/>
                <w:sz w:val="21"/>
                <w:szCs w:val="21"/>
              </w:rPr>
              <w:t xml:space="preserve"> </w:t>
            </w:r>
            <w:r w:rsidRPr="00F61417">
              <w:rPr>
                <w:rFonts w:ascii="Times New Roman" w:hAnsi="Times New Roman"/>
                <w:i/>
                <w:color w:val="000000"/>
                <w:spacing w:val="-2"/>
                <w:sz w:val="21"/>
                <w:szCs w:val="21"/>
              </w:rPr>
              <w:t>(0-10)</w:t>
            </w:r>
          </w:p>
        </w:tc>
      </w:tr>
      <w:tr w:rsidR="002D3625" w:rsidRPr="00F61417" w:rsidTr="008A5095">
        <w:trPr>
          <w:gridAfter w:val="1"/>
          <w:wAfter w:w="10" w:type="dxa"/>
          <w:trHeight w:val="142"/>
        </w:trPr>
        <w:tc>
          <w:tcPr>
            <w:tcW w:w="1596" w:type="dxa"/>
            <w:vMerge w:val="restart"/>
            <w:shd w:val="clear" w:color="auto" w:fill="FFFFFF"/>
          </w:tcPr>
          <w:p w:rsidR="002D3625" w:rsidRPr="00F61417" w:rsidRDefault="002D3625" w:rsidP="006F78C4">
            <w:pPr>
              <w:rPr>
                <w:rFonts w:ascii="Times New Roman" w:hAnsi="Times New Roman"/>
                <w:color w:val="000000"/>
                <w:sz w:val="21"/>
                <w:szCs w:val="21"/>
              </w:rPr>
            </w:pPr>
            <w:r w:rsidRPr="00F61417">
              <w:rPr>
                <w:rFonts w:ascii="Times New Roman" w:hAnsi="Times New Roman"/>
                <w:color w:val="000000"/>
                <w:sz w:val="21"/>
                <w:szCs w:val="21"/>
              </w:rPr>
              <w:t>W ujęciu pieniężnym</w:t>
            </w:r>
          </w:p>
          <w:p w:rsidR="002D3625" w:rsidRPr="0057579C" w:rsidRDefault="002D3625" w:rsidP="006F78C4">
            <w:pPr>
              <w:rPr>
                <w:rFonts w:ascii="Times New Roman" w:hAnsi="Times New Roman"/>
                <w:spacing w:val="-2"/>
                <w:sz w:val="21"/>
                <w:szCs w:val="21"/>
              </w:rPr>
            </w:pPr>
            <w:r w:rsidRPr="00F61417">
              <w:rPr>
                <w:rFonts w:ascii="Times New Roman" w:hAnsi="Times New Roman"/>
                <w:spacing w:val="-2"/>
                <w:sz w:val="21"/>
                <w:szCs w:val="21"/>
              </w:rPr>
              <w:t>(</w:t>
            </w:r>
            <w:r w:rsidRPr="0057579C">
              <w:rPr>
                <w:rFonts w:ascii="Times New Roman" w:hAnsi="Times New Roman"/>
                <w:spacing w:val="-2"/>
                <w:sz w:val="21"/>
                <w:szCs w:val="21"/>
              </w:rPr>
              <w:t xml:space="preserve">w mln zł, </w:t>
            </w:r>
          </w:p>
          <w:p w:rsidR="002D3625" w:rsidRPr="00F61417" w:rsidRDefault="00EC177B" w:rsidP="00925C11">
            <w:pPr>
              <w:spacing w:line="240" w:lineRule="auto"/>
              <w:rPr>
                <w:rFonts w:ascii="Times New Roman" w:hAnsi="Times New Roman"/>
                <w:color w:val="000000"/>
                <w:sz w:val="21"/>
                <w:szCs w:val="21"/>
              </w:rPr>
            </w:pPr>
            <w:r>
              <w:rPr>
                <w:rFonts w:ascii="Times New Roman" w:hAnsi="Times New Roman"/>
                <w:spacing w:val="-2"/>
                <w:sz w:val="21"/>
                <w:szCs w:val="21"/>
              </w:rPr>
              <w:t>ceny stałe z 2018</w:t>
            </w:r>
            <w:r w:rsidR="002D3625" w:rsidRPr="0057579C">
              <w:rPr>
                <w:rFonts w:ascii="Times New Roman" w:hAnsi="Times New Roman"/>
                <w:spacing w:val="-2"/>
                <w:sz w:val="21"/>
                <w:szCs w:val="21"/>
              </w:rPr>
              <w:t xml:space="preserve"> r.)</w:t>
            </w:r>
          </w:p>
        </w:tc>
        <w:tc>
          <w:tcPr>
            <w:tcW w:w="2293" w:type="dxa"/>
            <w:gridSpan w:val="6"/>
            <w:shd w:val="clear" w:color="auto" w:fill="FFFFFF"/>
          </w:tcPr>
          <w:p w:rsidR="002D3625" w:rsidRPr="00F61417" w:rsidRDefault="002D3625" w:rsidP="00291E84">
            <w:pPr>
              <w:spacing w:line="240" w:lineRule="auto"/>
              <w:rPr>
                <w:rFonts w:ascii="Times New Roman" w:hAnsi="Times New Roman"/>
                <w:color w:val="000000"/>
                <w:sz w:val="21"/>
                <w:szCs w:val="21"/>
              </w:rPr>
            </w:pPr>
            <w:r>
              <w:rPr>
                <w:rFonts w:ascii="Times New Roman" w:hAnsi="Times New Roman"/>
                <w:sz w:val="21"/>
                <w:szCs w:val="21"/>
              </w:rPr>
              <w:t>R</w:t>
            </w:r>
            <w:r w:rsidRPr="00F61417">
              <w:rPr>
                <w:rFonts w:ascii="Times New Roman" w:hAnsi="Times New Roman"/>
                <w:sz w:val="21"/>
                <w:szCs w:val="21"/>
              </w:rPr>
              <w:t>odzina, obywatele oraz gospodarstwa domowe</w:t>
            </w:r>
          </w:p>
        </w:tc>
        <w:tc>
          <w:tcPr>
            <w:tcW w:w="937" w:type="dxa"/>
            <w:gridSpan w:val="2"/>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0</w:t>
            </w:r>
          </w:p>
        </w:tc>
        <w:tc>
          <w:tcPr>
            <w:tcW w:w="938" w:type="dxa"/>
            <w:gridSpan w:val="5"/>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573</w:t>
            </w:r>
          </w:p>
        </w:tc>
        <w:tc>
          <w:tcPr>
            <w:tcW w:w="938" w:type="dxa"/>
            <w:gridSpan w:val="4"/>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510</w:t>
            </w:r>
          </w:p>
        </w:tc>
        <w:tc>
          <w:tcPr>
            <w:tcW w:w="937" w:type="dxa"/>
            <w:gridSpan w:val="3"/>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503</w:t>
            </w:r>
          </w:p>
        </w:tc>
        <w:tc>
          <w:tcPr>
            <w:tcW w:w="938" w:type="dxa"/>
            <w:gridSpan w:val="4"/>
            <w:shd w:val="clear" w:color="auto" w:fill="FFFFFF"/>
          </w:tcPr>
          <w:p w:rsidR="002D3625" w:rsidRPr="00480FDF" w:rsidRDefault="002D3625" w:rsidP="00C42A10">
            <w:pPr>
              <w:rPr>
                <w:rFonts w:ascii="Times New Roman" w:hAnsi="Times New Roman"/>
                <w:color w:val="000000"/>
                <w:sz w:val="21"/>
                <w:szCs w:val="21"/>
              </w:rPr>
            </w:pPr>
            <w:r>
              <w:rPr>
                <w:rFonts w:ascii="Times New Roman" w:hAnsi="Times New Roman"/>
                <w:color w:val="000000"/>
              </w:rPr>
              <w:t>446</w:t>
            </w:r>
          </w:p>
        </w:tc>
        <w:tc>
          <w:tcPr>
            <w:tcW w:w="938" w:type="dxa"/>
            <w:gridSpan w:val="3"/>
            <w:shd w:val="clear" w:color="auto" w:fill="FFFFFF"/>
          </w:tcPr>
          <w:p w:rsidR="002D3625" w:rsidRPr="00480FDF" w:rsidRDefault="002D3625" w:rsidP="00C42A10">
            <w:pPr>
              <w:rPr>
                <w:rFonts w:ascii="Times New Roman" w:hAnsi="Times New Roman"/>
                <w:color w:val="000000"/>
                <w:sz w:val="21"/>
                <w:szCs w:val="21"/>
              </w:rPr>
            </w:pPr>
            <w:r>
              <w:rPr>
                <w:rFonts w:ascii="Times New Roman" w:hAnsi="Times New Roman"/>
                <w:color w:val="000000"/>
                <w:sz w:val="21"/>
                <w:szCs w:val="21"/>
              </w:rPr>
              <w:t>519</w:t>
            </w:r>
          </w:p>
        </w:tc>
        <w:tc>
          <w:tcPr>
            <w:tcW w:w="1422" w:type="dxa"/>
            <w:shd w:val="clear" w:color="auto" w:fill="FFFFFF"/>
          </w:tcPr>
          <w:p w:rsidR="002D3625" w:rsidRPr="00480FDF" w:rsidRDefault="002D3625" w:rsidP="00C42A10">
            <w:pPr>
              <w:rPr>
                <w:rFonts w:ascii="Times New Roman" w:hAnsi="Times New Roman"/>
                <w:color w:val="000000"/>
                <w:spacing w:val="-2"/>
                <w:sz w:val="21"/>
                <w:szCs w:val="21"/>
              </w:rPr>
            </w:pPr>
            <w:r>
              <w:rPr>
                <w:rFonts w:ascii="Times New Roman" w:hAnsi="Times New Roman"/>
                <w:color w:val="000000"/>
              </w:rPr>
              <w:t>4516</w:t>
            </w:r>
          </w:p>
        </w:tc>
      </w:tr>
      <w:tr w:rsidR="002D3625" w:rsidRPr="00F61417" w:rsidTr="008A5095">
        <w:trPr>
          <w:gridAfter w:val="1"/>
          <w:wAfter w:w="10" w:type="dxa"/>
          <w:trHeight w:val="142"/>
        </w:trPr>
        <w:tc>
          <w:tcPr>
            <w:tcW w:w="1596" w:type="dxa"/>
            <w:vMerge/>
            <w:shd w:val="clear" w:color="auto" w:fill="FFFFFF"/>
          </w:tcPr>
          <w:p w:rsidR="002D3625" w:rsidRPr="00F61417" w:rsidRDefault="002D3625" w:rsidP="00811D46">
            <w:pPr>
              <w:spacing w:line="240" w:lineRule="auto"/>
              <w:rPr>
                <w:rFonts w:ascii="Times New Roman" w:hAnsi="Times New Roman"/>
                <w:color w:val="000000"/>
                <w:sz w:val="21"/>
                <w:szCs w:val="21"/>
              </w:rPr>
            </w:pPr>
          </w:p>
        </w:tc>
        <w:tc>
          <w:tcPr>
            <w:tcW w:w="2293" w:type="dxa"/>
            <w:gridSpan w:val="6"/>
            <w:shd w:val="clear" w:color="auto" w:fill="FFFFFF"/>
          </w:tcPr>
          <w:p w:rsidR="002D3625" w:rsidRPr="00F61417" w:rsidRDefault="002D3625" w:rsidP="00291E84">
            <w:pPr>
              <w:spacing w:line="240" w:lineRule="auto"/>
              <w:rPr>
                <w:rFonts w:ascii="Times New Roman" w:hAnsi="Times New Roman"/>
                <w:color w:val="000000"/>
                <w:sz w:val="21"/>
                <w:szCs w:val="21"/>
              </w:rPr>
            </w:pPr>
            <w:r>
              <w:rPr>
                <w:rFonts w:ascii="Times New Roman" w:hAnsi="Times New Roman"/>
                <w:color w:val="000000"/>
                <w:sz w:val="21"/>
                <w:szCs w:val="21"/>
              </w:rPr>
              <w:t>Przedsiębiorstwa (łącznie)</w:t>
            </w:r>
          </w:p>
        </w:tc>
        <w:tc>
          <w:tcPr>
            <w:tcW w:w="937" w:type="dxa"/>
            <w:gridSpan w:val="2"/>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0</w:t>
            </w:r>
          </w:p>
        </w:tc>
        <w:tc>
          <w:tcPr>
            <w:tcW w:w="938" w:type="dxa"/>
            <w:gridSpan w:val="5"/>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1036</w:t>
            </w:r>
          </w:p>
        </w:tc>
        <w:tc>
          <w:tcPr>
            <w:tcW w:w="938" w:type="dxa"/>
            <w:gridSpan w:val="4"/>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673</w:t>
            </w:r>
          </w:p>
        </w:tc>
        <w:tc>
          <w:tcPr>
            <w:tcW w:w="937" w:type="dxa"/>
            <w:gridSpan w:val="3"/>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624</w:t>
            </w:r>
          </w:p>
        </w:tc>
        <w:tc>
          <w:tcPr>
            <w:tcW w:w="938" w:type="dxa"/>
            <w:gridSpan w:val="4"/>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218</w:t>
            </w:r>
          </w:p>
        </w:tc>
        <w:tc>
          <w:tcPr>
            <w:tcW w:w="938" w:type="dxa"/>
            <w:gridSpan w:val="3"/>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415</w:t>
            </w:r>
          </w:p>
        </w:tc>
        <w:tc>
          <w:tcPr>
            <w:tcW w:w="1422" w:type="dxa"/>
            <w:shd w:val="clear" w:color="auto" w:fill="FFFFFF"/>
          </w:tcPr>
          <w:p w:rsidR="002D3625" w:rsidRPr="00480FDF" w:rsidRDefault="002D3625" w:rsidP="00C42A10">
            <w:pPr>
              <w:rPr>
                <w:rFonts w:ascii="Times New Roman" w:hAnsi="Times New Roman"/>
                <w:color w:val="000000"/>
              </w:rPr>
            </w:pPr>
            <w:r>
              <w:rPr>
                <w:rFonts w:ascii="Times New Roman" w:hAnsi="Times New Roman"/>
                <w:color w:val="000000"/>
              </w:rPr>
              <w:t>2920</w:t>
            </w:r>
          </w:p>
        </w:tc>
      </w:tr>
      <w:tr w:rsidR="00E24AEE" w:rsidRPr="00F61417" w:rsidTr="00676C8D">
        <w:trPr>
          <w:gridAfter w:val="1"/>
          <w:wAfter w:w="10" w:type="dxa"/>
          <w:trHeight w:val="142"/>
        </w:trPr>
        <w:tc>
          <w:tcPr>
            <w:tcW w:w="1596" w:type="dxa"/>
            <w:vMerge w:val="restart"/>
            <w:shd w:val="clear" w:color="auto" w:fill="FFFFFF"/>
          </w:tcPr>
          <w:p w:rsidR="00E24AEE" w:rsidRPr="00F61417" w:rsidRDefault="00E24AEE" w:rsidP="00811D46">
            <w:pPr>
              <w:spacing w:line="240" w:lineRule="auto"/>
              <w:rPr>
                <w:rFonts w:ascii="Times New Roman" w:hAnsi="Times New Roman"/>
                <w:color w:val="000000"/>
                <w:sz w:val="21"/>
                <w:szCs w:val="21"/>
              </w:rPr>
            </w:pPr>
            <w:r w:rsidRPr="00F61417">
              <w:rPr>
                <w:rFonts w:ascii="Times New Roman" w:hAnsi="Times New Roman"/>
                <w:color w:val="000000"/>
                <w:sz w:val="21"/>
                <w:szCs w:val="21"/>
              </w:rPr>
              <w:t>W ujęciu niepieniężnym</w:t>
            </w:r>
          </w:p>
        </w:tc>
        <w:tc>
          <w:tcPr>
            <w:tcW w:w="2293" w:type="dxa"/>
            <w:gridSpan w:val="6"/>
            <w:shd w:val="clear" w:color="auto" w:fill="FFFFFF"/>
          </w:tcPr>
          <w:p w:rsidR="00E24AEE" w:rsidRPr="00F61417" w:rsidRDefault="00E24AEE" w:rsidP="00811D46">
            <w:pPr>
              <w:spacing w:line="240" w:lineRule="auto"/>
              <w:rPr>
                <w:rFonts w:ascii="Times New Roman" w:hAnsi="Times New Roman"/>
                <w:color w:val="000000"/>
                <w:sz w:val="21"/>
                <w:szCs w:val="21"/>
              </w:rPr>
            </w:pPr>
            <w:r w:rsidRPr="00F61417">
              <w:rPr>
                <w:rFonts w:ascii="Times New Roman" w:hAnsi="Times New Roman"/>
                <w:color w:val="000000"/>
                <w:sz w:val="21"/>
                <w:szCs w:val="21"/>
              </w:rPr>
              <w:t>duże przedsiębiorstwa</w:t>
            </w:r>
          </w:p>
        </w:tc>
        <w:tc>
          <w:tcPr>
            <w:tcW w:w="7048" w:type="dxa"/>
            <w:gridSpan w:val="22"/>
            <w:shd w:val="clear" w:color="auto" w:fill="FFFFFF"/>
          </w:tcPr>
          <w:p w:rsidR="00E24AEE" w:rsidRPr="00480FDF" w:rsidRDefault="00E24AEE" w:rsidP="00480FDF">
            <w:pPr>
              <w:spacing w:line="240" w:lineRule="auto"/>
              <w:rPr>
                <w:rFonts w:ascii="Times New Roman" w:hAnsi="Times New Roman"/>
                <w:color w:val="000000"/>
                <w:spacing w:val="-2"/>
                <w:sz w:val="21"/>
                <w:szCs w:val="21"/>
              </w:rPr>
            </w:pPr>
            <w:r w:rsidRPr="00480FDF">
              <w:rPr>
                <w:rFonts w:ascii="Times New Roman" w:hAnsi="Times New Roman"/>
                <w:color w:val="000000"/>
                <w:spacing w:val="-2"/>
                <w:sz w:val="21"/>
                <w:szCs w:val="21"/>
              </w:rPr>
              <w:t>Stymulacja gospodarki zwiększająca popyt konsumpcyjny i inwestycyjny, a dodatkowo także aktywność zawodową.</w:t>
            </w:r>
          </w:p>
        </w:tc>
      </w:tr>
      <w:tr w:rsidR="00E24AEE" w:rsidRPr="00F61417" w:rsidTr="00676C8D">
        <w:trPr>
          <w:gridAfter w:val="1"/>
          <w:wAfter w:w="10" w:type="dxa"/>
          <w:trHeight w:val="142"/>
        </w:trPr>
        <w:tc>
          <w:tcPr>
            <w:tcW w:w="1596" w:type="dxa"/>
            <w:vMerge/>
            <w:shd w:val="clear" w:color="auto" w:fill="FFFFFF"/>
          </w:tcPr>
          <w:p w:rsidR="00E24AEE" w:rsidRPr="00F61417" w:rsidRDefault="00E24AEE" w:rsidP="00811D46">
            <w:pPr>
              <w:spacing w:line="240" w:lineRule="auto"/>
              <w:rPr>
                <w:rFonts w:ascii="Times New Roman" w:hAnsi="Times New Roman"/>
                <w:color w:val="000000"/>
                <w:sz w:val="21"/>
                <w:szCs w:val="21"/>
              </w:rPr>
            </w:pPr>
          </w:p>
        </w:tc>
        <w:tc>
          <w:tcPr>
            <w:tcW w:w="2293" w:type="dxa"/>
            <w:gridSpan w:val="6"/>
            <w:shd w:val="clear" w:color="auto" w:fill="FFFFFF"/>
          </w:tcPr>
          <w:p w:rsidR="00E24AEE" w:rsidRPr="00F61417" w:rsidRDefault="00E24AEE" w:rsidP="00811D46">
            <w:pPr>
              <w:spacing w:line="240" w:lineRule="auto"/>
              <w:rPr>
                <w:rFonts w:ascii="Times New Roman" w:hAnsi="Times New Roman"/>
                <w:color w:val="000000"/>
                <w:sz w:val="21"/>
                <w:szCs w:val="21"/>
              </w:rPr>
            </w:pPr>
            <w:r w:rsidRPr="00F61417">
              <w:rPr>
                <w:rFonts w:ascii="Times New Roman" w:hAnsi="Times New Roman"/>
                <w:color w:val="000000"/>
                <w:sz w:val="21"/>
                <w:szCs w:val="21"/>
              </w:rPr>
              <w:t>sektor mikro-, małych i średnich przedsiębiorstw</w:t>
            </w:r>
          </w:p>
        </w:tc>
        <w:tc>
          <w:tcPr>
            <w:tcW w:w="7048" w:type="dxa"/>
            <w:gridSpan w:val="22"/>
            <w:shd w:val="clear" w:color="auto" w:fill="FFFFFF"/>
          </w:tcPr>
          <w:p w:rsidR="00E24AEE" w:rsidRPr="00480FDF" w:rsidRDefault="00E24AEE" w:rsidP="0057579C">
            <w:pPr>
              <w:spacing w:line="240" w:lineRule="auto"/>
              <w:rPr>
                <w:rFonts w:ascii="Times New Roman" w:hAnsi="Times New Roman"/>
                <w:color w:val="000000"/>
                <w:spacing w:val="-2"/>
                <w:sz w:val="21"/>
                <w:szCs w:val="21"/>
              </w:rPr>
            </w:pPr>
            <w:r w:rsidRPr="00480FDF">
              <w:rPr>
                <w:rFonts w:ascii="Times New Roman" w:hAnsi="Times New Roman"/>
                <w:color w:val="000000"/>
                <w:spacing w:val="-2"/>
                <w:sz w:val="21"/>
                <w:szCs w:val="21"/>
              </w:rPr>
              <w:t xml:space="preserve">Stymulacja gospodarki zwiększająca popyt konsumpcyjny i inwestycyjny, a dodatkowo także aktywność zawodową. Podmioty, na które oddziałuje projekt, otrzymały </w:t>
            </w:r>
            <w:r w:rsidRPr="00480FDF">
              <w:rPr>
                <w:rFonts w:ascii="Times New Roman" w:hAnsi="Times New Roman"/>
                <w:i/>
                <w:color w:val="000000"/>
                <w:spacing w:val="-2"/>
                <w:sz w:val="21"/>
                <w:szCs w:val="21"/>
              </w:rPr>
              <w:t>de facto</w:t>
            </w:r>
            <w:r w:rsidRPr="00480FDF">
              <w:rPr>
                <w:rFonts w:ascii="Times New Roman" w:hAnsi="Times New Roman"/>
                <w:color w:val="000000"/>
                <w:spacing w:val="-2"/>
                <w:sz w:val="21"/>
                <w:szCs w:val="21"/>
              </w:rPr>
              <w:t xml:space="preserve"> ekwiwalent obniżki podatków.</w:t>
            </w:r>
          </w:p>
        </w:tc>
      </w:tr>
      <w:tr w:rsidR="00E24AEE" w:rsidRPr="00F61417" w:rsidTr="00676C8D">
        <w:trPr>
          <w:gridAfter w:val="1"/>
          <w:wAfter w:w="10" w:type="dxa"/>
          <w:trHeight w:val="596"/>
        </w:trPr>
        <w:tc>
          <w:tcPr>
            <w:tcW w:w="1596" w:type="dxa"/>
            <w:vMerge/>
            <w:shd w:val="clear" w:color="auto" w:fill="FFFFFF"/>
          </w:tcPr>
          <w:p w:rsidR="00E24AEE" w:rsidRPr="00F61417" w:rsidRDefault="00E24AEE" w:rsidP="00811D46">
            <w:pPr>
              <w:spacing w:line="240" w:lineRule="auto"/>
              <w:rPr>
                <w:rFonts w:ascii="Times New Roman" w:hAnsi="Times New Roman"/>
                <w:color w:val="000000"/>
                <w:sz w:val="21"/>
                <w:szCs w:val="21"/>
              </w:rPr>
            </w:pPr>
          </w:p>
        </w:tc>
        <w:tc>
          <w:tcPr>
            <w:tcW w:w="2293" w:type="dxa"/>
            <w:gridSpan w:val="6"/>
            <w:shd w:val="clear" w:color="auto" w:fill="FFFFFF"/>
          </w:tcPr>
          <w:p w:rsidR="00E24AEE" w:rsidRPr="00F61417" w:rsidRDefault="00E24AEE" w:rsidP="00955774">
            <w:pPr>
              <w:tabs>
                <w:tab w:val="right" w:pos="1936"/>
              </w:tabs>
              <w:spacing w:line="240" w:lineRule="auto"/>
              <w:rPr>
                <w:rFonts w:ascii="Times New Roman" w:hAnsi="Times New Roman"/>
                <w:color w:val="000000"/>
                <w:sz w:val="21"/>
                <w:szCs w:val="21"/>
              </w:rPr>
            </w:pPr>
            <w:r w:rsidRPr="00F61417">
              <w:rPr>
                <w:rFonts w:ascii="Times New Roman" w:hAnsi="Times New Roman"/>
                <w:sz w:val="21"/>
                <w:szCs w:val="21"/>
              </w:rPr>
              <w:t>rodzina, obywatele oraz gospodarstwa domowe</w:t>
            </w:r>
            <w:r w:rsidRPr="00F61417">
              <w:rPr>
                <w:rFonts w:ascii="Times New Roman" w:hAnsi="Times New Roman"/>
                <w:color w:val="000000"/>
                <w:sz w:val="21"/>
                <w:szCs w:val="21"/>
              </w:rPr>
              <w:t xml:space="preserve"> </w:t>
            </w:r>
          </w:p>
        </w:tc>
        <w:tc>
          <w:tcPr>
            <w:tcW w:w="7048" w:type="dxa"/>
            <w:gridSpan w:val="22"/>
            <w:shd w:val="clear" w:color="auto" w:fill="FFFFFF"/>
          </w:tcPr>
          <w:p w:rsidR="00E24AEE" w:rsidRPr="00480FDF" w:rsidRDefault="00E24AEE" w:rsidP="004D709A">
            <w:pPr>
              <w:spacing w:line="240" w:lineRule="auto"/>
              <w:rPr>
                <w:rFonts w:ascii="Times New Roman" w:hAnsi="Times New Roman"/>
                <w:color w:val="000000"/>
                <w:spacing w:val="-2"/>
                <w:sz w:val="21"/>
                <w:szCs w:val="21"/>
              </w:rPr>
            </w:pPr>
            <w:r w:rsidRPr="00480FDF">
              <w:rPr>
                <w:rFonts w:ascii="Times New Roman" w:hAnsi="Times New Roman"/>
                <w:color w:val="000000"/>
                <w:spacing w:val="-2"/>
                <w:sz w:val="21"/>
                <w:szCs w:val="21"/>
              </w:rPr>
              <w:t xml:space="preserve">Osoby prowadzące małą działalność gospodarczą zostaną objęte systemem, który zmniejszy ich obciążenia </w:t>
            </w:r>
            <w:proofErr w:type="spellStart"/>
            <w:r w:rsidRPr="00480FDF">
              <w:rPr>
                <w:rFonts w:ascii="Times New Roman" w:hAnsi="Times New Roman"/>
                <w:color w:val="000000"/>
                <w:spacing w:val="-2"/>
                <w:sz w:val="21"/>
                <w:szCs w:val="21"/>
              </w:rPr>
              <w:t>parapodatkowe</w:t>
            </w:r>
            <w:proofErr w:type="spellEnd"/>
            <w:r w:rsidRPr="00480FDF">
              <w:rPr>
                <w:rFonts w:ascii="Times New Roman" w:hAnsi="Times New Roman"/>
                <w:color w:val="000000"/>
                <w:spacing w:val="-2"/>
                <w:sz w:val="21"/>
                <w:szCs w:val="21"/>
              </w:rPr>
              <w:t>, zwiększając rentowność działalności oraz osiągany przez nie dochód (ekwiwalent obniżki podatków).</w:t>
            </w:r>
          </w:p>
        </w:tc>
      </w:tr>
      <w:tr w:rsidR="00E24AEE" w:rsidRPr="00F61417" w:rsidTr="00676C8D">
        <w:trPr>
          <w:gridAfter w:val="1"/>
          <w:wAfter w:w="10" w:type="dxa"/>
          <w:trHeight w:val="142"/>
        </w:trPr>
        <w:tc>
          <w:tcPr>
            <w:tcW w:w="1596" w:type="dxa"/>
            <w:shd w:val="clear" w:color="auto" w:fill="FFFFFF"/>
          </w:tcPr>
          <w:p w:rsidR="00E24AEE" w:rsidRPr="00F61417" w:rsidRDefault="00E24AEE" w:rsidP="00811D46">
            <w:pPr>
              <w:spacing w:line="240" w:lineRule="auto"/>
              <w:rPr>
                <w:rFonts w:ascii="Times New Roman" w:hAnsi="Times New Roman"/>
                <w:color w:val="000000"/>
                <w:sz w:val="21"/>
                <w:szCs w:val="21"/>
              </w:rPr>
            </w:pPr>
            <w:r w:rsidRPr="00F61417">
              <w:rPr>
                <w:rFonts w:ascii="Times New Roman" w:hAnsi="Times New Roman"/>
                <w:color w:val="000000"/>
                <w:sz w:val="21"/>
                <w:szCs w:val="21"/>
              </w:rPr>
              <w:t>Niemierzalne</w:t>
            </w:r>
          </w:p>
        </w:tc>
        <w:tc>
          <w:tcPr>
            <w:tcW w:w="2293" w:type="dxa"/>
            <w:gridSpan w:val="6"/>
            <w:shd w:val="clear" w:color="auto" w:fill="FFFFFF"/>
          </w:tcPr>
          <w:p w:rsidR="00E24AEE" w:rsidRPr="00F61417" w:rsidRDefault="00E24AEE" w:rsidP="00811D46">
            <w:pPr>
              <w:spacing w:line="240" w:lineRule="auto"/>
              <w:rPr>
                <w:rFonts w:ascii="Times New Roman" w:hAnsi="Times New Roman"/>
                <w:color w:val="000000"/>
                <w:sz w:val="21"/>
                <w:szCs w:val="21"/>
              </w:rPr>
            </w:pPr>
          </w:p>
        </w:tc>
        <w:tc>
          <w:tcPr>
            <w:tcW w:w="7048" w:type="dxa"/>
            <w:gridSpan w:val="22"/>
            <w:shd w:val="clear" w:color="auto" w:fill="FFFFFF"/>
          </w:tcPr>
          <w:p w:rsidR="00E24AEE" w:rsidRPr="00480FDF" w:rsidRDefault="00E24AEE" w:rsidP="00925C11">
            <w:pPr>
              <w:spacing w:line="240" w:lineRule="auto"/>
              <w:rPr>
                <w:rFonts w:ascii="Times New Roman" w:hAnsi="Times New Roman"/>
                <w:color w:val="000000"/>
                <w:spacing w:val="-2"/>
                <w:sz w:val="21"/>
                <w:szCs w:val="21"/>
              </w:rPr>
            </w:pPr>
            <w:r w:rsidRPr="00480FDF">
              <w:rPr>
                <w:rFonts w:ascii="Times New Roman" w:hAnsi="Times New Roman"/>
                <w:color w:val="000000"/>
                <w:spacing w:val="-2"/>
                <w:sz w:val="21"/>
                <w:szCs w:val="21"/>
              </w:rPr>
              <w:t>Zmniejszenie szarej strefy (wg szacunków GUS ok. 600 tys. przedsiębiorców działa w szarej strefie).</w:t>
            </w:r>
          </w:p>
        </w:tc>
      </w:tr>
      <w:tr w:rsidR="00E24AEE" w:rsidRPr="00F61417" w:rsidTr="00676C8D">
        <w:trPr>
          <w:gridAfter w:val="1"/>
          <w:wAfter w:w="10" w:type="dxa"/>
          <w:trHeight w:val="1643"/>
        </w:trPr>
        <w:tc>
          <w:tcPr>
            <w:tcW w:w="2243" w:type="dxa"/>
            <w:gridSpan w:val="2"/>
            <w:shd w:val="clear" w:color="auto" w:fill="FFFFFF"/>
          </w:tcPr>
          <w:p w:rsidR="00E24AEE" w:rsidRPr="00F61417" w:rsidRDefault="00E24AEE" w:rsidP="00821717">
            <w:pPr>
              <w:spacing w:line="240" w:lineRule="auto"/>
              <w:rPr>
                <w:rFonts w:ascii="Times New Roman" w:hAnsi="Times New Roman"/>
                <w:color w:val="000000"/>
                <w:sz w:val="21"/>
                <w:szCs w:val="21"/>
              </w:rPr>
            </w:pPr>
            <w:r w:rsidRPr="00F61417">
              <w:rPr>
                <w:rFonts w:ascii="Times New Roman" w:hAnsi="Times New Roman"/>
                <w:color w:val="000000"/>
                <w:sz w:val="21"/>
                <w:szCs w:val="21"/>
              </w:rPr>
              <w:t xml:space="preserve">Dodatkowe informacje, w tym wskazanie źródeł danych i przyjętych do obliczeń założeń </w:t>
            </w:r>
          </w:p>
        </w:tc>
        <w:tc>
          <w:tcPr>
            <w:tcW w:w="8694" w:type="dxa"/>
            <w:gridSpan w:val="27"/>
            <w:shd w:val="clear" w:color="auto" w:fill="FFFFFF"/>
            <w:vAlign w:val="center"/>
          </w:tcPr>
          <w:p w:rsidR="00A84864" w:rsidRDefault="00A84864" w:rsidP="00A84864">
            <w:pPr>
              <w:spacing w:line="240" w:lineRule="auto"/>
              <w:ind w:left="720"/>
              <w:jc w:val="both"/>
              <w:rPr>
                <w:rFonts w:ascii="Times New Roman" w:hAnsi="Times New Roman"/>
                <w:color w:val="000000"/>
                <w:sz w:val="21"/>
                <w:szCs w:val="21"/>
              </w:rPr>
            </w:pPr>
          </w:p>
          <w:p w:rsidR="003678C3" w:rsidRPr="00F61417" w:rsidRDefault="003678C3" w:rsidP="003678C3">
            <w:pPr>
              <w:numPr>
                <w:ilvl w:val="0"/>
                <w:numId w:val="27"/>
              </w:numPr>
              <w:spacing w:line="240" w:lineRule="auto"/>
              <w:jc w:val="both"/>
              <w:rPr>
                <w:rFonts w:ascii="Times New Roman" w:hAnsi="Times New Roman"/>
                <w:color w:val="000000"/>
                <w:sz w:val="21"/>
                <w:szCs w:val="21"/>
              </w:rPr>
            </w:pPr>
            <w:r w:rsidRPr="00F61417">
              <w:rPr>
                <w:rFonts w:ascii="Times New Roman" w:hAnsi="Times New Roman"/>
                <w:color w:val="000000"/>
                <w:sz w:val="21"/>
                <w:szCs w:val="21"/>
              </w:rPr>
              <w:t>Wytyczne dotyczące stosowania jednolitych wskaźników makroekonomicznych będących podstawą oszacowania skutków finansowych projektowanych ustaw</w:t>
            </w:r>
            <w:r w:rsidR="00120075">
              <w:rPr>
                <w:rFonts w:ascii="Times New Roman" w:hAnsi="Times New Roman"/>
                <w:color w:val="000000"/>
                <w:sz w:val="21"/>
                <w:szCs w:val="21"/>
              </w:rPr>
              <w:t xml:space="preserve"> Aktualizacja – październik 2017</w:t>
            </w:r>
            <w:r w:rsidRPr="00F61417">
              <w:rPr>
                <w:rFonts w:ascii="Times New Roman" w:hAnsi="Times New Roman"/>
                <w:color w:val="000000"/>
                <w:sz w:val="21"/>
                <w:szCs w:val="21"/>
              </w:rPr>
              <w:t xml:space="preserve"> r.</w:t>
            </w:r>
          </w:p>
          <w:p w:rsidR="003678C3" w:rsidRPr="00F61417" w:rsidRDefault="003678C3" w:rsidP="003678C3">
            <w:pPr>
              <w:numPr>
                <w:ilvl w:val="0"/>
                <w:numId w:val="27"/>
              </w:numPr>
              <w:spacing w:line="240" w:lineRule="auto"/>
              <w:jc w:val="both"/>
              <w:rPr>
                <w:rFonts w:ascii="Times New Roman" w:hAnsi="Times New Roman"/>
                <w:color w:val="000000"/>
                <w:sz w:val="21"/>
                <w:szCs w:val="21"/>
              </w:rPr>
            </w:pPr>
            <w:r w:rsidRPr="00F61417">
              <w:rPr>
                <w:rFonts w:ascii="Times New Roman" w:hAnsi="Times New Roman"/>
                <w:color w:val="000000"/>
                <w:sz w:val="21"/>
                <w:szCs w:val="21"/>
              </w:rPr>
              <w:t>Baza danych o podatku dochodowym od osób fizycznych.</w:t>
            </w:r>
          </w:p>
          <w:p w:rsidR="003678C3" w:rsidRPr="00F61417" w:rsidRDefault="003678C3" w:rsidP="003678C3">
            <w:pPr>
              <w:numPr>
                <w:ilvl w:val="0"/>
                <w:numId w:val="27"/>
              </w:numPr>
              <w:spacing w:line="240" w:lineRule="auto"/>
              <w:jc w:val="both"/>
              <w:rPr>
                <w:rFonts w:ascii="Times New Roman" w:hAnsi="Times New Roman"/>
                <w:color w:val="000000"/>
                <w:sz w:val="21"/>
                <w:szCs w:val="21"/>
              </w:rPr>
            </w:pPr>
            <w:r w:rsidRPr="00F61417">
              <w:rPr>
                <w:rFonts w:ascii="Times New Roman" w:hAnsi="Times New Roman"/>
                <w:color w:val="000000"/>
                <w:sz w:val="21"/>
                <w:szCs w:val="21"/>
              </w:rPr>
              <w:t>Dane makroekonomiczne z różnych źródeł dotyczące podstawowych parametrów sfery realnej, procesów inflacyjnych, rynku pracy, sfery fiskalnej (MF, GUS, NBP, Eurostat).</w:t>
            </w:r>
          </w:p>
          <w:p w:rsidR="003678C3" w:rsidRDefault="003678C3" w:rsidP="003678C3">
            <w:pPr>
              <w:numPr>
                <w:ilvl w:val="0"/>
                <w:numId w:val="27"/>
              </w:numPr>
              <w:spacing w:line="240" w:lineRule="auto"/>
              <w:jc w:val="both"/>
              <w:rPr>
                <w:rFonts w:ascii="Times New Roman" w:hAnsi="Times New Roman"/>
                <w:color w:val="000000"/>
                <w:sz w:val="21"/>
                <w:szCs w:val="21"/>
              </w:rPr>
            </w:pPr>
            <w:r w:rsidRPr="00F61417">
              <w:rPr>
                <w:rFonts w:ascii="Times New Roman" w:hAnsi="Times New Roman"/>
                <w:color w:val="000000"/>
                <w:sz w:val="21"/>
                <w:szCs w:val="21"/>
              </w:rPr>
              <w:t>Do obliczeń przyjęto, że reguły polityki fiskalnej są wyłączone (tzn. że spadek dochodów z tytułu obciążeń przedsiębiorców nie będzie finansowany przez zacieśnienie fiskalne w innym obszarze).</w:t>
            </w:r>
          </w:p>
          <w:p w:rsidR="003A306D" w:rsidRPr="00F61417" w:rsidRDefault="003A306D" w:rsidP="00D71CB9">
            <w:pPr>
              <w:numPr>
                <w:ilvl w:val="0"/>
                <w:numId w:val="27"/>
              </w:numPr>
              <w:spacing w:line="240" w:lineRule="auto"/>
              <w:rPr>
                <w:rFonts w:ascii="Times New Roman" w:hAnsi="Times New Roman"/>
                <w:color w:val="000000"/>
                <w:sz w:val="21"/>
                <w:szCs w:val="21"/>
              </w:rPr>
            </w:pPr>
            <w:r>
              <w:rPr>
                <w:rFonts w:ascii="Times New Roman" w:hAnsi="Times New Roman"/>
                <w:color w:val="000000"/>
                <w:sz w:val="21"/>
                <w:szCs w:val="21"/>
              </w:rPr>
              <w:t xml:space="preserve">Wpływ na konkurencyjność </w:t>
            </w:r>
            <w:r w:rsidR="00BF26D0">
              <w:rPr>
                <w:rFonts w:ascii="Times New Roman" w:hAnsi="Times New Roman"/>
                <w:color w:val="000000"/>
                <w:sz w:val="21"/>
                <w:szCs w:val="21"/>
              </w:rPr>
              <w:t xml:space="preserve">i przedsiębiorczość </w:t>
            </w:r>
            <w:r>
              <w:rPr>
                <w:rFonts w:ascii="Times New Roman" w:hAnsi="Times New Roman"/>
                <w:color w:val="000000"/>
                <w:sz w:val="21"/>
                <w:szCs w:val="21"/>
              </w:rPr>
              <w:t>oszacowano z wykorzystaniem modelu makroekonomicznego polskiej gospodarki NECMOD</w:t>
            </w:r>
            <w:r w:rsidR="00DB489F">
              <w:rPr>
                <w:rFonts w:ascii="Times New Roman" w:hAnsi="Times New Roman"/>
                <w:color w:val="000000"/>
                <w:sz w:val="21"/>
                <w:szCs w:val="21"/>
              </w:rPr>
              <w:t xml:space="preserve"> (szczegółowa dokumentacja modelu </w:t>
            </w:r>
            <w:r w:rsidR="00DB489F">
              <w:rPr>
                <w:rFonts w:ascii="Times New Roman" w:hAnsi="Times New Roman"/>
                <w:color w:val="000000"/>
                <w:sz w:val="21"/>
                <w:szCs w:val="21"/>
              </w:rPr>
              <w:lastRenderedPageBreak/>
              <w:t xml:space="preserve">dostępna jest na stronie </w:t>
            </w:r>
            <w:hyperlink r:id="rId10" w:history="1">
              <w:r w:rsidR="00DB489F" w:rsidRPr="00627E8A">
                <w:rPr>
                  <w:rStyle w:val="Hipercze"/>
                  <w:rFonts w:ascii="Times New Roman" w:hAnsi="Times New Roman"/>
                  <w:sz w:val="21"/>
                  <w:szCs w:val="21"/>
                </w:rPr>
                <w:t>http://www.nbp.pl/home.aspx?f=/polityka_pieniezna/dokumenty/necmod.html</w:t>
              </w:r>
            </w:hyperlink>
            <w:r w:rsidR="00DB489F">
              <w:rPr>
                <w:rFonts w:ascii="Times New Roman" w:hAnsi="Times New Roman"/>
                <w:color w:val="000000"/>
                <w:sz w:val="21"/>
                <w:szCs w:val="21"/>
              </w:rPr>
              <w:t>) .</w:t>
            </w:r>
          </w:p>
          <w:p w:rsidR="003678C3" w:rsidRDefault="003678C3" w:rsidP="003678C3">
            <w:pPr>
              <w:numPr>
                <w:ilvl w:val="0"/>
                <w:numId w:val="27"/>
              </w:numPr>
              <w:spacing w:line="240" w:lineRule="auto"/>
              <w:jc w:val="both"/>
              <w:rPr>
                <w:rFonts w:ascii="Times New Roman" w:hAnsi="Times New Roman"/>
                <w:color w:val="000000"/>
                <w:sz w:val="21"/>
                <w:szCs w:val="21"/>
              </w:rPr>
            </w:pPr>
            <w:r w:rsidRPr="00F61417">
              <w:rPr>
                <w:rFonts w:ascii="Times New Roman" w:hAnsi="Times New Roman"/>
                <w:color w:val="000000"/>
                <w:sz w:val="21"/>
                <w:szCs w:val="21"/>
              </w:rPr>
              <w:t>W okresie symulacji udział przedsiębiorców spełniających kryteria kwalifikujące działalność do małej działalności gospodarczej w całości populacji osób prowadzących działalność gospodarczą jest stały.</w:t>
            </w:r>
          </w:p>
          <w:p w:rsidR="00E24AEE" w:rsidRDefault="003678C3" w:rsidP="00B37C80">
            <w:pPr>
              <w:numPr>
                <w:ilvl w:val="0"/>
                <w:numId w:val="27"/>
              </w:numPr>
              <w:spacing w:line="240" w:lineRule="auto"/>
              <w:jc w:val="both"/>
              <w:rPr>
                <w:rFonts w:ascii="Times New Roman" w:hAnsi="Times New Roman"/>
                <w:color w:val="000000"/>
                <w:sz w:val="21"/>
                <w:szCs w:val="21"/>
              </w:rPr>
            </w:pPr>
            <w:r>
              <w:rPr>
                <w:rFonts w:ascii="Times New Roman" w:hAnsi="Times New Roman"/>
                <w:color w:val="000000"/>
                <w:sz w:val="21"/>
                <w:szCs w:val="21"/>
              </w:rPr>
              <w:t>Pozytywny wpływ obniżenia obciążeń składkowych na rynek pracy oraz na produkt potencjalny przeważa nad efektami popytowymi przekładając się na niższą presję płacową oraz słabszy wzrost cen zmieniający warunki indeksacji wypłacanych świadczeń przez sektor ub. społecznych.</w:t>
            </w:r>
          </w:p>
          <w:p w:rsidR="00906248" w:rsidRPr="00D730D3" w:rsidRDefault="00906248" w:rsidP="00906248">
            <w:pPr>
              <w:spacing w:line="240" w:lineRule="auto"/>
              <w:ind w:left="720"/>
              <w:jc w:val="both"/>
              <w:rPr>
                <w:rFonts w:ascii="Times New Roman" w:hAnsi="Times New Roman"/>
                <w:color w:val="000000"/>
                <w:sz w:val="21"/>
                <w:szCs w:val="21"/>
              </w:rPr>
            </w:pPr>
          </w:p>
        </w:tc>
      </w:tr>
      <w:tr w:rsidR="00E24AEE" w:rsidRPr="00F61417" w:rsidTr="00676C8D">
        <w:trPr>
          <w:gridAfter w:val="1"/>
          <w:wAfter w:w="10" w:type="dxa"/>
          <w:trHeight w:val="342"/>
        </w:trPr>
        <w:tc>
          <w:tcPr>
            <w:tcW w:w="10937" w:type="dxa"/>
            <w:gridSpan w:val="29"/>
            <w:shd w:val="clear" w:color="auto" w:fill="99CCFF"/>
            <w:vAlign w:val="center"/>
          </w:tcPr>
          <w:p w:rsidR="00E24AEE" w:rsidRPr="00F61417" w:rsidRDefault="00E24AEE" w:rsidP="004F4E17">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color w:val="000000"/>
              </w:rPr>
              <w:lastRenderedPageBreak/>
              <w:t xml:space="preserve"> Zmiana obciążeń regulacyjnych (w tym obowiązków informacyjnych) wynikających z projektu</w:t>
            </w:r>
          </w:p>
        </w:tc>
      </w:tr>
      <w:tr w:rsidR="00E24AEE" w:rsidRPr="00F61417" w:rsidTr="00676C8D">
        <w:trPr>
          <w:gridAfter w:val="1"/>
          <w:wAfter w:w="10" w:type="dxa"/>
          <w:trHeight w:val="151"/>
        </w:trPr>
        <w:tc>
          <w:tcPr>
            <w:tcW w:w="10937" w:type="dxa"/>
            <w:gridSpan w:val="29"/>
            <w:shd w:val="clear" w:color="auto" w:fill="FFFFFF"/>
          </w:tcPr>
          <w:p w:rsidR="00E24AEE" w:rsidRPr="00F61417" w:rsidRDefault="00E24AEE" w:rsidP="004F4E17">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Pr>
                <w:rFonts w:ascii="Times New Roman" w:hAnsi="Times New Roman"/>
                <w:color w:val="000000"/>
              </w:rPr>
              <w:fldChar w:fldCharType="end"/>
            </w:r>
            <w:r w:rsidRPr="00F61417">
              <w:rPr>
                <w:rFonts w:ascii="Times New Roman" w:hAnsi="Times New Roman"/>
                <w:color w:val="000000"/>
              </w:rPr>
              <w:t xml:space="preserve"> </w:t>
            </w:r>
            <w:r w:rsidRPr="00F61417">
              <w:rPr>
                <w:rFonts w:ascii="Times New Roman" w:hAnsi="Times New Roman"/>
                <w:color w:val="000000"/>
                <w:spacing w:val="-2"/>
              </w:rPr>
              <w:t>nie dotyczy</w:t>
            </w:r>
          </w:p>
        </w:tc>
      </w:tr>
      <w:tr w:rsidR="00E24AEE" w:rsidRPr="00F61417" w:rsidTr="00676C8D">
        <w:trPr>
          <w:gridAfter w:val="1"/>
          <w:wAfter w:w="10" w:type="dxa"/>
          <w:trHeight w:val="946"/>
        </w:trPr>
        <w:tc>
          <w:tcPr>
            <w:tcW w:w="5111" w:type="dxa"/>
            <w:gridSpan w:val="12"/>
            <w:shd w:val="clear" w:color="auto" w:fill="FFFFFF"/>
          </w:tcPr>
          <w:p w:rsidR="00E24AEE" w:rsidRPr="00F61417" w:rsidRDefault="00E24AEE" w:rsidP="001B3460">
            <w:pPr>
              <w:rPr>
                <w:rFonts w:ascii="Times New Roman" w:hAnsi="Times New Roman"/>
                <w:color w:val="000000"/>
                <w:spacing w:val="-2"/>
              </w:rPr>
            </w:pPr>
            <w:r w:rsidRPr="00F61417">
              <w:rPr>
                <w:rFonts w:ascii="Times New Roman" w:hAnsi="Times New Roman"/>
                <w:color w:val="000000"/>
                <w:spacing w:val="-2"/>
              </w:rPr>
              <w:t xml:space="preserve">Wprowadzane są obciążenia poza bezwzględnie wymaganymi przez UE </w:t>
            </w:r>
            <w:r w:rsidRPr="00F61417">
              <w:rPr>
                <w:rFonts w:ascii="Times New Roman" w:hAnsi="Times New Roman"/>
                <w:color w:val="000000"/>
              </w:rPr>
              <w:t>(szczegóły w odwróconej tabeli zgodności).</w:t>
            </w:r>
          </w:p>
        </w:tc>
        <w:tc>
          <w:tcPr>
            <w:tcW w:w="5826" w:type="dxa"/>
            <w:gridSpan w:val="17"/>
            <w:shd w:val="clear" w:color="auto" w:fill="FFFFFF"/>
          </w:tcPr>
          <w:p w:rsidR="00E24AEE" w:rsidRPr="00F61417" w:rsidRDefault="00E24AEE" w:rsidP="004F4E17">
            <w:pPr>
              <w:spacing w:line="240" w:lineRule="auto"/>
              <w:rPr>
                <w:rFonts w:ascii="Times New Roman" w:hAnsi="Times New Roman"/>
                <w:color w:val="000000"/>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rPr>
              <w:t xml:space="preserve"> tak</w:t>
            </w:r>
          </w:p>
          <w:p w:rsidR="00E24AEE" w:rsidRPr="00F61417" w:rsidRDefault="00E24AEE" w:rsidP="004F4E17">
            <w:pPr>
              <w:spacing w:line="240" w:lineRule="auto"/>
              <w:rPr>
                <w:rFonts w:ascii="Times New Roman" w:hAnsi="Times New Roman"/>
                <w:color w:val="000000"/>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rPr>
              <w:t xml:space="preserve"> nie</w:t>
            </w:r>
          </w:p>
          <w:p w:rsidR="00E24AEE" w:rsidRPr="00F61417" w:rsidRDefault="00E24AEE" w:rsidP="004F4E17">
            <w:pPr>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Pr>
                <w:rFonts w:ascii="Times New Roman" w:hAnsi="Times New Roman"/>
                <w:color w:val="000000"/>
              </w:rPr>
              <w:fldChar w:fldCharType="end"/>
            </w:r>
            <w:r w:rsidRPr="00F61417">
              <w:rPr>
                <w:rFonts w:ascii="Times New Roman" w:hAnsi="Times New Roman"/>
                <w:color w:val="000000"/>
              </w:rPr>
              <w:t xml:space="preserve"> nie dotyczy</w:t>
            </w:r>
          </w:p>
        </w:tc>
      </w:tr>
      <w:tr w:rsidR="00E24AEE" w:rsidRPr="00F61417" w:rsidTr="00676C8D">
        <w:trPr>
          <w:gridAfter w:val="1"/>
          <w:wAfter w:w="10" w:type="dxa"/>
          <w:trHeight w:val="1245"/>
        </w:trPr>
        <w:tc>
          <w:tcPr>
            <w:tcW w:w="5111" w:type="dxa"/>
            <w:gridSpan w:val="12"/>
            <w:shd w:val="clear" w:color="auto" w:fill="FFFFFF"/>
          </w:tcPr>
          <w:p w:rsidR="00E24AEE" w:rsidRPr="00F61417" w:rsidRDefault="00E24AEE" w:rsidP="00AE6CF8">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 xml:space="preserve">zmniejszenie liczby dokumentów </w:t>
            </w:r>
          </w:p>
          <w:p w:rsidR="00E24AEE" w:rsidRPr="00F61417" w:rsidRDefault="00E24AEE" w:rsidP="00AE6CF8">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zmniejszenie liczby procedur</w:t>
            </w:r>
          </w:p>
          <w:p w:rsidR="00E24AEE" w:rsidRPr="00F61417" w:rsidRDefault="00E24AEE" w:rsidP="00AE6CF8">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skrócenie czasu na załatwienie sprawy</w:t>
            </w:r>
          </w:p>
          <w:p w:rsidR="00E24AEE" w:rsidRPr="00F61417" w:rsidRDefault="00E24AEE" w:rsidP="00AE6CF8">
            <w:pPr>
              <w:rPr>
                <w:rFonts w:ascii="Times New Roman" w:hAnsi="Times New Roman"/>
                <w:b/>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inne:</w:t>
            </w:r>
            <w:r w:rsidRPr="00F61417">
              <w:rPr>
                <w:rFonts w:ascii="Times New Roman" w:hAnsi="Times New Roman"/>
                <w:color w:val="000000"/>
              </w:rPr>
              <w:t xml:space="preserve"> </w:t>
            </w:r>
            <w:r w:rsidRPr="00F61417">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F61417">
              <w:rPr>
                <w:rFonts w:ascii="Times New Roman" w:hAnsi="Times New Roman"/>
                <w:color w:val="000000"/>
              </w:rPr>
              <w:instrText xml:space="preserve"> FORMTEXT </w:instrText>
            </w:r>
            <w:r w:rsidRPr="00F61417">
              <w:rPr>
                <w:rFonts w:ascii="Times New Roman" w:hAnsi="Times New Roman"/>
                <w:color w:val="000000"/>
              </w:rPr>
            </w:r>
            <w:r w:rsidRPr="00F61417">
              <w:rPr>
                <w:rFonts w:ascii="Times New Roman" w:hAnsi="Times New Roman"/>
                <w:color w:val="000000"/>
              </w:rPr>
              <w:fldChar w:fldCharType="separate"/>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color w:val="000000"/>
              </w:rPr>
              <w:fldChar w:fldCharType="end"/>
            </w:r>
          </w:p>
        </w:tc>
        <w:tc>
          <w:tcPr>
            <w:tcW w:w="5826" w:type="dxa"/>
            <w:gridSpan w:val="17"/>
            <w:shd w:val="clear" w:color="auto" w:fill="FFFFFF"/>
          </w:tcPr>
          <w:p w:rsidR="00E24AEE" w:rsidRPr="00F61417" w:rsidRDefault="00E24AEE" w:rsidP="00AE6CF8">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zwiększenie liczby dokumentów</w:t>
            </w:r>
          </w:p>
          <w:p w:rsidR="00E24AEE" w:rsidRPr="00F61417" w:rsidRDefault="00E24AEE" w:rsidP="00AE6CF8">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zwiększenie liczby procedur</w:t>
            </w:r>
          </w:p>
          <w:p w:rsidR="00E24AEE" w:rsidRPr="00F61417" w:rsidRDefault="00E24AEE" w:rsidP="00AE6CF8">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wydłużenie czasu na załatwienie sprawy</w:t>
            </w:r>
          </w:p>
          <w:p w:rsidR="00E24AEE" w:rsidRPr="00F61417" w:rsidRDefault="00E24AEE" w:rsidP="00AE6CF8">
            <w:pPr>
              <w:spacing w:line="240" w:lineRule="auto"/>
              <w:rPr>
                <w:rFonts w:ascii="Times New Roman" w:hAnsi="Times New Roman"/>
                <w:color w:val="000000"/>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inne:</w:t>
            </w:r>
            <w:r w:rsidRPr="00F61417">
              <w:rPr>
                <w:rFonts w:ascii="Times New Roman" w:hAnsi="Times New Roman"/>
                <w:color w:val="000000"/>
              </w:rPr>
              <w:t xml:space="preserve"> </w:t>
            </w:r>
            <w:r w:rsidRPr="00F61417">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F61417">
              <w:rPr>
                <w:rFonts w:ascii="Times New Roman" w:hAnsi="Times New Roman"/>
                <w:color w:val="000000"/>
              </w:rPr>
              <w:instrText xml:space="preserve"> FORMTEXT </w:instrText>
            </w:r>
            <w:r w:rsidRPr="00F61417">
              <w:rPr>
                <w:rFonts w:ascii="Times New Roman" w:hAnsi="Times New Roman"/>
                <w:color w:val="000000"/>
              </w:rPr>
            </w:r>
            <w:r w:rsidRPr="00F61417">
              <w:rPr>
                <w:rFonts w:ascii="Times New Roman" w:hAnsi="Times New Roman"/>
                <w:color w:val="000000"/>
              </w:rPr>
              <w:fldChar w:fldCharType="separate"/>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color w:val="000000"/>
              </w:rPr>
              <w:fldChar w:fldCharType="end"/>
            </w:r>
          </w:p>
          <w:p w:rsidR="00E24AEE" w:rsidRPr="00F61417" w:rsidRDefault="00E24AEE" w:rsidP="00AE6CF8">
            <w:pPr>
              <w:spacing w:line="240" w:lineRule="auto"/>
              <w:rPr>
                <w:rFonts w:ascii="Times New Roman" w:hAnsi="Times New Roman"/>
                <w:color w:val="000000"/>
              </w:rPr>
            </w:pPr>
          </w:p>
        </w:tc>
      </w:tr>
      <w:tr w:rsidR="00E24AEE" w:rsidRPr="00F61417" w:rsidTr="00217300">
        <w:trPr>
          <w:gridAfter w:val="1"/>
          <w:wAfter w:w="10" w:type="dxa"/>
          <w:trHeight w:val="77"/>
        </w:trPr>
        <w:tc>
          <w:tcPr>
            <w:tcW w:w="5111" w:type="dxa"/>
            <w:gridSpan w:val="12"/>
            <w:shd w:val="clear" w:color="auto" w:fill="FFFFFF"/>
          </w:tcPr>
          <w:p w:rsidR="00E24AEE" w:rsidRPr="00F61417" w:rsidRDefault="00E24AEE" w:rsidP="004F4E17">
            <w:pPr>
              <w:spacing w:line="240" w:lineRule="auto"/>
              <w:rPr>
                <w:rFonts w:ascii="Times New Roman" w:hAnsi="Times New Roman"/>
                <w:color w:val="000000"/>
              </w:rPr>
            </w:pPr>
            <w:r w:rsidRPr="00F61417">
              <w:rPr>
                <w:rFonts w:ascii="Times New Roman" w:hAnsi="Times New Roman"/>
                <w:color w:val="000000"/>
                <w:spacing w:val="-2"/>
              </w:rPr>
              <w:t xml:space="preserve">Wprowadzane obciążenia są przystosowane do ich elektronizacji. </w:t>
            </w:r>
          </w:p>
        </w:tc>
        <w:tc>
          <w:tcPr>
            <w:tcW w:w="5826" w:type="dxa"/>
            <w:gridSpan w:val="17"/>
            <w:shd w:val="clear" w:color="auto" w:fill="FFFFFF"/>
          </w:tcPr>
          <w:p w:rsidR="00E24AEE" w:rsidRPr="00F61417" w:rsidRDefault="00E24AEE" w:rsidP="00BF0DA2">
            <w:pPr>
              <w:spacing w:line="240" w:lineRule="auto"/>
              <w:rPr>
                <w:rFonts w:ascii="Times New Roman" w:hAnsi="Times New Roman"/>
                <w:color w:val="000000"/>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rPr>
              <w:t xml:space="preserve"> tak</w:t>
            </w:r>
          </w:p>
          <w:p w:rsidR="00E24AEE" w:rsidRPr="00F61417" w:rsidRDefault="00E24AEE" w:rsidP="00BF0DA2">
            <w:pPr>
              <w:spacing w:line="240" w:lineRule="auto"/>
              <w:rPr>
                <w:rFonts w:ascii="Times New Roman" w:hAnsi="Times New Roman"/>
                <w:color w:val="000000"/>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rPr>
              <w:t xml:space="preserve"> nie</w:t>
            </w:r>
          </w:p>
          <w:p w:rsidR="00E24AEE" w:rsidRPr="00F61417" w:rsidRDefault="00E24AEE" w:rsidP="00BF0DA2">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Pr>
                <w:rFonts w:ascii="Times New Roman" w:hAnsi="Times New Roman"/>
                <w:color w:val="000000"/>
              </w:rPr>
              <w:fldChar w:fldCharType="end"/>
            </w:r>
            <w:r w:rsidR="00367BA7">
              <w:rPr>
                <w:rFonts w:ascii="Times New Roman" w:hAnsi="Times New Roman"/>
                <w:color w:val="000000"/>
              </w:rPr>
              <w:t xml:space="preserve"> nie dotyczy</w:t>
            </w:r>
          </w:p>
        </w:tc>
      </w:tr>
      <w:tr w:rsidR="00E24AEE" w:rsidRPr="00F61417" w:rsidTr="00676C8D">
        <w:trPr>
          <w:gridAfter w:val="1"/>
          <w:wAfter w:w="10" w:type="dxa"/>
          <w:trHeight w:val="142"/>
        </w:trPr>
        <w:tc>
          <w:tcPr>
            <w:tcW w:w="10937" w:type="dxa"/>
            <w:gridSpan w:val="29"/>
            <w:shd w:val="clear" w:color="auto" w:fill="99CCFF"/>
          </w:tcPr>
          <w:p w:rsidR="00E24AEE" w:rsidRPr="00F61417" w:rsidRDefault="00E24AEE" w:rsidP="00BF109C">
            <w:pPr>
              <w:numPr>
                <w:ilvl w:val="0"/>
                <w:numId w:val="3"/>
              </w:numPr>
              <w:spacing w:before="60" w:after="60" w:line="240" w:lineRule="auto"/>
              <w:jc w:val="both"/>
              <w:rPr>
                <w:rFonts w:ascii="Times New Roman" w:hAnsi="Times New Roman"/>
                <w:b/>
                <w:color w:val="000000"/>
              </w:rPr>
            </w:pPr>
            <w:r w:rsidRPr="00F61417">
              <w:rPr>
                <w:rFonts w:ascii="Times New Roman" w:hAnsi="Times New Roman"/>
                <w:b/>
                <w:color w:val="000000"/>
              </w:rPr>
              <w:t xml:space="preserve">Wpływ na rynek pracy </w:t>
            </w:r>
          </w:p>
        </w:tc>
      </w:tr>
      <w:tr w:rsidR="00E24AEE" w:rsidRPr="00F61417" w:rsidTr="00676C8D">
        <w:trPr>
          <w:gridAfter w:val="1"/>
          <w:wAfter w:w="10" w:type="dxa"/>
          <w:trHeight w:val="142"/>
        </w:trPr>
        <w:tc>
          <w:tcPr>
            <w:tcW w:w="10937" w:type="dxa"/>
            <w:gridSpan w:val="29"/>
            <w:shd w:val="clear" w:color="auto" w:fill="auto"/>
          </w:tcPr>
          <w:p w:rsidR="00E24AEE" w:rsidRPr="00F61417" w:rsidRDefault="00E24AEE" w:rsidP="00B37C80">
            <w:pPr>
              <w:spacing w:line="240" w:lineRule="auto"/>
              <w:jc w:val="both"/>
              <w:rPr>
                <w:rFonts w:ascii="Times New Roman" w:hAnsi="Times New Roman"/>
                <w:color w:val="000000"/>
              </w:rPr>
            </w:pPr>
          </w:p>
          <w:p w:rsidR="00E24AEE" w:rsidRPr="00F61417" w:rsidRDefault="00E24AEE" w:rsidP="00B37C80">
            <w:pPr>
              <w:spacing w:line="240" w:lineRule="auto"/>
              <w:jc w:val="both"/>
              <w:rPr>
                <w:rFonts w:ascii="Times New Roman" w:hAnsi="Times New Roman"/>
                <w:color w:val="000000"/>
              </w:rPr>
            </w:pPr>
            <w:r>
              <w:rPr>
                <w:rFonts w:ascii="Times New Roman" w:hAnsi="Times New Roman"/>
                <w:color w:val="000000"/>
              </w:rPr>
              <w:t xml:space="preserve">Obniżenie obciążeń </w:t>
            </w:r>
            <w:proofErr w:type="spellStart"/>
            <w:r>
              <w:rPr>
                <w:rFonts w:ascii="Times New Roman" w:hAnsi="Times New Roman"/>
                <w:color w:val="000000"/>
              </w:rPr>
              <w:t>parapodatkowych</w:t>
            </w:r>
            <w:proofErr w:type="spellEnd"/>
            <w:r>
              <w:rPr>
                <w:rFonts w:ascii="Times New Roman" w:hAnsi="Times New Roman"/>
                <w:color w:val="000000"/>
              </w:rPr>
              <w:t xml:space="preserve"> zwiększy podaż pracy i aktywność zawodową ludności. Szczególnie ten efekt będzie zauważalny w regionach o niższych dochodach mieszkańców oraz regionach wiejskich, gdzie osiągnięcie progu rentowności przez </w:t>
            </w:r>
            <w:proofErr w:type="spellStart"/>
            <w:r>
              <w:rPr>
                <w:rFonts w:ascii="Times New Roman" w:hAnsi="Times New Roman"/>
                <w:color w:val="000000"/>
              </w:rPr>
              <w:t>mikroprzedsiębiorców</w:t>
            </w:r>
            <w:proofErr w:type="spellEnd"/>
            <w:r>
              <w:rPr>
                <w:rFonts w:ascii="Times New Roman" w:hAnsi="Times New Roman"/>
                <w:color w:val="000000"/>
              </w:rPr>
              <w:t xml:space="preserve"> jest trudniejsze. Wzrost aktywności zawodowej będzie się wiązał z wejściem na rynek pracy osób niepracujących i nieposzukujących pracy (np. wykonujących opiekę nad dzieckiem) a także osób funkcjonujących w szarej strefie. Również można oczekiwać, że mniejsze obciążenia związane z ubezpieczeniami społecznymi zachęcą osoby bezrobotne, które już nie mogą skorzystać z tzw. preferencyjnej podstawy wymiaru dla osób rozpoczynających działalność do założenia własnej firmy. Dodatkowo należy się spodziewać wystąpienia efektu stymulacyjnego zmiany w postaci zwiększonego popytu na pracę.</w:t>
            </w:r>
          </w:p>
          <w:p w:rsidR="00E24AEE" w:rsidRPr="00F61417" w:rsidRDefault="00E24AEE" w:rsidP="00B37C80">
            <w:pPr>
              <w:spacing w:line="240" w:lineRule="auto"/>
              <w:jc w:val="both"/>
              <w:rPr>
                <w:rFonts w:ascii="Times New Roman" w:hAnsi="Times New Roman"/>
                <w:color w:val="000000"/>
              </w:rPr>
            </w:pPr>
          </w:p>
        </w:tc>
      </w:tr>
      <w:tr w:rsidR="00E24AEE" w:rsidRPr="00F61417" w:rsidTr="00676C8D">
        <w:trPr>
          <w:gridAfter w:val="1"/>
          <w:wAfter w:w="10" w:type="dxa"/>
          <w:trHeight w:val="142"/>
        </w:trPr>
        <w:tc>
          <w:tcPr>
            <w:tcW w:w="10937" w:type="dxa"/>
            <w:gridSpan w:val="29"/>
            <w:shd w:val="clear" w:color="auto" w:fill="99CCFF"/>
          </w:tcPr>
          <w:p w:rsidR="00E24AEE" w:rsidRPr="00F61417" w:rsidRDefault="00E24AEE" w:rsidP="00BF109C">
            <w:pPr>
              <w:numPr>
                <w:ilvl w:val="0"/>
                <w:numId w:val="3"/>
              </w:numPr>
              <w:spacing w:before="60" w:after="60" w:line="240" w:lineRule="auto"/>
              <w:jc w:val="both"/>
              <w:rPr>
                <w:rFonts w:ascii="Times New Roman" w:hAnsi="Times New Roman"/>
                <w:b/>
                <w:color w:val="000000"/>
              </w:rPr>
            </w:pPr>
            <w:r w:rsidRPr="00F61417">
              <w:rPr>
                <w:rFonts w:ascii="Times New Roman" w:hAnsi="Times New Roman"/>
                <w:b/>
                <w:color w:val="000000"/>
              </w:rPr>
              <w:t>Wpływ na pozostałe obszary</w:t>
            </w:r>
          </w:p>
        </w:tc>
      </w:tr>
      <w:tr w:rsidR="00E24AEE" w:rsidRPr="00F61417" w:rsidTr="00676C8D">
        <w:trPr>
          <w:gridAfter w:val="1"/>
          <w:wAfter w:w="10" w:type="dxa"/>
          <w:trHeight w:val="1031"/>
        </w:trPr>
        <w:tc>
          <w:tcPr>
            <w:tcW w:w="3547" w:type="dxa"/>
            <w:gridSpan w:val="5"/>
            <w:shd w:val="clear" w:color="auto" w:fill="FFFFFF"/>
          </w:tcPr>
          <w:p w:rsidR="00E24AEE" w:rsidRPr="00F61417" w:rsidRDefault="00E24AEE" w:rsidP="00254DED">
            <w:pPr>
              <w:spacing w:line="240" w:lineRule="auto"/>
              <w:rPr>
                <w:rFonts w:ascii="Times New Roman" w:hAnsi="Times New Roman"/>
                <w:color w:val="000000"/>
              </w:rPr>
            </w:pPr>
          </w:p>
          <w:p w:rsidR="00E24AEE" w:rsidRPr="00F61417" w:rsidRDefault="00E24AEE" w:rsidP="00254DED">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środowisko naturalne</w:t>
            </w:r>
          </w:p>
          <w:p w:rsidR="00E24AEE" w:rsidRPr="00F61417" w:rsidRDefault="00E24AEE" w:rsidP="006A701A">
            <w:pPr>
              <w:spacing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rPr>
              <w:t>sytuacja i rozwój regionalny</w:t>
            </w:r>
          </w:p>
          <w:p w:rsidR="00E24AEE" w:rsidRPr="00F61417" w:rsidRDefault="00E24AEE" w:rsidP="006A701A">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 xml:space="preserve">inne: </w:t>
            </w:r>
            <w:r w:rsidRPr="00F61417">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F61417">
              <w:rPr>
                <w:rFonts w:ascii="Times New Roman" w:hAnsi="Times New Roman"/>
                <w:color w:val="000000"/>
              </w:rPr>
              <w:instrText xml:space="preserve"> FORMTEXT </w:instrText>
            </w:r>
            <w:r w:rsidRPr="00F61417">
              <w:rPr>
                <w:rFonts w:ascii="Times New Roman" w:hAnsi="Times New Roman"/>
                <w:color w:val="000000"/>
              </w:rPr>
            </w:r>
            <w:r w:rsidRPr="00F61417">
              <w:rPr>
                <w:rFonts w:ascii="Times New Roman" w:hAnsi="Times New Roman"/>
                <w:color w:val="000000"/>
              </w:rPr>
              <w:fldChar w:fldCharType="separate"/>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noProof/>
                <w:color w:val="000000"/>
              </w:rPr>
              <w:t> </w:t>
            </w:r>
            <w:r w:rsidRPr="00F61417">
              <w:rPr>
                <w:rFonts w:ascii="Times New Roman" w:hAnsi="Times New Roman"/>
                <w:color w:val="000000"/>
              </w:rPr>
              <w:fldChar w:fldCharType="end"/>
            </w:r>
          </w:p>
        </w:tc>
        <w:tc>
          <w:tcPr>
            <w:tcW w:w="3687" w:type="dxa"/>
            <w:gridSpan w:val="15"/>
            <w:shd w:val="clear" w:color="auto" w:fill="FFFFFF"/>
          </w:tcPr>
          <w:p w:rsidR="00E24AEE" w:rsidRPr="00F61417" w:rsidRDefault="00E24AEE" w:rsidP="00254DED">
            <w:pPr>
              <w:spacing w:line="240" w:lineRule="auto"/>
              <w:rPr>
                <w:rFonts w:ascii="Times New Roman" w:hAnsi="Times New Roman"/>
                <w:color w:val="000000"/>
              </w:rPr>
            </w:pPr>
          </w:p>
          <w:p w:rsidR="00E24AEE" w:rsidRPr="00F61417" w:rsidRDefault="00E24AEE" w:rsidP="00254DED">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demografia</w:t>
            </w:r>
          </w:p>
          <w:p w:rsidR="00E24AEE" w:rsidRPr="00F61417" w:rsidRDefault="00E24AEE" w:rsidP="006A701A">
            <w:pPr>
              <w:spacing w:line="240" w:lineRule="auto"/>
              <w:rPr>
                <w:rFonts w:ascii="Times New Roman" w:hAnsi="Times New Roman"/>
                <w:color w:val="000000"/>
              </w:rPr>
            </w:pPr>
            <w:r w:rsidRPr="00F61417">
              <w:rPr>
                <w:rFonts w:ascii="Times New Roman" w:hAnsi="Times New Roman"/>
                <w:color w:val="000000"/>
              </w:rPr>
              <w:fldChar w:fldCharType="begin">
                <w:ffData>
                  <w:name w:val=""/>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rPr>
              <w:t>mienie państwowe</w:t>
            </w:r>
          </w:p>
        </w:tc>
        <w:tc>
          <w:tcPr>
            <w:tcW w:w="3703" w:type="dxa"/>
            <w:gridSpan w:val="9"/>
            <w:shd w:val="clear" w:color="auto" w:fill="FFFFFF"/>
          </w:tcPr>
          <w:p w:rsidR="00E24AEE" w:rsidRPr="00F61417" w:rsidRDefault="00E24AEE" w:rsidP="006A701A">
            <w:pPr>
              <w:spacing w:line="240" w:lineRule="auto"/>
              <w:rPr>
                <w:rFonts w:ascii="Times New Roman" w:hAnsi="Times New Roman"/>
                <w:color w:val="000000"/>
              </w:rPr>
            </w:pPr>
          </w:p>
          <w:p w:rsidR="00E24AEE" w:rsidRPr="00F61417" w:rsidRDefault="00E24AEE" w:rsidP="006A701A">
            <w:pPr>
              <w:spacing w:line="240" w:lineRule="auto"/>
              <w:rPr>
                <w:rFonts w:ascii="Times New Roman" w:hAnsi="Times New Roman"/>
                <w:color w:val="000000"/>
                <w:spacing w:val="-2"/>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informatyzacja</w:t>
            </w:r>
          </w:p>
          <w:p w:rsidR="00E24AEE" w:rsidRPr="00F61417" w:rsidRDefault="00E24AEE" w:rsidP="006A701A">
            <w:pPr>
              <w:spacing w:line="240" w:lineRule="auto"/>
              <w:rPr>
                <w:rFonts w:ascii="Times New Roman" w:hAnsi="Times New Roman"/>
                <w:color w:val="000000"/>
              </w:rPr>
            </w:pPr>
            <w:r w:rsidRPr="00F61417">
              <w:rPr>
                <w:rFonts w:ascii="Times New Roman" w:hAnsi="Times New Roman"/>
                <w:color w:val="000000"/>
              </w:rPr>
              <w:fldChar w:fldCharType="begin">
                <w:ffData>
                  <w:name w:val="Wybór1"/>
                  <w:enabled/>
                  <w:calcOnExit w:val="0"/>
                  <w:checkBox>
                    <w:sizeAuto/>
                    <w:default w:val="0"/>
                  </w:checkBox>
                </w:ffData>
              </w:fldChar>
            </w:r>
            <w:r w:rsidRPr="00F61417">
              <w:rPr>
                <w:rFonts w:ascii="Times New Roman" w:hAnsi="Times New Roman"/>
                <w:color w:val="000000"/>
              </w:rPr>
              <w:instrText xml:space="preserve"> FORMCHECKBOX </w:instrText>
            </w:r>
            <w:r w:rsidR="001D6C54">
              <w:rPr>
                <w:rFonts w:ascii="Times New Roman" w:hAnsi="Times New Roman"/>
                <w:color w:val="000000"/>
              </w:rPr>
            </w:r>
            <w:r w:rsidR="001D6C54">
              <w:rPr>
                <w:rFonts w:ascii="Times New Roman" w:hAnsi="Times New Roman"/>
                <w:color w:val="000000"/>
              </w:rPr>
              <w:fldChar w:fldCharType="separate"/>
            </w:r>
            <w:r w:rsidRPr="00F61417">
              <w:rPr>
                <w:rFonts w:ascii="Times New Roman" w:hAnsi="Times New Roman"/>
                <w:color w:val="000000"/>
              </w:rPr>
              <w:fldChar w:fldCharType="end"/>
            </w:r>
            <w:r w:rsidRPr="00F61417">
              <w:rPr>
                <w:rFonts w:ascii="Times New Roman" w:hAnsi="Times New Roman"/>
                <w:color w:val="000000"/>
                <w:sz w:val="20"/>
                <w:szCs w:val="20"/>
              </w:rPr>
              <w:t xml:space="preserve"> </w:t>
            </w:r>
            <w:r w:rsidRPr="00F61417">
              <w:rPr>
                <w:rFonts w:ascii="Times New Roman" w:hAnsi="Times New Roman"/>
                <w:color w:val="000000"/>
                <w:spacing w:val="-2"/>
              </w:rPr>
              <w:t>zdrowie</w:t>
            </w:r>
          </w:p>
        </w:tc>
      </w:tr>
      <w:tr w:rsidR="00E24AEE" w:rsidRPr="00F61417" w:rsidTr="00676C8D">
        <w:trPr>
          <w:gridAfter w:val="1"/>
          <w:wAfter w:w="10" w:type="dxa"/>
          <w:trHeight w:val="712"/>
        </w:trPr>
        <w:tc>
          <w:tcPr>
            <w:tcW w:w="2243" w:type="dxa"/>
            <w:gridSpan w:val="2"/>
            <w:shd w:val="clear" w:color="auto" w:fill="FFFFFF"/>
            <w:vAlign w:val="center"/>
          </w:tcPr>
          <w:p w:rsidR="00E24AEE" w:rsidRPr="00F61417" w:rsidRDefault="00E24AEE" w:rsidP="00254DED">
            <w:pPr>
              <w:spacing w:line="240" w:lineRule="auto"/>
              <w:rPr>
                <w:rFonts w:ascii="Times New Roman" w:hAnsi="Times New Roman"/>
                <w:color w:val="000000"/>
              </w:rPr>
            </w:pPr>
            <w:r w:rsidRPr="00F61417">
              <w:rPr>
                <w:rFonts w:ascii="Times New Roman" w:hAnsi="Times New Roman"/>
                <w:color w:val="000000"/>
              </w:rPr>
              <w:t>Omówienie wpływu</w:t>
            </w:r>
          </w:p>
        </w:tc>
        <w:tc>
          <w:tcPr>
            <w:tcW w:w="8694" w:type="dxa"/>
            <w:gridSpan w:val="27"/>
            <w:shd w:val="clear" w:color="auto" w:fill="FFFFFF"/>
            <w:vAlign w:val="center"/>
          </w:tcPr>
          <w:p w:rsidR="00E24AEE" w:rsidRPr="00F61417" w:rsidRDefault="00E24AEE" w:rsidP="00B37C80">
            <w:pPr>
              <w:spacing w:line="240" w:lineRule="auto"/>
              <w:jc w:val="both"/>
              <w:rPr>
                <w:rFonts w:ascii="Times New Roman" w:hAnsi="Times New Roman"/>
                <w:color w:val="000000"/>
                <w:spacing w:val="-2"/>
              </w:rPr>
            </w:pPr>
            <w:r>
              <w:rPr>
                <w:rFonts w:ascii="Times New Roman" w:hAnsi="Times New Roman"/>
                <w:color w:val="000000"/>
                <w:spacing w:val="-2"/>
              </w:rPr>
              <w:t>Pozytywny wpływ na rozwój aktywności gospodarczej w regionach, w których jest duży udział działalności sezonowej (np. turystyki) oraz które cechują się niskimi dochodami mieszkańców.</w:t>
            </w:r>
          </w:p>
        </w:tc>
      </w:tr>
      <w:tr w:rsidR="00E24AEE" w:rsidRPr="00F61417" w:rsidTr="00676C8D">
        <w:trPr>
          <w:gridAfter w:val="1"/>
          <w:wAfter w:w="10" w:type="dxa"/>
          <w:trHeight w:val="142"/>
        </w:trPr>
        <w:tc>
          <w:tcPr>
            <w:tcW w:w="10937" w:type="dxa"/>
            <w:gridSpan w:val="29"/>
            <w:shd w:val="clear" w:color="auto" w:fill="99CCFF"/>
          </w:tcPr>
          <w:p w:rsidR="00E24AEE" w:rsidRPr="00F61417" w:rsidRDefault="00906248" w:rsidP="00A767D2">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 xml:space="preserve"> </w:t>
            </w:r>
            <w:r w:rsidR="00E24AEE" w:rsidRPr="00F61417">
              <w:rPr>
                <w:rFonts w:ascii="Times New Roman" w:hAnsi="Times New Roman"/>
                <w:b/>
                <w:spacing w:val="-2"/>
                <w:sz w:val="21"/>
                <w:szCs w:val="21"/>
              </w:rPr>
              <w:t>Planowane wykonanie przepisów aktu prawnego</w:t>
            </w:r>
          </w:p>
        </w:tc>
      </w:tr>
      <w:tr w:rsidR="00E24AEE" w:rsidRPr="00F61417" w:rsidTr="00676C8D">
        <w:trPr>
          <w:gridAfter w:val="1"/>
          <w:wAfter w:w="10" w:type="dxa"/>
          <w:trHeight w:val="142"/>
        </w:trPr>
        <w:tc>
          <w:tcPr>
            <w:tcW w:w="10937" w:type="dxa"/>
            <w:gridSpan w:val="29"/>
            <w:shd w:val="clear" w:color="auto" w:fill="FFFFFF"/>
          </w:tcPr>
          <w:p w:rsidR="00E24AEE" w:rsidRPr="00F61417" w:rsidRDefault="00E24AEE" w:rsidP="00B37C80">
            <w:pPr>
              <w:spacing w:line="240" w:lineRule="auto"/>
              <w:jc w:val="both"/>
              <w:rPr>
                <w:rFonts w:ascii="Times New Roman" w:hAnsi="Times New Roman"/>
                <w:spacing w:val="-2"/>
              </w:rPr>
            </w:pPr>
          </w:p>
          <w:p w:rsidR="009925F3" w:rsidRDefault="00E24AEE" w:rsidP="00B37C80">
            <w:pPr>
              <w:spacing w:line="240" w:lineRule="auto"/>
              <w:jc w:val="both"/>
              <w:rPr>
                <w:rFonts w:ascii="Times New Roman" w:hAnsi="Times New Roman"/>
                <w:spacing w:val="-2"/>
              </w:rPr>
            </w:pPr>
            <w:r>
              <w:rPr>
                <w:rFonts w:ascii="Times New Roman" w:hAnsi="Times New Roman"/>
                <w:spacing w:val="-2"/>
              </w:rPr>
              <w:t>Przepisy ustawy wejdą w życie 1.01.201</w:t>
            </w:r>
            <w:r w:rsidR="00DF4B3D">
              <w:rPr>
                <w:rFonts w:ascii="Times New Roman" w:hAnsi="Times New Roman"/>
                <w:spacing w:val="-2"/>
              </w:rPr>
              <w:t>9</w:t>
            </w:r>
            <w:r>
              <w:rPr>
                <w:rFonts w:ascii="Times New Roman" w:hAnsi="Times New Roman"/>
                <w:spacing w:val="-2"/>
              </w:rPr>
              <w:t xml:space="preserve"> r. </w:t>
            </w:r>
          </w:p>
          <w:p w:rsidR="00E24AEE" w:rsidRPr="00F61417" w:rsidRDefault="00E24AEE" w:rsidP="00DF4B3D">
            <w:pPr>
              <w:spacing w:line="240" w:lineRule="auto"/>
              <w:jc w:val="both"/>
              <w:rPr>
                <w:rFonts w:ascii="Times New Roman" w:hAnsi="Times New Roman"/>
                <w:spacing w:val="-2"/>
              </w:rPr>
            </w:pPr>
          </w:p>
        </w:tc>
      </w:tr>
      <w:tr w:rsidR="00E24AEE" w:rsidRPr="00F61417" w:rsidTr="00676C8D">
        <w:trPr>
          <w:gridAfter w:val="1"/>
          <w:wAfter w:w="10" w:type="dxa"/>
          <w:trHeight w:val="142"/>
        </w:trPr>
        <w:tc>
          <w:tcPr>
            <w:tcW w:w="10937" w:type="dxa"/>
            <w:gridSpan w:val="29"/>
            <w:shd w:val="clear" w:color="auto" w:fill="99CCFF"/>
          </w:tcPr>
          <w:p w:rsidR="00E24AEE" w:rsidRPr="00F61417" w:rsidRDefault="00E24AEE" w:rsidP="001D6A3C">
            <w:pPr>
              <w:numPr>
                <w:ilvl w:val="0"/>
                <w:numId w:val="3"/>
              </w:numPr>
              <w:spacing w:before="60" w:after="60" w:line="240" w:lineRule="auto"/>
              <w:ind w:left="318" w:hanging="284"/>
              <w:jc w:val="both"/>
              <w:rPr>
                <w:rFonts w:ascii="Times New Roman" w:hAnsi="Times New Roman"/>
                <w:b/>
                <w:color w:val="000000"/>
              </w:rPr>
            </w:pPr>
            <w:r w:rsidRPr="00F61417">
              <w:rPr>
                <w:rFonts w:ascii="Times New Roman" w:hAnsi="Times New Roman"/>
                <w:b/>
                <w:color w:val="000000"/>
              </w:rPr>
              <w:t xml:space="preserve"> </w:t>
            </w:r>
            <w:r w:rsidRPr="00F61417">
              <w:rPr>
                <w:rFonts w:ascii="Times New Roman" w:hAnsi="Times New Roman"/>
                <w:b/>
                <w:spacing w:val="-2"/>
                <w:sz w:val="21"/>
                <w:szCs w:val="21"/>
              </w:rPr>
              <w:t>W jaki sposób i kiedy nastąpi ewaluacja efektów projektu oraz jakie mierniki zostaną zastosowane?</w:t>
            </w:r>
          </w:p>
        </w:tc>
      </w:tr>
      <w:tr w:rsidR="00E24AEE" w:rsidRPr="00F61417" w:rsidTr="00676C8D">
        <w:trPr>
          <w:gridAfter w:val="1"/>
          <w:wAfter w:w="10" w:type="dxa"/>
          <w:trHeight w:val="142"/>
        </w:trPr>
        <w:tc>
          <w:tcPr>
            <w:tcW w:w="10937" w:type="dxa"/>
            <w:gridSpan w:val="29"/>
            <w:shd w:val="clear" w:color="auto" w:fill="FFFFFF"/>
          </w:tcPr>
          <w:p w:rsidR="00E24AEE" w:rsidRPr="00F61417" w:rsidRDefault="00E24AEE" w:rsidP="00B37C80">
            <w:pPr>
              <w:spacing w:line="240" w:lineRule="auto"/>
              <w:jc w:val="both"/>
              <w:rPr>
                <w:rFonts w:ascii="Times New Roman" w:hAnsi="Times New Roman"/>
                <w:color w:val="000000"/>
                <w:spacing w:val="-2"/>
              </w:rPr>
            </w:pPr>
          </w:p>
          <w:p w:rsidR="00E24AEE" w:rsidRDefault="00E24AEE" w:rsidP="00B37C80">
            <w:pPr>
              <w:spacing w:line="240" w:lineRule="auto"/>
              <w:jc w:val="both"/>
              <w:rPr>
                <w:rFonts w:ascii="Times New Roman" w:hAnsi="Times New Roman"/>
                <w:color w:val="000000"/>
                <w:spacing w:val="-2"/>
              </w:rPr>
            </w:pPr>
            <w:r>
              <w:rPr>
                <w:rFonts w:ascii="Times New Roman" w:hAnsi="Times New Roman"/>
                <w:color w:val="000000"/>
                <w:spacing w:val="-2"/>
              </w:rPr>
              <w:t xml:space="preserve">Ewaluacja efektów projektu będzie prowadzona każdorazowo wraz z opracowaniem projektu </w:t>
            </w:r>
            <w:r w:rsidR="00120075">
              <w:rPr>
                <w:rFonts w:ascii="Times New Roman" w:hAnsi="Times New Roman"/>
                <w:color w:val="000000"/>
                <w:spacing w:val="-2"/>
              </w:rPr>
              <w:t>komunikatu Prezesa ZUS</w:t>
            </w:r>
            <w:r>
              <w:rPr>
                <w:rFonts w:ascii="Times New Roman" w:hAnsi="Times New Roman"/>
                <w:color w:val="000000"/>
                <w:spacing w:val="-2"/>
              </w:rPr>
              <w:t xml:space="preserve"> określającego </w:t>
            </w:r>
            <w:r w:rsidR="00367BA7">
              <w:rPr>
                <w:rFonts w:ascii="Times New Roman" w:hAnsi="Times New Roman"/>
                <w:color w:val="000000"/>
                <w:spacing w:val="-2"/>
              </w:rPr>
              <w:t>wysokość współczynnika, o którym mowa w art. 18c ust. 5</w:t>
            </w:r>
            <w:r w:rsidR="00686DF6">
              <w:rPr>
                <w:rFonts w:ascii="Times New Roman" w:hAnsi="Times New Roman"/>
                <w:color w:val="000000"/>
                <w:spacing w:val="-2"/>
              </w:rPr>
              <w:t>, począwszy od roku 2020</w:t>
            </w:r>
            <w:r>
              <w:rPr>
                <w:rFonts w:ascii="Times New Roman" w:hAnsi="Times New Roman"/>
                <w:color w:val="000000"/>
                <w:spacing w:val="-2"/>
              </w:rPr>
              <w:t xml:space="preserve">. </w:t>
            </w:r>
          </w:p>
          <w:p w:rsidR="00E24AEE" w:rsidRDefault="00E24AEE" w:rsidP="00B37C80">
            <w:pPr>
              <w:spacing w:line="240" w:lineRule="auto"/>
              <w:jc w:val="both"/>
              <w:rPr>
                <w:rFonts w:ascii="Times New Roman" w:hAnsi="Times New Roman"/>
                <w:color w:val="000000"/>
                <w:spacing w:val="-2"/>
              </w:rPr>
            </w:pPr>
            <w:r>
              <w:rPr>
                <w:rFonts w:ascii="Times New Roman" w:hAnsi="Times New Roman"/>
                <w:color w:val="000000"/>
                <w:spacing w:val="-2"/>
              </w:rPr>
              <w:t>Zostaną wzięte pod uwagę zmiany następujących wskaźników:</w:t>
            </w:r>
          </w:p>
          <w:p w:rsidR="00E24AEE" w:rsidRDefault="00E24AEE" w:rsidP="0027346F">
            <w:pPr>
              <w:pStyle w:val="Akapitzlist"/>
              <w:numPr>
                <w:ilvl w:val="0"/>
                <w:numId w:val="26"/>
              </w:numPr>
              <w:spacing w:line="240" w:lineRule="auto"/>
              <w:jc w:val="both"/>
              <w:rPr>
                <w:rFonts w:ascii="Times New Roman" w:hAnsi="Times New Roman"/>
                <w:color w:val="000000"/>
                <w:spacing w:val="-2"/>
              </w:rPr>
            </w:pPr>
            <w:r>
              <w:rPr>
                <w:rFonts w:ascii="Times New Roman" w:hAnsi="Times New Roman"/>
                <w:color w:val="000000"/>
                <w:spacing w:val="-2"/>
              </w:rPr>
              <w:t xml:space="preserve">liczba przedsiębiorców uzyskujących przychody nie wyższe niż trzydziestokrotność minimalnego wynagrodzenia rocznie i działających dłużej niż 2 lata, </w:t>
            </w:r>
          </w:p>
          <w:p w:rsidR="00E24AEE" w:rsidRDefault="00E24AEE" w:rsidP="0027346F">
            <w:pPr>
              <w:pStyle w:val="Akapitzlist"/>
              <w:numPr>
                <w:ilvl w:val="0"/>
                <w:numId w:val="26"/>
              </w:numPr>
              <w:spacing w:line="240" w:lineRule="auto"/>
              <w:jc w:val="both"/>
              <w:rPr>
                <w:rFonts w:ascii="Times New Roman" w:hAnsi="Times New Roman"/>
                <w:color w:val="000000"/>
                <w:spacing w:val="-2"/>
              </w:rPr>
            </w:pPr>
            <w:r>
              <w:rPr>
                <w:rFonts w:ascii="Times New Roman" w:hAnsi="Times New Roman"/>
                <w:color w:val="000000"/>
                <w:spacing w:val="-2"/>
              </w:rPr>
              <w:t>liczba wyrejestrowanych przedsiębiorców uzyskujących przychody nie wyższe niż trzydziestokrotność minimalnego wynagrodzenia rocznie,</w:t>
            </w:r>
          </w:p>
          <w:p w:rsidR="00E24AEE" w:rsidRDefault="00E24AEE" w:rsidP="0027346F">
            <w:pPr>
              <w:pStyle w:val="Akapitzlist"/>
              <w:numPr>
                <w:ilvl w:val="0"/>
                <w:numId w:val="26"/>
              </w:numPr>
              <w:spacing w:line="240" w:lineRule="auto"/>
              <w:jc w:val="both"/>
              <w:rPr>
                <w:rFonts w:ascii="Times New Roman" w:hAnsi="Times New Roman"/>
                <w:color w:val="000000"/>
                <w:spacing w:val="-2"/>
              </w:rPr>
            </w:pPr>
            <w:r>
              <w:rPr>
                <w:rFonts w:ascii="Times New Roman" w:hAnsi="Times New Roman"/>
                <w:color w:val="000000"/>
                <w:spacing w:val="-2"/>
              </w:rPr>
              <w:t xml:space="preserve">liczba </w:t>
            </w:r>
            <w:proofErr w:type="spellStart"/>
            <w:r>
              <w:rPr>
                <w:rFonts w:ascii="Times New Roman" w:hAnsi="Times New Roman"/>
                <w:color w:val="000000"/>
                <w:spacing w:val="-2"/>
              </w:rPr>
              <w:t>zawieszeń</w:t>
            </w:r>
            <w:proofErr w:type="spellEnd"/>
            <w:r>
              <w:rPr>
                <w:rFonts w:ascii="Times New Roman" w:hAnsi="Times New Roman"/>
                <w:color w:val="000000"/>
                <w:spacing w:val="-2"/>
              </w:rPr>
              <w:t xml:space="preserve"> działalności gospodarczej,</w:t>
            </w:r>
          </w:p>
          <w:p w:rsidR="00E24AEE" w:rsidRPr="00367BA7" w:rsidRDefault="00E24AEE" w:rsidP="00B37C80">
            <w:pPr>
              <w:pStyle w:val="Akapitzlist"/>
              <w:numPr>
                <w:ilvl w:val="0"/>
                <w:numId w:val="26"/>
              </w:numPr>
              <w:spacing w:line="240" w:lineRule="auto"/>
              <w:jc w:val="both"/>
              <w:rPr>
                <w:rFonts w:ascii="Times New Roman" w:hAnsi="Times New Roman"/>
                <w:color w:val="000000"/>
                <w:spacing w:val="-2"/>
              </w:rPr>
            </w:pPr>
            <w:r>
              <w:rPr>
                <w:rFonts w:ascii="Times New Roman" w:hAnsi="Times New Roman"/>
                <w:color w:val="000000"/>
                <w:spacing w:val="-2"/>
              </w:rPr>
              <w:t>średnia wysokość wpływu z PIT od przedsiębiorców uzyskujących przychody nie wyższe niż trzydziestokrotność minimalnego wynagrodzenia rocznie.</w:t>
            </w:r>
          </w:p>
        </w:tc>
      </w:tr>
      <w:tr w:rsidR="00E24AEE" w:rsidRPr="00F61417" w:rsidTr="00676C8D">
        <w:trPr>
          <w:gridAfter w:val="1"/>
          <w:wAfter w:w="10" w:type="dxa"/>
          <w:trHeight w:val="142"/>
        </w:trPr>
        <w:tc>
          <w:tcPr>
            <w:tcW w:w="10937" w:type="dxa"/>
            <w:gridSpan w:val="29"/>
            <w:shd w:val="clear" w:color="auto" w:fill="99CCFF"/>
          </w:tcPr>
          <w:p w:rsidR="00E24AEE" w:rsidRPr="00F61417" w:rsidRDefault="00E24AEE" w:rsidP="00301959">
            <w:pPr>
              <w:numPr>
                <w:ilvl w:val="0"/>
                <w:numId w:val="3"/>
              </w:numPr>
              <w:spacing w:before="60" w:after="60" w:line="240" w:lineRule="auto"/>
              <w:ind w:left="318" w:hanging="284"/>
              <w:jc w:val="both"/>
              <w:rPr>
                <w:rFonts w:ascii="Times New Roman" w:hAnsi="Times New Roman"/>
                <w:b/>
                <w:color w:val="000000"/>
                <w:spacing w:val="-2"/>
              </w:rPr>
            </w:pPr>
            <w:r w:rsidRPr="00F61417">
              <w:rPr>
                <w:rFonts w:ascii="Times New Roman" w:hAnsi="Times New Roman"/>
                <w:b/>
                <w:color w:val="000000"/>
                <w:spacing w:val="-2"/>
              </w:rPr>
              <w:lastRenderedPageBreak/>
              <w:t xml:space="preserve">Załączniki </w:t>
            </w:r>
            <w:r w:rsidRPr="00F61417">
              <w:rPr>
                <w:rFonts w:ascii="Times New Roman" w:hAnsi="Times New Roman"/>
                <w:b/>
                <w:spacing w:val="-2"/>
                <w:sz w:val="21"/>
                <w:szCs w:val="21"/>
              </w:rPr>
              <w:t>(istotne dokumenty źródłowe, badania, analizy itp.</w:t>
            </w:r>
            <w:r w:rsidRPr="00F61417">
              <w:rPr>
                <w:rFonts w:ascii="Times New Roman" w:hAnsi="Times New Roman"/>
                <w:b/>
                <w:color w:val="000000"/>
                <w:spacing w:val="-2"/>
              </w:rPr>
              <w:t xml:space="preserve">) </w:t>
            </w:r>
          </w:p>
        </w:tc>
      </w:tr>
      <w:tr w:rsidR="00E24AEE" w:rsidRPr="002F669C" w:rsidTr="00676C8D">
        <w:trPr>
          <w:gridAfter w:val="1"/>
          <w:wAfter w:w="10" w:type="dxa"/>
          <w:trHeight w:val="142"/>
        </w:trPr>
        <w:tc>
          <w:tcPr>
            <w:tcW w:w="10937" w:type="dxa"/>
            <w:gridSpan w:val="29"/>
            <w:shd w:val="clear" w:color="auto" w:fill="FFFFFF"/>
          </w:tcPr>
          <w:p w:rsidR="00A84864" w:rsidRPr="00B972E9" w:rsidRDefault="00A84864" w:rsidP="00A84864">
            <w:pPr>
              <w:spacing w:line="240" w:lineRule="auto"/>
              <w:ind w:left="720"/>
              <w:jc w:val="both"/>
              <w:rPr>
                <w:rFonts w:ascii="Times New Roman" w:hAnsi="Times New Roman"/>
                <w:color w:val="000000"/>
                <w:spacing w:val="-2"/>
                <w:sz w:val="20"/>
                <w:szCs w:val="20"/>
              </w:rPr>
            </w:pPr>
          </w:p>
          <w:p w:rsidR="00E24AEE" w:rsidRPr="00DA2E43" w:rsidRDefault="00E24AEE" w:rsidP="00F61417">
            <w:pPr>
              <w:numPr>
                <w:ilvl w:val="0"/>
                <w:numId w:val="23"/>
              </w:numPr>
              <w:spacing w:line="240" w:lineRule="auto"/>
              <w:jc w:val="both"/>
              <w:rPr>
                <w:rFonts w:ascii="Times New Roman" w:hAnsi="Times New Roman"/>
                <w:color w:val="000000"/>
                <w:spacing w:val="-2"/>
                <w:sz w:val="20"/>
                <w:szCs w:val="20"/>
                <w:lang w:val="en-US"/>
              </w:rPr>
            </w:pPr>
            <w:r w:rsidRPr="00DA2E43">
              <w:rPr>
                <w:rFonts w:ascii="Times New Roman" w:hAnsi="Times New Roman"/>
                <w:color w:val="000000"/>
                <w:spacing w:val="-2"/>
                <w:sz w:val="20"/>
                <w:szCs w:val="20"/>
                <w:lang w:val="en-US"/>
              </w:rPr>
              <w:t>Choi J. (2009), „Pension Schemes for the Self-Employed in OECD Countries”, OECD Social, Employment and Migration Working Papers, No 84.</w:t>
            </w:r>
          </w:p>
          <w:p w:rsidR="00E24AEE" w:rsidRPr="00D71CB9" w:rsidRDefault="00E24AEE" w:rsidP="0089507D">
            <w:pPr>
              <w:numPr>
                <w:ilvl w:val="0"/>
                <w:numId w:val="23"/>
              </w:numPr>
              <w:spacing w:line="240" w:lineRule="auto"/>
              <w:jc w:val="both"/>
              <w:rPr>
                <w:rFonts w:ascii="Times New Roman" w:hAnsi="Times New Roman"/>
                <w:color w:val="000000"/>
                <w:spacing w:val="-2"/>
                <w:lang w:val="en-US"/>
              </w:rPr>
            </w:pPr>
            <w:r w:rsidRPr="00DA2E43">
              <w:rPr>
                <w:rFonts w:ascii="Times New Roman" w:hAnsi="Times New Roman"/>
                <w:color w:val="000000"/>
                <w:spacing w:val="-2"/>
                <w:sz w:val="20"/>
                <w:szCs w:val="20"/>
                <w:lang w:val="en-US"/>
              </w:rPr>
              <w:t xml:space="preserve">OECD Tax Database, Social Security contributions, </w:t>
            </w:r>
            <w:r w:rsidR="00A84864" w:rsidRPr="00A84864">
              <w:rPr>
                <w:rFonts w:ascii="Times New Roman" w:hAnsi="Times New Roman"/>
                <w:color w:val="000000"/>
                <w:spacing w:val="-2"/>
                <w:sz w:val="20"/>
                <w:szCs w:val="20"/>
                <w:lang w:val="en-US"/>
              </w:rPr>
              <w:t>www.oecd.org/tax/tax-policy/tax-database.htm z 7.11.2016</w:t>
            </w:r>
          </w:p>
          <w:p w:rsidR="00144EAE" w:rsidRDefault="00144EAE" w:rsidP="00D71CB9">
            <w:pPr>
              <w:spacing w:line="240" w:lineRule="auto"/>
              <w:jc w:val="both"/>
              <w:rPr>
                <w:rFonts w:ascii="Times New Roman" w:hAnsi="Times New Roman"/>
                <w:color w:val="000000"/>
                <w:spacing w:val="-2"/>
                <w:sz w:val="20"/>
                <w:szCs w:val="20"/>
                <w:lang w:val="en-US"/>
              </w:rPr>
            </w:pPr>
          </w:p>
          <w:p w:rsidR="00144EAE" w:rsidRDefault="00F758C1" w:rsidP="00D71CB9">
            <w:pPr>
              <w:keepNext/>
              <w:spacing w:line="240" w:lineRule="auto"/>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15pt;height:342.8pt">
                  <v:imagedata r:id="rId11" o:title="histogram"/>
                </v:shape>
              </w:pict>
            </w:r>
          </w:p>
          <w:p w:rsidR="00144EAE" w:rsidRDefault="00144EAE" w:rsidP="00D71CB9">
            <w:pPr>
              <w:pStyle w:val="Legenda"/>
              <w:jc w:val="center"/>
            </w:pPr>
            <w:r>
              <w:t xml:space="preserve">Wykres </w:t>
            </w:r>
            <w:r w:rsidR="001D6C54">
              <w:fldChar w:fldCharType="begin"/>
            </w:r>
            <w:r w:rsidR="001D6C54">
              <w:instrText xml:space="preserve"> SEQ Wykres \* ARABIC </w:instrText>
            </w:r>
            <w:r w:rsidR="001D6C54">
              <w:fldChar w:fldCharType="separate"/>
            </w:r>
            <w:r>
              <w:rPr>
                <w:noProof/>
              </w:rPr>
              <w:t>1</w:t>
            </w:r>
            <w:r w:rsidR="001D6C54">
              <w:rPr>
                <w:noProof/>
              </w:rPr>
              <w:fldChar w:fldCharType="end"/>
            </w:r>
            <w:r>
              <w:t>.</w:t>
            </w:r>
            <w:r w:rsidR="00431847">
              <w:t xml:space="preserve"> Prognozowany r</w:t>
            </w:r>
            <w:r>
              <w:t xml:space="preserve">ozkład przychodów przedsiębiorców (podatników PIT36, PIT36L oraz PIT28) o przychodach poniżej </w:t>
            </w:r>
            <w:r w:rsidR="00431847">
              <w:t>30-krotności minimalnego wynagrodzenia</w:t>
            </w:r>
            <w:r>
              <w:t xml:space="preserve"> (z wykluczeniem zbiegów, przedsiębiorców działających poniżej 2 lat oraz przedsiębiorców dla których regulacja nie przynosi korzyści ekonomicznych)</w:t>
            </w:r>
          </w:p>
          <w:p w:rsidR="00144EAE" w:rsidRPr="00D71CB9" w:rsidRDefault="00144EAE" w:rsidP="00D71CB9">
            <w:pPr>
              <w:spacing w:line="240" w:lineRule="auto"/>
              <w:jc w:val="center"/>
              <w:rPr>
                <w:rFonts w:ascii="Times New Roman" w:hAnsi="Times New Roman"/>
                <w:color w:val="000000"/>
                <w:spacing w:val="-2"/>
              </w:rPr>
            </w:pPr>
          </w:p>
          <w:p w:rsidR="00A84864" w:rsidRPr="00D71CB9" w:rsidRDefault="00A84864" w:rsidP="00A84864">
            <w:pPr>
              <w:spacing w:line="240" w:lineRule="auto"/>
              <w:ind w:left="720"/>
              <w:jc w:val="both"/>
              <w:rPr>
                <w:rFonts w:ascii="Times New Roman" w:hAnsi="Times New Roman"/>
                <w:color w:val="000000"/>
                <w:spacing w:val="-2"/>
              </w:rPr>
            </w:pPr>
          </w:p>
        </w:tc>
      </w:tr>
    </w:tbl>
    <w:p w:rsidR="006176ED" w:rsidRPr="00D71CB9" w:rsidRDefault="006176ED" w:rsidP="0089507D">
      <w:pPr>
        <w:pStyle w:val="Nagwek1"/>
        <w:jc w:val="center"/>
        <w:rPr>
          <w:rFonts w:ascii="Times New Roman" w:hAnsi="Times New Roman" w:cs="Times New Roman"/>
          <w:sz w:val="20"/>
          <w:szCs w:val="20"/>
        </w:rPr>
      </w:pPr>
    </w:p>
    <w:sectPr w:rsidR="006176ED" w:rsidRPr="00D71CB9"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54" w:rsidRDefault="001D6C54" w:rsidP="00044739">
      <w:pPr>
        <w:spacing w:line="240" w:lineRule="auto"/>
      </w:pPr>
      <w:r>
        <w:separator/>
      </w:r>
    </w:p>
  </w:endnote>
  <w:endnote w:type="continuationSeparator" w:id="0">
    <w:p w:rsidR="001D6C54" w:rsidRDefault="001D6C54"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54" w:rsidRDefault="001D6C54" w:rsidP="00044739">
      <w:pPr>
        <w:spacing w:line="240" w:lineRule="auto"/>
      </w:pPr>
      <w:r>
        <w:separator/>
      </w:r>
    </w:p>
  </w:footnote>
  <w:footnote w:type="continuationSeparator" w:id="0">
    <w:p w:rsidR="001D6C54" w:rsidRDefault="001D6C54" w:rsidP="00044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7">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3C70F1"/>
    <w:multiLevelType w:val="hybridMultilevel"/>
    <w:tmpl w:val="457C3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4A6B47"/>
    <w:multiLevelType w:val="hybridMultilevel"/>
    <w:tmpl w:val="901C0C2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1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FB15BB"/>
    <w:multiLevelType w:val="hybridMultilevel"/>
    <w:tmpl w:val="973A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A076D80"/>
    <w:multiLevelType w:val="hybridMultilevel"/>
    <w:tmpl w:val="FB908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4">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5">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7">
    <w:nsid w:val="512C5BA7"/>
    <w:multiLevelType w:val="hybridMultilevel"/>
    <w:tmpl w:val="FB908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9">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0">
    <w:nsid w:val="59CE022C"/>
    <w:multiLevelType w:val="hybridMultilevel"/>
    <w:tmpl w:val="FD823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3">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5">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nsid w:val="7CB8018C"/>
    <w:multiLevelType w:val="hybridMultilevel"/>
    <w:tmpl w:val="1A22C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23"/>
  </w:num>
  <w:num w:numId="5">
    <w:abstractNumId w:val="1"/>
  </w:num>
  <w:num w:numId="6">
    <w:abstractNumId w:val="7"/>
  </w:num>
  <w:num w:numId="7">
    <w:abstractNumId w:val="15"/>
  </w:num>
  <w:num w:numId="8">
    <w:abstractNumId w:val="4"/>
  </w:num>
  <w:num w:numId="9">
    <w:abstractNumId w:val="18"/>
  </w:num>
  <w:num w:numId="10">
    <w:abstractNumId w:val="14"/>
  </w:num>
  <w:num w:numId="11">
    <w:abstractNumId w:val="16"/>
  </w:num>
  <w:num w:numId="12">
    <w:abstractNumId w:val="2"/>
  </w:num>
  <w:num w:numId="13">
    <w:abstractNumId w:val="13"/>
  </w:num>
  <w:num w:numId="14">
    <w:abstractNumId w:val="24"/>
  </w:num>
  <w:num w:numId="15">
    <w:abstractNumId w:val="19"/>
  </w:num>
  <w:num w:numId="16">
    <w:abstractNumId w:val="22"/>
  </w:num>
  <w:num w:numId="17">
    <w:abstractNumId w:val="5"/>
  </w:num>
  <w:num w:numId="18">
    <w:abstractNumId w:val="25"/>
  </w:num>
  <w:num w:numId="19">
    <w:abstractNumId w:val="26"/>
  </w:num>
  <w:num w:numId="20">
    <w:abstractNumId w:val="21"/>
  </w:num>
  <w:num w:numId="21">
    <w:abstractNumId w:val="6"/>
  </w:num>
  <w:num w:numId="22">
    <w:abstractNumId w:val="17"/>
  </w:num>
  <w:num w:numId="23">
    <w:abstractNumId w:val="8"/>
  </w:num>
  <w:num w:numId="24">
    <w:abstractNumId w:val="9"/>
  </w:num>
  <w:num w:numId="25">
    <w:abstractNumId w:val="11"/>
  </w:num>
  <w:num w:numId="26">
    <w:abstractNumId w:val="2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CB"/>
    <w:rsid w:val="000008E5"/>
    <w:rsid w:val="000015EE"/>
    <w:rsid w:val="000022D5"/>
    <w:rsid w:val="00004C6A"/>
    <w:rsid w:val="00010ADE"/>
    <w:rsid w:val="00012D11"/>
    <w:rsid w:val="00013EB5"/>
    <w:rsid w:val="00017890"/>
    <w:rsid w:val="00022854"/>
    <w:rsid w:val="00023836"/>
    <w:rsid w:val="000356A9"/>
    <w:rsid w:val="00044138"/>
    <w:rsid w:val="00044739"/>
    <w:rsid w:val="00051637"/>
    <w:rsid w:val="00056681"/>
    <w:rsid w:val="00057418"/>
    <w:rsid w:val="000648A7"/>
    <w:rsid w:val="0006618B"/>
    <w:rsid w:val="000670C0"/>
    <w:rsid w:val="00071B99"/>
    <w:rsid w:val="0007207F"/>
    <w:rsid w:val="000756E5"/>
    <w:rsid w:val="00076CDD"/>
    <w:rsid w:val="0007704E"/>
    <w:rsid w:val="00080EC8"/>
    <w:rsid w:val="000944AC"/>
    <w:rsid w:val="00094CB9"/>
    <w:rsid w:val="000956B2"/>
    <w:rsid w:val="000969E7"/>
    <w:rsid w:val="000A23DE"/>
    <w:rsid w:val="000A4020"/>
    <w:rsid w:val="000B0E32"/>
    <w:rsid w:val="000B54FB"/>
    <w:rsid w:val="000C107C"/>
    <w:rsid w:val="000C286B"/>
    <w:rsid w:val="000C29B0"/>
    <w:rsid w:val="000C4B10"/>
    <w:rsid w:val="000C76FC"/>
    <w:rsid w:val="000D38FC"/>
    <w:rsid w:val="000D4A2D"/>
    <w:rsid w:val="000D4D90"/>
    <w:rsid w:val="000E2D10"/>
    <w:rsid w:val="000F3204"/>
    <w:rsid w:val="000F7C41"/>
    <w:rsid w:val="0010548B"/>
    <w:rsid w:val="001072D1"/>
    <w:rsid w:val="0011367D"/>
    <w:rsid w:val="00117017"/>
    <w:rsid w:val="00120075"/>
    <w:rsid w:val="00120EBB"/>
    <w:rsid w:val="00126F0C"/>
    <w:rsid w:val="00130E8E"/>
    <w:rsid w:val="0013216E"/>
    <w:rsid w:val="001401B5"/>
    <w:rsid w:val="001422B9"/>
    <w:rsid w:val="00142657"/>
    <w:rsid w:val="00144EAE"/>
    <w:rsid w:val="0014665F"/>
    <w:rsid w:val="00153464"/>
    <w:rsid w:val="001541B3"/>
    <w:rsid w:val="00155B15"/>
    <w:rsid w:val="00155C85"/>
    <w:rsid w:val="00161CE6"/>
    <w:rsid w:val="001625BE"/>
    <w:rsid w:val="001643A4"/>
    <w:rsid w:val="001655AA"/>
    <w:rsid w:val="001727BB"/>
    <w:rsid w:val="00180D25"/>
    <w:rsid w:val="0018318D"/>
    <w:rsid w:val="00183A96"/>
    <w:rsid w:val="0018572C"/>
    <w:rsid w:val="00187E79"/>
    <w:rsid w:val="00187F0D"/>
    <w:rsid w:val="00192CC5"/>
    <w:rsid w:val="00195371"/>
    <w:rsid w:val="001956A7"/>
    <w:rsid w:val="001A118A"/>
    <w:rsid w:val="001A27F4"/>
    <w:rsid w:val="001A2D95"/>
    <w:rsid w:val="001A43B1"/>
    <w:rsid w:val="001A67C0"/>
    <w:rsid w:val="001B3460"/>
    <w:rsid w:val="001B4CA1"/>
    <w:rsid w:val="001B75D8"/>
    <w:rsid w:val="001C1060"/>
    <w:rsid w:val="001C3C63"/>
    <w:rsid w:val="001D2495"/>
    <w:rsid w:val="001D4732"/>
    <w:rsid w:val="001D6A3C"/>
    <w:rsid w:val="001D6C54"/>
    <w:rsid w:val="001D6D51"/>
    <w:rsid w:val="001D7D48"/>
    <w:rsid w:val="001E09E4"/>
    <w:rsid w:val="001F653A"/>
    <w:rsid w:val="001F6979"/>
    <w:rsid w:val="00202BC6"/>
    <w:rsid w:val="002030B1"/>
    <w:rsid w:val="00203176"/>
    <w:rsid w:val="00204E54"/>
    <w:rsid w:val="00205141"/>
    <w:rsid w:val="0020516B"/>
    <w:rsid w:val="00213559"/>
    <w:rsid w:val="00213EFD"/>
    <w:rsid w:val="002172F1"/>
    <w:rsid w:val="00217300"/>
    <w:rsid w:val="00223C7B"/>
    <w:rsid w:val="00224AB1"/>
    <w:rsid w:val="0022687A"/>
    <w:rsid w:val="00230728"/>
    <w:rsid w:val="00234040"/>
    <w:rsid w:val="00235CD2"/>
    <w:rsid w:val="002372E9"/>
    <w:rsid w:val="00254DED"/>
    <w:rsid w:val="00255619"/>
    <w:rsid w:val="00255DAD"/>
    <w:rsid w:val="00256108"/>
    <w:rsid w:val="00260F33"/>
    <w:rsid w:val="002613BD"/>
    <w:rsid w:val="002624F1"/>
    <w:rsid w:val="00266A7E"/>
    <w:rsid w:val="00270C81"/>
    <w:rsid w:val="00271558"/>
    <w:rsid w:val="0027346F"/>
    <w:rsid w:val="00274862"/>
    <w:rsid w:val="00282D72"/>
    <w:rsid w:val="00283402"/>
    <w:rsid w:val="00290FD6"/>
    <w:rsid w:val="00291E84"/>
    <w:rsid w:val="00294259"/>
    <w:rsid w:val="002A2C81"/>
    <w:rsid w:val="002B3D1A"/>
    <w:rsid w:val="002B4FD3"/>
    <w:rsid w:val="002C27D0"/>
    <w:rsid w:val="002C2C9B"/>
    <w:rsid w:val="002C41C8"/>
    <w:rsid w:val="002C486F"/>
    <w:rsid w:val="002C64D6"/>
    <w:rsid w:val="002D17D6"/>
    <w:rsid w:val="002D18D7"/>
    <w:rsid w:val="002D21CE"/>
    <w:rsid w:val="002D3625"/>
    <w:rsid w:val="002E3DA3"/>
    <w:rsid w:val="002E450F"/>
    <w:rsid w:val="002E6B38"/>
    <w:rsid w:val="002E6D63"/>
    <w:rsid w:val="002E6E2B"/>
    <w:rsid w:val="002F14C5"/>
    <w:rsid w:val="002F500B"/>
    <w:rsid w:val="002F669C"/>
    <w:rsid w:val="00300991"/>
    <w:rsid w:val="00301959"/>
    <w:rsid w:val="00302E39"/>
    <w:rsid w:val="00305B8A"/>
    <w:rsid w:val="00312C9F"/>
    <w:rsid w:val="00312EDF"/>
    <w:rsid w:val="00315714"/>
    <w:rsid w:val="0032091B"/>
    <w:rsid w:val="003268F2"/>
    <w:rsid w:val="00331BF9"/>
    <w:rsid w:val="003322AC"/>
    <w:rsid w:val="0033495E"/>
    <w:rsid w:val="00334A79"/>
    <w:rsid w:val="00334D41"/>
    <w:rsid w:val="00334D8D"/>
    <w:rsid w:val="00337345"/>
    <w:rsid w:val="00337DD2"/>
    <w:rsid w:val="003404D1"/>
    <w:rsid w:val="003443FF"/>
    <w:rsid w:val="00355808"/>
    <w:rsid w:val="00362C7E"/>
    <w:rsid w:val="00363309"/>
    <w:rsid w:val="00363601"/>
    <w:rsid w:val="003678C3"/>
    <w:rsid w:val="00367BA7"/>
    <w:rsid w:val="00376AC9"/>
    <w:rsid w:val="00387824"/>
    <w:rsid w:val="00393032"/>
    <w:rsid w:val="00394B69"/>
    <w:rsid w:val="00394B9D"/>
    <w:rsid w:val="00397078"/>
    <w:rsid w:val="003A306D"/>
    <w:rsid w:val="003A6281"/>
    <w:rsid w:val="003A6953"/>
    <w:rsid w:val="003B6083"/>
    <w:rsid w:val="003C005E"/>
    <w:rsid w:val="003C3838"/>
    <w:rsid w:val="003C5847"/>
    <w:rsid w:val="003C5F9C"/>
    <w:rsid w:val="003D0681"/>
    <w:rsid w:val="003D12F6"/>
    <w:rsid w:val="003D1426"/>
    <w:rsid w:val="003E2F4E"/>
    <w:rsid w:val="003E720A"/>
    <w:rsid w:val="00403E6E"/>
    <w:rsid w:val="004077A8"/>
    <w:rsid w:val="004129B4"/>
    <w:rsid w:val="00417EF0"/>
    <w:rsid w:val="00421AA4"/>
    <w:rsid w:val="00422181"/>
    <w:rsid w:val="004244A8"/>
    <w:rsid w:val="00425F72"/>
    <w:rsid w:val="00427736"/>
    <w:rsid w:val="00431847"/>
    <w:rsid w:val="0044014F"/>
    <w:rsid w:val="00441787"/>
    <w:rsid w:val="00444F2D"/>
    <w:rsid w:val="00452034"/>
    <w:rsid w:val="00455FA6"/>
    <w:rsid w:val="0045643B"/>
    <w:rsid w:val="00461F4F"/>
    <w:rsid w:val="00466C70"/>
    <w:rsid w:val="004702C9"/>
    <w:rsid w:val="00472E45"/>
    <w:rsid w:val="00473FEA"/>
    <w:rsid w:val="0047579D"/>
    <w:rsid w:val="004777E5"/>
    <w:rsid w:val="00480FDF"/>
    <w:rsid w:val="00483262"/>
    <w:rsid w:val="00484107"/>
    <w:rsid w:val="00485CC5"/>
    <w:rsid w:val="0049343F"/>
    <w:rsid w:val="004964FC"/>
    <w:rsid w:val="004A145E"/>
    <w:rsid w:val="004A1F15"/>
    <w:rsid w:val="004A2A81"/>
    <w:rsid w:val="004A7BD7"/>
    <w:rsid w:val="004B51B7"/>
    <w:rsid w:val="004C15C2"/>
    <w:rsid w:val="004C36D8"/>
    <w:rsid w:val="004C7FE8"/>
    <w:rsid w:val="004D1248"/>
    <w:rsid w:val="004D1E3C"/>
    <w:rsid w:val="004D4169"/>
    <w:rsid w:val="004D6E14"/>
    <w:rsid w:val="004D709A"/>
    <w:rsid w:val="004E0AA6"/>
    <w:rsid w:val="004F22CB"/>
    <w:rsid w:val="004F4E17"/>
    <w:rsid w:val="0050082F"/>
    <w:rsid w:val="00500C56"/>
    <w:rsid w:val="00501713"/>
    <w:rsid w:val="00503250"/>
    <w:rsid w:val="00506568"/>
    <w:rsid w:val="00512C62"/>
    <w:rsid w:val="0051551B"/>
    <w:rsid w:val="00520C57"/>
    <w:rsid w:val="00522D94"/>
    <w:rsid w:val="00533D89"/>
    <w:rsid w:val="00534681"/>
    <w:rsid w:val="00536564"/>
    <w:rsid w:val="00544597"/>
    <w:rsid w:val="00544FFE"/>
    <w:rsid w:val="005473F5"/>
    <w:rsid w:val="005477E7"/>
    <w:rsid w:val="00550004"/>
    <w:rsid w:val="00552794"/>
    <w:rsid w:val="00563199"/>
    <w:rsid w:val="00564874"/>
    <w:rsid w:val="00567963"/>
    <w:rsid w:val="0057009A"/>
    <w:rsid w:val="00571260"/>
    <w:rsid w:val="0057189C"/>
    <w:rsid w:val="005729AF"/>
    <w:rsid w:val="00573FC1"/>
    <w:rsid w:val="005741EE"/>
    <w:rsid w:val="0057579C"/>
    <w:rsid w:val="0057668E"/>
    <w:rsid w:val="00581328"/>
    <w:rsid w:val="00583D71"/>
    <w:rsid w:val="00595E83"/>
    <w:rsid w:val="00596530"/>
    <w:rsid w:val="005967F3"/>
    <w:rsid w:val="005A06DF"/>
    <w:rsid w:val="005A5527"/>
    <w:rsid w:val="005A5AE6"/>
    <w:rsid w:val="005B1206"/>
    <w:rsid w:val="005B37E8"/>
    <w:rsid w:val="005B6F67"/>
    <w:rsid w:val="005C0056"/>
    <w:rsid w:val="005C2F1D"/>
    <w:rsid w:val="005C6550"/>
    <w:rsid w:val="005D61D6"/>
    <w:rsid w:val="005E0D13"/>
    <w:rsid w:val="005E3086"/>
    <w:rsid w:val="005E5047"/>
    <w:rsid w:val="005E7205"/>
    <w:rsid w:val="005E7371"/>
    <w:rsid w:val="005F116C"/>
    <w:rsid w:val="005F2131"/>
    <w:rsid w:val="00605EF6"/>
    <w:rsid w:val="00606455"/>
    <w:rsid w:val="00614929"/>
    <w:rsid w:val="00616511"/>
    <w:rsid w:val="006176ED"/>
    <w:rsid w:val="006202F3"/>
    <w:rsid w:val="0062097A"/>
    <w:rsid w:val="00621C28"/>
    <w:rsid w:val="00621DA6"/>
    <w:rsid w:val="00623CFE"/>
    <w:rsid w:val="00627221"/>
    <w:rsid w:val="00627EE8"/>
    <w:rsid w:val="006316FA"/>
    <w:rsid w:val="006370D2"/>
    <w:rsid w:val="00637C6F"/>
    <w:rsid w:val="0064074F"/>
    <w:rsid w:val="00641F55"/>
    <w:rsid w:val="00645E4A"/>
    <w:rsid w:val="0065210A"/>
    <w:rsid w:val="00653688"/>
    <w:rsid w:val="0066091B"/>
    <w:rsid w:val="006660E9"/>
    <w:rsid w:val="006668E8"/>
    <w:rsid w:val="00667249"/>
    <w:rsid w:val="00667558"/>
    <w:rsid w:val="00671523"/>
    <w:rsid w:val="00671C13"/>
    <w:rsid w:val="006754EF"/>
    <w:rsid w:val="00676C8D"/>
    <w:rsid w:val="00676F1F"/>
    <w:rsid w:val="00677381"/>
    <w:rsid w:val="00677414"/>
    <w:rsid w:val="006832CF"/>
    <w:rsid w:val="0068601E"/>
    <w:rsid w:val="00686DF6"/>
    <w:rsid w:val="0069486B"/>
    <w:rsid w:val="006A0C35"/>
    <w:rsid w:val="006A3307"/>
    <w:rsid w:val="006A4904"/>
    <w:rsid w:val="006A548F"/>
    <w:rsid w:val="006A701A"/>
    <w:rsid w:val="006B4BB8"/>
    <w:rsid w:val="006B64DC"/>
    <w:rsid w:val="006B7A91"/>
    <w:rsid w:val="006D1C00"/>
    <w:rsid w:val="006D4704"/>
    <w:rsid w:val="006D6A2D"/>
    <w:rsid w:val="006E1E18"/>
    <w:rsid w:val="006E2472"/>
    <w:rsid w:val="006E31CE"/>
    <w:rsid w:val="006E34D3"/>
    <w:rsid w:val="006E7C49"/>
    <w:rsid w:val="006F1435"/>
    <w:rsid w:val="006F78C4"/>
    <w:rsid w:val="007031A0"/>
    <w:rsid w:val="00705A29"/>
    <w:rsid w:val="00707498"/>
    <w:rsid w:val="00711A65"/>
    <w:rsid w:val="007133F3"/>
    <w:rsid w:val="00714133"/>
    <w:rsid w:val="00714DA4"/>
    <w:rsid w:val="007158B2"/>
    <w:rsid w:val="00716081"/>
    <w:rsid w:val="00722B48"/>
    <w:rsid w:val="00724164"/>
    <w:rsid w:val="00725DE7"/>
    <w:rsid w:val="0072636A"/>
    <w:rsid w:val="00726B44"/>
    <w:rsid w:val="007318DD"/>
    <w:rsid w:val="00733167"/>
    <w:rsid w:val="0073613F"/>
    <w:rsid w:val="00740D2C"/>
    <w:rsid w:val="0074158D"/>
    <w:rsid w:val="00744BF9"/>
    <w:rsid w:val="00752623"/>
    <w:rsid w:val="00760F1F"/>
    <w:rsid w:val="007635AF"/>
    <w:rsid w:val="0076423E"/>
    <w:rsid w:val="007646CB"/>
    <w:rsid w:val="00765EE0"/>
    <w:rsid w:val="0076658F"/>
    <w:rsid w:val="0077040A"/>
    <w:rsid w:val="00772D64"/>
    <w:rsid w:val="00781E1E"/>
    <w:rsid w:val="00792609"/>
    <w:rsid w:val="00792887"/>
    <w:rsid w:val="00792D45"/>
    <w:rsid w:val="007943E2"/>
    <w:rsid w:val="00794F2C"/>
    <w:rsid w:val="007A3BC7"/>
    <w:rsid w:val="007A5AC4"/>
    <w:rsid w:val="007B0FDD"/>
    <w:rsid w:val="007B377C"/>
    <w:rsid w:val="007B4802"/>
    <w:rsid w:val="007B6668"/>
    <w:rsid w:val="007B6B33"/>
    <w:rsid w:val="007C2701"/>
    <w:rsid w:val="007D2192"/>
    <w:rsid w:val="007D32E4"/>
    <w:rsid w:val="007D6D98"/>
    <w:rsid w:val="007F0021"/>
    <w:rsid w:val="007F2F52"/>
    <w:rsid w:val="00801F71"/>
    <w:rsid w:val="008038D5"/>
    <w:rsid w:val="00805F28"/>
    <w:rsid w:val="0080749F"/>
    <w:rsid w:val="00811D46"/>
    <w:rsid w:val="008125B0"/>
    <w:rsid w:val="008144CB"/>
    <w:rsid w:val="00816AAC"/>
    <w:rsid w:val="00821717"/>
    <w:rsid w:val="00823EC6"/>
    <w:rsid w:val="00824210"/>
    <w:rsid w:val="008263C0"/>
    <w:rsid w:val="0083004C"/>
    <w:rsid w:val="00834471"/>
    <w:rsid w:val="00841422"/>
    <w:rsid w:val="00841D3B"/>
    <w:rsid w:val="0084314C"/>
    <w:rsid w:val="00843171"/>
    <w:rsid w:val="0084621D"/>
    <w:rsid w:val="008575C3"/>
    <w:rsid w:val="00857C4A"/>
    <w:rsid w:val="008625C5"/>
    <w:rsid w:val="00863A84"/>
    <w:rsid w:val="00863D28"/>
    <w:rsid w:val="008648C3"/>
    <w:rsid w:val="00873890"/>
    <w:rsid w:val="008751FA"/>
    <w:rsid w:val="00880F26"/>
    <w:rsid w:val="00890BD6"/>
    <w:rsid w:val="0089507D"/>
    <w:rsid w:val="00896C2E"/>
    <w:rsid w:val="008A5095"/>
    <w:rsid w:val="008A608F"/>
    <w:rsid w:val="008B1A9A"/>
    <w:rsid w:val="008B43F9"/>
    <w:rsid w:val="008B4FE6"/>
    <w:rsid w:val="008B6C37"/>
    <w:rsid w:val="008C1798"/>
    <w:rsid w:val="008C305B"/>
    <w:rsid w:val="008C4A1B"/>
    <w:rsid w:val="008E1850"/>
    <w:rsid w:val="008E18F7"/>
    <w:rsid w:val="008E1E10"/>
    <w:rsid w:val="008E291B"/>
    <w:rsid w:val="008E4F2F"/>
    <w:rsid w:val="008E74B0"/>
    <w:rsid w:val="008F4CE8"/>
    <w:rsid w:val="009008A8"/>
    <w:rsid w:val="00906248"/>
    <w:rsid w:val="009063B0"/>
    <w:rsid w:val="00907106"/>
    <w:rsid w:val="009107FD"/>
    <w:rsid w:val="0091137C"/>
    <w:rsid w:val="00911567"/>
    <w:rsid w:val="00917AAE"/>
    <w:rsid w:val="009248A0"/>
    <w:rsid w:val="009251A9"/>
    <w:rsid w:val="00925C11"/>
    <w:rsid w:val="00930699"/>
    <w:rsid w:val="00930E7B"/>
    <w:rsid w:val="00931F69"/>
    <w:rsid w:val="00934123"/>
    <w:rsid w:val="00953226"/>
    <w:rsid w:val="00955774"/>
    <w:rsid w:val="009560B5"/>
    <w:rsid w:val="00964F39"/>
    <w:rsid w:val="009703D6"/>
    <w:rsid w:val="00970F41"/>
    <w:rsid w:val="009710A6"/>
    <w:rsid w:val="0097181B"/>
    <w:rsid w:val="00976DC5"/>
    <w:rsid w:val="009818C7"/>
    <w:rsid w:val="00982DD4"/>
    <w:rsid w:val="009841E5"/>
    <w:rsid w:val="0098479F"/>
    <w:rsid w:val="00984A8A"/>
    <w:rsid w:val="009857B6"/>
    <w:rsid w:val="00985A8D"/>
    <w:rsid w:val="00986610"/>
    <w:rsid w:val="009877DC"/>
    <w:rsid w:val="00991F96"/>
    <w:rsid w:val="009925F3"/>
    <w:rsid w:val="00992620"/>
    <w:rsid w:val="00996F0A"/>
    <w:rsid w:val="009A1D86"/>
    <w:rsid w:val="009B049C"/>
    <w:rsid w:val="009B059B"/>
    <w:rsid w:val="009B11C8"/>
    <w:rsid w:val="009B2BCF"/>
    <w:rsid w:val="009B2FF8"/>
    <w:rsid w:val="009B5BA3"/>
    <w:rsid w:val="009D0027"/>
    <w:rsid w:val="009D0655"/>
    <w:rsid w:val="009E1E98"/>
    <w:rsid w:val="009E3ABE"/>
    <w:rsid w:val="009E3C4B"/>
    <w:rsid w:val="009E464A"/>
    <w:rsid w:val="009E4704"/>
    <w:rsid w:val="009F0637"/>
    <w:rsid w:val="009F1579"/>
    <w:rsid w:val="009F62A6"/>
    <w:rsid w:val="009F674F"/>
    <w:rsid w:val="009F799E"/>
    <w:rsid w:val="00A00F05"/>
    <w:rsid w:val="00A02020"/>
    <w:rsid w:val="00A056CB"/>
    <w:rsid w:val="00A07A29"/>
    <w:rsid w:val="00A10FF1"/>
    <w:rsid w:val="00A1506B"/>
    <w:rsid w:val="00A17CB2"/>
    <w:rsid w:val="00A20E60"/>
    <w:rsid w:val="00A2206C"/>
    <w:rsid w:val="00A23191"/>
    <w:rsid w:val="00A306F8"/>
    <w:rsid w:val="00A319C0"/>
    <w:rsid w:val="00A32F34"/>
    <w:rsid w:val="00A33560"/>
    <w:rsid w:val="00A364E4"/>
    <w:rsid w:val="00A371A5"/>
    <w:rsid w:val="00A47BDF"/>
    <w:rsid w:val="00A51CD7"/>
    <w:rsid w:val="00A52ADB"/>
    <w:rsid w:val="00A533E8"/>
    <w:rsid w:val="00A542D9"/>
    <w:rsid w:val="00A56E64"/>
    <w:rsid w:val="00A624C3"/>
    <w:rsid w:val="00A624C4"/>
    <w:rsid w:val="00A6641C"/>
    <w:rsid w:val="00A767D2"/>
    <w:rsid w:val="00A77616"/>
    <w:rsid w:val="00A805DA"/>
    <w:rsid w:val="00A811B4"/>
    <w:rsid w:val="00A84864"/>
    <w:rsid w:val="00A87CDE"/>
    <w:rsid w:val="00A92BAF"/>
    <w:rsid w:val="00A94737"/>
    <w:rsid w:val="00A94BA3"/>
    <w:rsid w:val="00A96CBA"/>
    <w:rsid w:val="00AA0DC9"/>
    <w:rsid w:val="00AA4F2A"/>
    <w:rsid w:val="00AB1ACD"/>
    <w:rsid w:val="00AB277F"/>
    <w:rsid w:val="00AB4099"/>
    <w:rsid w:val="00AB449A"/>
    <w:rsid w:val="00AB6A36"/>
    <w:rsid w:val="00AD14F9"/>
    <w:rsid w:val="00AD35D6"/>
    <w:rsid w:val="00AD58C5"/>
    <w:rsid w:val="00AE36C4"/>
    <w:rsid w:val="00AE3D2A"/>
    <w:rsid w:val="00AE472C"/>
    <w:rsid w:val="00AE5375"/>
    <w:rsid w:val="00AE6CF8"/>
    <w:rsid w:val="00AF4CAC"/>
    <w:rsid w:val="00B03E0D"/>
    <w:rsid w:val="00B054F8"/>
    <w:rsid w:val="00B05891"/>
    <w:rsid w:val="00B1647A"/>
    <w:rsid w:val="00B16A19"/>
    <w:rsid w:val="00B2219A"/>
    <w:rsid w:val="00B27509"/>
    <w:rsid w:val="00B3581B"/>
    <w:rsid w:val="00B363DC"/>
    <w:rsid w:val="00B36B81"/>
    <w:rsid w:val="00B36FEE"/>
    <w:rsid w:val="00B37C80"/>
    <w:rsid w:val="00B47F79"/>
    <w:rsid w:val="00B5092B"/>
    <w:rsid w:val="00B5194E"/>
    <w:rsid w:val="00B51AF5"/>
    <w:rsid w:val="00B531B4"/>
    <w:rsid w:val="00B531FC"/>
    <w:rsid w:val="00B5457B"/>
    <w:rsid w:val="00B55347"/>
    <w:rsid w:val="00B57E5E"/>
    <w:rsid w:val="00B605CF"/>
    <w:rsid w:val="00B61F37"/>
    <w:rsid w:val="00B77087"/>
    <w:rsid w:val="00B7770F"/>
    <w:rsid w:val="00B77A89"/>
    <w:rsid w:val="00B77B27"/>
    <w:rsid w:val="00B8134E"/>
    <w:rsid w:val="00B81B55"/>
    <w:rsid w:val="00B83303"/>
    <w:rsid w:val="00B84613"/>
    <w:rsid w:val="00B87AF0"/>
    <w:rsid w:val="00B9037B"/>
    <w:rsid w:val="00B910BD"/>
    <w:rsid w:val="00B93834"/>
    <w:rsid w:val="00B960EC"/>
    <w:rsid w:val="00B96469"/>
    <w:rsid w:val="00B972E9"/>
    <w:rsid w:val="00BA0DA2"/>
    <w:rsid w:val="00BA2981"/>
    <w:rsid w:val="00BA42EE"/>
    <w:rsid w:val="00BA48F9"/>
    <w:rsid w:val="00BA4D7A"/>
    <w:rsid w:val="00BB0DCA"/>
    <w:rsid w:val="00BB2666"/>
    <w:rsid w:val="00BB6B80"/>
    <w:rsid w:val="00BC3773"/>
    <w:rsid w:val="00BC381A"/>
    <w:rsid w:val="00BD0962"/>
    <w:rsid w:val="00BD1EED"/>
    <w:rsid w:val="00BE146E"/>
    <w:rsid w:val="00BE50EF"/>
    <w:rsid w:val="00BF0DA2"/>
    <w:rsid w:val="00BF109C"/>
    <w:rsid w:val="00BF26D0"/>
    <w:rsid w:val="00BF34FA"/>
    <w:rsid w:val="00C004B6"/>
    <w:rsid w:val="00C047A7"/>
    <w:rsid w:val="00C05DE5"/>
    <w:rsid w:val="00C2014B"/>
    <w:rsid w:val="00C33027"/>
    <w:rsid w:val="00C37667"/>
    <w:rsid w:val="00C42A10"/>
    <w:rsid w:val="00C435DB"/>
    <w:rsid w:val="00C44582"/>
    <w:rsid w:val="00C44D73"/>
    <w:rsid w:val="00C50B42"/>
    <w:rsid w:val="00C516FF"/>
    <w:rsid w:val="00C52BFA"/>
    <w:rsid w:val="00C53D1D"/>
    <w:rsid w:val="00C53F26"/>
    <w:rsid w:val="00C540BC"/>
    <w:rsid w:val="00C64A30"/>
    <w:rsid w:val="00C64F7D"/>
    <w:rsid w:val="00C67309"/>
    <w:rsid w:val="00C7614E"/>
    <w:rsid w:val="00C76212"/>
    <w:rsid w:val="00C77BF1"/>
    <w:rsid w:val="00C80D60"/>
    <w:rsid w:val="00C82FBD"/>
    <w:rsid w:val="00C85267"/>
    <w:rsid w:val="00C8721B"/>
    <w:rsid w:val="00C9372C"/>
    <w:rsid w:val="00C9470E"/>
    <w:rsid w:val="00C95CEB"/>
    <w:rsid w:val="00CA1054"/>
    <w:rsid w:val="00CA63EB"/>
    <w:rsid w:val="00CA69F1"/>
    <w:rsid w:val="00CB359F"/>
    <w:rsid w:val="00CB4EDF"/>
    <w:rsid w:val="00CB6991"/>
    <w:rsid w:val="00CC6194"/>
    <w:rsid w:val="00CC6305"/>
    <w:rsid w:val="00CC78A5"/>
    <w:rsid w:val="00CD0516"/>
    <w:rsid w:val="00CD3329"/>
    <w:rsid w:val="00CD756B"/>
    <w:rsid w:val="00CE3A2B"/>
    <w:rsid w:val="00CE4E81"/>
    <w:rsid w:val="00CE734F"/>
    <w:rsid w:val="00CF112E"/>
    <w:rsid w:val="00CF5F4F"/>
    <w:rsid w:val="00D02955"/>
    <w:rsid w:val="00D05566"/>
    <w:rsid w:val="00D172C3"/>
    <w:rsid w:val="00D218DC"/>
    <w:rsid w:val="00D24E56"/>
    <w:rsid w:val="00D26E4C"/>
    <w:rsid w:val="00D31643"/>
    <w:rsid w:val="00D31AEB"/>
    <w:rsid w:val="00D32ECD"/>
    <w:rsid w:val="00D361E4"/>
    <w:rsid w:val="00D42A8F"/>
    <w:rsid w:val="00D439F6"/>
    <w:rsid w:val="00D459C6"/>
    <w:rsid w:val="00D50729"/>
    <w:rsid w:val="00D50C19"/>
    <w:rsid w:val="00D5379E"/>
    <w:rsid w:val="00D62643"/>
    <w:rsid w:val="00D64C0F"/>
    <w:rsid w:val="00D6795E"/>
    <w:rsid w:val="00D71CB9"/>
    <w:rsid w:val="00D72EFE"/>
    <w:rsid w:val="00D730D3"/>
    <w:rsid w:val="00D761E0"/>
    <w:rsid w:val="00D76227"/>
    <w:rsid w:val="00D77DF1"/>
    <w:rsid w:val="00D86AFF"/>
    <w:rsid w:val="00D90596"/>
    <w:rsid w:val="00D95A44"/>
    <w:rsid w:val="00D95D16"/>
    <w:rsid w:val="00D97C76"/>
    <w:rsid w:val="00DA2E43"/>
    <w:rsid w:val="00DA63BB"/>
    <w:rsid w:val="00DB02B4"/>
    <w:rsid w:val="00DB382D"/>
    <w:rsid w:val="00DB489F"/>
    <w:rsid w:val="00DB538D"/>
    <w:rsid w:val="00DC275C"/>
    <w:rsid w:val="00DC4B0D"/>
    <w:rsid w:val="00DC576D"/>
    <w:rsid w:val="00DC6E3C"/>
    <w:rsid w:val="00DC7FE1"/>
    <w:rsid w:val="00DD3F3F"/>
    <w:rsid w:val="00DD5572"/>
    <w:rsid w:val="00DE2301"/>
    <w:rsid w:val="00DE5D80"/>
    <w:rsid w:val="00DF4B3D"/>
    <w:rsid w:val="00DF58CD"/>
    <w:rsid w:val="00DF65DE"/>
    <w:rsid w:val="00E019A5"/>
    <w:rsid w:val="00E023B7"/>
    <w:rsid w:val="00E02EC8"/>
    <w:rsid w:val="00E037F5"/>
    <w:rsid w:val="00E04ECB"/>
    <w:rsid w:val="00E05A09"/>
    <w:rsid w:val="00E06CA1"/>
    <w:rsid w:val="00E172B8"/>
    <w:rsid w:val="00E17FB4"/>
    <w:rsid w:val="00E20B75"/>
    <w:rsid w:val="00E214F2"/>
    <w:rsid w:val="00E22F30"/>
    <w:rsid w:val="00E2371E"/>
    <w:rsid w:val="00E24AEE"/>
    <w:rsid w:val="00E24BD7"/>
    <w:rsid w:val="00E256DE"/>
    <w:rsid w:val="00E26523"/>
    <w:rsid w:val="00E26809"/>
    <w:rsid w:val="00E31CB3"/>
    <w:rsid w:val="00E3412D"/>
    <w:rsid w:val="00E42886"/>
    <w:rsid w:val="00E5317B"/>
    <w:rsid w:val="00E57322"/>
    <w:rsid w:val="00E628CB"/>
    <w:rsid w:val="00E62AD9"/>
    <w:rsid w:val="00E638C8"/>
    <w:rsid w:val="00E7509B"/>
    <w:rsid w:val="00E770F2"/>
    <w:rsid w:val="00E86590"/>
    <w:rsid w:val="00E907FF"/>
    <w:rsid w:val="00EA42D1"/>
    <w:rsid w:val="00EA42EF"/>
    <w:rsid w:val="00EB2DD1"/>
    <w:rsid w:val="00EB6B37"/>
    <w:rsid w:val="00EC177B"/>
    <w:rsid w:val="00EC29FE"/>
    <w:rsid w:val="00EC3C70"/>
    <w:rsid w:val="00EC6927"/>
    <w:rsid w:val="00ED035D"/>
    <w:rsid w:val="00ED3A3D"/>
    <w:rsid w:val="00ED538A"/>
    <w:rsid w:val="00ED6FBC"/>
    <w:rsid w:val="00EE2F16"/>
    <w:rsid w:val="00EE3861"/>
    <w:rsid w:val="00EF1B5B"/>
    <w:rsid w:val="00EF2E73"/>
    <w:rsid w:val="00EF7683"/>
    <w:rsid w:val="00EF7A2D"/>
    <w:rsid w:val="00F00B9D"/>
    <w:rsid w:val="00F04F8D"/>
    <w:rsid w:val="00F05E32"/>
    <w:rsid w:val="00F10AD0"/>
    <w:rsid w:val="00F116CC"/>
    <w:rsid w:val="00F12BD1"/>
    <w:rsid w:val="00F15327"/>
    <w:rsid w:val="00F168CF"/>
    <w:rsid w:val="00F2555C"/>
    <w:rsid w:val="00F31DF3"/>
    <w:rsid w:val="00F33AE5"/>
    <w:rsid w:val="00F3597D"/>
    <w:rsid w:val="00F4376D"/>
    <w:rsid w:val="00F4399F"/>
    <w:rsid w:val="00F45399"/>
    <w:rsid w:val="00F465EA"/>
    <w:rsid w:val="00F54E7B"/>
    <w:rsid w:val="00F553DF"/>
    <w:rsid w:val="00F55A88"/>
    <w:rsid w:val="00F61417"/>
    <w:rsid w:val="00F74005"/>
    <w:rsid w:val="00F758C1"/>
    <w:rsid w:val="00F76884"/>
    <w:rsid w:val="00F824B4"/>
    <w:rsid w:val="00F83D24"/>
    <w:rsid w:val="00F83DD9"/>
    <w:rsid w:val="00F83F40"/>
    <w:rsid w:val="00FA117A"/>
    <w:rsid w:val="00FA3971"/>
    <w:rsid w:val="00FA6956"/>
    <w:rsid w:val="00FB386A"/>
    <w:rsid w:val="00FC0786"/>
    <w:rsid w:val="00FC2679"/>
    <w:rsid w:val="00FC49EF"/>
    <w:rsid w:val="00FE36E2"/>
    <w:rsid w:val="00FF11AD"/>
    <w:rsid w:val="00FF24A2"/>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ARTartustawynprozporzdzenia">
    <w:name w:val="ART(§) – art. ustawy (§ np. rozporządzenia)"/>
    <w:uiPriority w:val="11"/>
    <w:qFormat/>
    <w:rsid w:val="00C2014B"/>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Legenda">
    <w:name w:val="caption"/>
    <w:basedOn w:val="Normalny"/>
    <w:next w:val="Normalny"/>
    <w:semiHidden/>
    <w:unhideWhenUsed/>
    <w:qFormat/>
    <w:locked/>
    <w:rsid w:val="00144EAE"/>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ARTartustawynprozporzdzenia">
    <w:name w:val="ART(§) – art. ustawy (§ np. rozporządzenia)"/>
    <w:uiPriority w:val="11"/>
    <w:qFormat/>
    <w:rsid w:val="00C2014B"/>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styleId="Legenda">
    <w:name w:val="caption"/>
    <w:basedOn w:val="Normalny"/>
    <w:next w:val="Normalny"/>
    <w:semiHidden/>
    <w:unhideWhenUsed/>
    <w:qFormat/>
    <w:locked/>
    <w:rsid w:val="00144EAE"/>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52311671">
      <w:bodyDiv w:val="1"/>
      <w:marLeft w:val="0"/>
      <w:marRight w:val="0"/>
      <w:marTop w:val="0"/>
      <w:marBottom w:val="0"/>
      <w:divBdr>
        <w:top w:val="none" w:sz="0" w:space="0" w:color="auto"/>
        <w:left w:val="none" w:sz="0" w:space="0" w:color="auto"/>
        <w:bottom w:val="none" w:sz="0" w:space="0" w:color="auto"/>
        <w:right w:val="none" w:sz="0" w:space="0" w:color="auto"/>
      </w:divBdr>
    </w:div>
    <w:div w:id="58292618">
      <w:bodyDiv w:val="1"/>
      <w:marLeft w:val="0"/>
      <w:marRight w:val="0"/>
      <w:marTop w:val="0"/>
      <w:marBottom w:val="0"/>
      <w:divBdr>
        <w:top w:val="none" w:sz="0" w:space="0" w:color="auto"/>
        <w:left w:val="none" w:sz="0" w:space="0" w:color="auto"/>
        <w:bottom w:val="none" w:sz="0" w:space="0" w:color="auto"/>
        <w:right w:val="none" w:sz="0" w:space="0" w:color="auto"/>
      </w:divBdr>
    </w:div>
    <w:div w:id="173230296">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27813079">
      <w:bodyDiv w:val="1"/>
      <w:marLeft w:val="0"/>
      <w:marRight w:val="0"/>
      <w:marTop w:val="0"/>
      <w:marBottom w:val="0"/>
      <w:divBdr>
        <w:top w:val="none" w:sz="0" w:space="0" w:color="auto"/>
        <w:left w:val="none" w:sz="0" w:space="0" w:color="auto"/>
        <w:bottom w:val="none" w:sz="0" w:space="0" w:color="auto"/>
        <w:right w:val="none" w:sz="0" w:space="0" w:color="auto"/>
      </w:divBdr>
    </w:div>
    <w:div w:id="302007246">
      <w:bodyDiv w:val="1"/>
      <w:marLeft w:val="0"/>
      <w:marRight w:val="0"/>
      <w:marTop w:val="0"/>
      <w:marBottom w:val="0"/>
      <w:divBdr>
        <w:top w:val="none" w:sz="0" w:space="0" w:color="auto"/>
        <w:left w:val="none" w:sz="0" w:space="0" w:color="auto"/>
        <w:bottom w:val="none" w:sz="0" w:space="0" w:color="auto"/>
        <w:right w:val="none" w:sz="0" w:space="0" w:color="auto"/>
      </w:divBdr>
    </w:div>
    <w:div w:id="332538360">
      <w:bodyDiv w:val="1"/>
      <w:marLeft w:val="0"/>
      <w:marRight w:val="0"/>
      <w:marTop w:val="0"/>
      <w:marBottom w:val="0"/>
      <w:divBdr>
        <w:top w:val="none" w:sz="0" w:space="0" w:color="auto"/>
        <w:left w:val="none" w:sz="0" w:space="0" w:color="auto"/>
        <w:bottom w:val="none" w:sz="0" w:space="0" w:color="auto"/>
        <w:right w:val="none" w:sz="0" w:space="0" w:color="auto"/>
      </w:divBdr>
    </w:div>
    <w:div w:id="436876432">
      <w:bodyDiv w:val="1"/>
      <w:marLeft w:val="0"/>
      <w:marRight w:val="0"/>
      <w:marTop w:val="0"/>
      <w:marBottom w:val="0"/>
      <w:divBdr>
        <w:top w:val="none" w:sz="0" w:space="0" w:color="auto"/>
        <w:left w:val="none" w:sz="0" w:space="0" w:color="auto"/>
        <w:bottom w:val="none" w:sz="0" w:space="0" w:color="auto"/>
        <w:right w:val="none" w:sz="0" w:space="0" w:color="auto"/>
      </w:divBdr>
    </w:div>
    <w:div w:id="474419832">
      <w:bodyDiv w:val="1"/>
      <w:marLeft w:val="0"/>
      <w:marRight w:val="0"/>
      <w:marTop w:val="0"/>
      <w:marBottom w:val="0"/>
      <w:divBdr>
        <w:top w:val="none" w:sz="0" w:space="0" w:color="auto"/>
        <w:left w:val="none" w:sz="0" w:space="0" w:color="auto"/>
        <w:bottom w:val="none" w:sz="0" w:space="0" w:color="auto"/>
        <w:right w:val="none" w:sz="0" w:space="0" w:color="auto"/>
      </w:divBdr>
    </w:div>
    <w:div w:id="537006728">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47251894">
      <w:bodyDiv w:val="1"/>
      <w:marLeft w:val="0"/>
      <w:marRight w:val="0"/>
      <w:marTop w:val="0"/>
      <w:marBottom w:val="0"/>
      <w:divBdr>
        <w:top w:val="none" w:sz="0" w:space="0" w:color="auto"/>
        <w:left w:val="none" w:sz="0" w:space="0" w:color="auto"/>
        <w:bottom w:val="none" w:sz="0" w:space="0" w:color="auto"/>
        <w:right w:val="none" w:sz="0" w:space="0" w:color="auto"/>
      </w:divBdr>
    </w:div>
    <w:div w:id="693772968">
      <w:bodyDiv w:val="1"/>
      <w:marLeft w:val="0"/>
      <w:marRight w:val="0"/>
      <w:marTop w:val="0"/>
      <w:marBottom w:val="0"/>
      <w:divBdr>
        <w:top w:val="none" w:sz="0" w:space="0" w:color="auto"/>
        <w:left w:val="none" w:sz="0" w:space="0" w:color="auto"/>
        <w:bottom w:val="none" w:sz="0" w:space="0" w:color="auto"/>
        <w:right w:val="none" w:sz="0" w:space="0" w:color="auto"/>
      </w:divBdr>
    </w:div>
    <w:div w:id="773211850">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854728643">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18330430">
      <w:bodyDiv w:val="1"/>
      <w:marLeft w:val="0"/>
      <w:marRight w:val="0"/>
      <w:marTop w:val="0"/>
      <w:marBottom w:val="0"/>
      <w:divBdr>
        <w:top w:val="none" w:sz="0" w:space="0" w:color="auto"/>
        <w:left w:val="none" w:sz="0" w:space="0" w:color="auto"/>
        <w:bottom w:val="none" w:sz="0" w:space="0" w:color="auto"/>
        <w:right w:val="none" w:sz="0" w:space="0" w:color="auto"/>
      </w:divBdr>
    </w:div>
    <w:div w:id="1183587056">
      <w:bodyDiv w:val="1"/>
      <w:marLeft w:val="0"/>
      <w:marRight w:val="0"/>
      <w:marTop w:val="0"/>
      <w:marBottom w:val="0"/>
      <w:divBdr>
        <w:top w:val="none" w:sz="0" w:space="0" w:color="auto"/>
        <w:left w:val="none" w:sz="0" w:space="0" w:color="auto"/>
        <w:bottom w:val="none" w:sz="0" w:space="0" w:color="auto"/>
        <w:right w:val="none" w:sz="0" w:space="0" w:color="auto"/>
      </w:divBdr>
    </w:div>
    <w:div w:id="1204949982">
      <w:bodyDiv w:val="1"/>
      <w:marLeft w:val="0"/>
      <w:marRight w:val="0"/>
      <w:marTop w:val="0"/>
      <w:marBottom w:val="0"/>
      <w:divBdr>
        <w:top w:val="none" w:sz="0" w:space="0" w:color="auto"/>
        <w:left w:val="none" w:sz="0" w:space="0" w:color="auto"/>
        <w:bottom w:val="none" w:sz="0" w:space="0" w:color="auto"/>
        <w:right w:val="none" w:sz="0" w:space="0" w:color="auto"/>
      </w:divBdr>
    </w:div>
    <w:div w:id="1309675649">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529635966">
      <w:bodyDiv w:val="1"/>
      <w:marLeft w:val="0"/>
      <w:marRight w:val="0"/>
      <w:marTop w:val="0"/>
      <w:marBottom w:val="0"/>
      <w:divBdr>
        <w:top w:val="none" w:sz="0" w:space="0" w:color="auto"/>
        <w:left w:val="none" w:sz="0" w:space="0" w:color="auto"/>
        <w:bottom w:val="none" w:sz="0" w:space="0" w:color="auto"/>
        <w:right w:val="none" w:sz="0" w:space="0" w:color="auto"/>
      </w:divBdr>
    </w:div>
    <w:div w:id="1614939914">
      <w:bodyDiv w:val="1"/>
      <w:marLeft w:val="0"/>
      <w:marRight w:val="0"/>
      <w:marTop w:val="0"/>
      <w:marBottom w:val="0"/>
      <w:divBdr>
        <w:top w:val="none" w:sz="0" w:space="0" w:color="auto"/>
        <w:left w:val="none" w:sz="0" w:space="0" w:color="auto"/>
        <w:bottom w:val="none" w:sz="0" w:space="0" w:color="auto"/>
        <w:right w:val="none" w:sz="0" w:space="0" w:color="auto"/>
      </w:divBdr>
    </w:div>
    <w:div w:id="1633174255">
      <w:bodyDiv w:val="1"/>
      <w:marLeft w:val="0"/>
      <w:marRight w:val="0"/>
      <w:marTop w:val="0"/>
      <w:marBottom w:val="0"/>
      <w:divBdr>
        <w:top w:val="none" w:sz="0" w:space="0" w:color="auto"/>
        <w:left w:val="none" w:sz="0" w:space="0" w:color="auto"/>
        <w:bottom w:val="none" w:sz="0" w:space="0" w:color="auto"/>
        <w:right w:val="none" w:sz="0" w:space="0" w:color="auto"/>
      </w:divBdr>
    </w:div>
    <w:div w:id="164438388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019917246">
      <w:bodyDiv w:val="1"/>
      <w:marLeft w:val="0"/>
      <w:marRight w:val="0"/>
      <w:marTop w:val="0"/>
      <w:marBottom w:val="0"/>
      <w:divBdr>
        <w:top w:val="none" w:sz="0" w:space="0" w:color="auto"/>
        <w:left w:val="none" w:sz="0" w:space="0" w:color="auto"/>
        <w:bottom w:val="none" w:sz="0" w:space="0" w:color="auto"/>
        <w:right w:val="none" w:sz="0" w:space="0" w:color="auto"/>
      </w:divBdr>
      <w:divsChild>
        <w:div w:id="1646549458">
          <w:marLeft w:val="0"/>
          <w:marRight w:val="0"/>
          <w:marTop w:val="0"/>
          <w:marBottom w:val="0"/>
          <w:divBdr>
            <w:top w:val="none" w:sz="0" w:space="0" w:color="auto"/>
            <w:left w:val="none" w:sz="0" w:space="0" w:color="auto"/>
            <w:bottom w:val="none" w:sz="0" w:space="0" w:color="auto"/>
            <w:right w:val="none" w:sz="0" w:space="0" w:color="auto"/>
          </w:divBdr>
        </w:div>
        <w:div w:id="1714689217">
          <w:marLeft w:val="0"/>
          <w:marRight w:val="0"/>
          <w:marTop w:val="0"/>
          <w:marBottom w:val="0"/>
          <w:divBdr>
            <w:top w:val="none" w:sz="0" w:space="0" w:color="auto"/>
            <w:left w:val="none" w:sz="0" w:space="0" w:color="auto"/>
            <w:bottom w:val="none" w:sz="0" w:space="0" w:color="auto"/>
            <w:right w:val="none" w:sz="0" w:space="0" w:color="auto"/>
          </w:divBdr>
        </w:div>
        <w:div w:id="862742314">
          <w:marLeft w:val="0"/>
          <w:marRight w:val="0"/>
          <w:marTop w:val="0"/>
          <w:marBottom w:val="0"/>
          <w:divBdr>
            <w:top w:val="none" w:sz="0" w:space="0" w:color="auto"/>
            <w:left w:val="none" w:sz="0" w:space="0" w:color="auto"/>
            <w:bottom w:val="none" w:sz="0" w:space="0" w:color="auto"/>
            <w:right w:val="none" w:sz="0" w:space="0" w:color="auto"/>
          </w:divBdr>
        </w:div>
        <w:div w:id="1430391701">
          <w:marLeft w:val="0"/>
          <w:marRight w:val="0"/>
          <w:marTop w:val="0"/>
          <w:marBottom w:val="0"/>
          <w:divBdr>
            <w:top w:val="none" w:sz="0" w:space="0" w:color="auto"/>
            <w:left w:val="none" w:sz="0" w:space="0" w:color="auto"/>
            <w:bottom w:val="none" w:sz="0" w:space="0" w:color="auto"/>
            <w:right w:val="none" w:sz="0" w:space="0" w:color="auto"/>
          </w:divBdr>
        </w:div>
        <w:div w:id="139612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nbp.pl/home.aspx?f=/polityka_pieniezna/dokumenty/necmod.html" TargetMode="External"/><Relationship Id="rId4" Type="http://schemas.microsoft.com/office/2007/relationships/stylesWithEffects" Target="stylesWithEffects.xml"/><Relationship Id="rId9" Type="http://schemas.openxmlformats.org/officeDocument/2006/relationships/hyperlink" Target="mailto:dominik.wasiluk@mpi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6F44-2B00-4735-8DF7-DCEB5E9A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2894</Words>
  <Characters>17368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2018-02-02T18:10:00Z</dcterms:created>
  <dcterms:modified xsi:type="dcterms:W3CDTF">2018-04-24T13:42:00Z</dcterms:modified>
</cp:coreProperties>
</file>