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0B75EF" w:rsidRPr="000B75EF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:rsidR="006A701A" w:rsidRPr="000B75EF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sz w:val="20"/>
                <w:szCs w:val="20"/>
              </w:rPr>
            </w:pPr>
            <w:bookmarkStart w:id="0" w:name="t1"/>
            <w:bookmarkStart w:id="1" w:name="_GoBack"/>
            <w:bookmarkEnd w:id="1"/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1B75D8" w:rsidRPr="000B75EF">
              <w:rPr>
                <w:rFonts w:ascii="Times New Roman" w:hAnsi="Times New Roman"/>
                <w:b/>
                <w:sz w:val="20"/>
                <w:szCs w:val="20"/>
              </w:rPr>
              <w:t>projektu</w:t>
            </w:r>
          </w:p>
          <w:p w:rsidR="00A05C2B" w:rsidRPr="000B75EF" w:rsidRDefault="00A05C2B" w:rsidP="00A52ADB">
            <w:pPr>
              <w:spacing w:line="240" w:lineRule="auto"/>
              <w:ind w:hanging="34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A05C2B" w:rsidRPr="000B75EF" w:rsidRDefault="00A05C2B" w:rsidP="00A05C2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Rozporządzenie Ministra </w:t>
            </w:r>
            <w:r w:rsidR="003B546B" w:rsidRPr="000B75EF">
              <w:rPr>
                <w:rFonts w:ascii="Times New Roman" w:hAnsi="Times New Roman"/>
                <w:sz w:val="20"/>
                <w:szCs w:val="20"/>
              </w:rPr>
              <w:t>Rozwoju i Finansów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46B" w:rsidRPr="000B75E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>sprawie szczegółowych zasad podziału up</w:t>
            </w:r>
            <w:r w:rsidR="002675A0" w:rsidRPr="000B75EF">
              <w:rPr>
                <w:rFonts w:ascii="Times New Roman" w:hAnsi="Times New Roman"/>
                <w:sz w:val="20"/>
                <w:szCs w:val="20"/>
              </w:rPr>
              <w:t>rawnionych pracowników na grupy i ustale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>nia liczby akcji przypadających na każdą z tych grup oraz trybu nabywania akcji przez uprawnionych pracowników.</w:t>
            </w:r>
          </w:p>
          <w:p w:rsidR="006A701A" w:rsidRPr="000B75EF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Ministerstwo wiodące i ministerstwa współpracujące</w:t>
            </w:r>
          </w:p>
          <w:bookmarkEnd w:id="0"/>
          <w:p w:rsidR="006A701A" w:rsidRPr="000B75EF" w:rsidRDefault="006A701A" w:rsidP="00A52ADB">
            <w:pPr>
              <w:spacing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</w:p>
          <w:p w:rsidR="002D1275" w:rsidRPr="000B75EF" w:rsidRDefault="002D1275" w:rsidP="002D1275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Minister</w:t>
            </w:r>
            <w:r w:rsidR="003B546B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stwo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B546B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Rozwoju</w:t>
            </w:r>
          </w:p>
          <w:p w:rsidR="002D1275" w:rsidRPr="000B75EF" w:rsidRDefault="002D1275" w:rsidP="00A52ADB">
            <w:pPr>
              <w:spacing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</w:p>
          <w:p w:rsidR="001B3460" w:rsidRPr="000B75EF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Osoba odpowiedzialna za projekt w randze Ministra, Sekretarza Stanu lub Podsekretarza Stanu </w:t>
            </w:r>
          </w:p>
          <w:p w:rsidR="001B3460" w:rsidRPr="000B75EF" w:rsidRDefault="001B3460" w:rsidP="001B34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D1275" w:rsidRPr="000B75EF" w:rsidRDefault="003B546B" w:rsidP="002D1275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Mateusz Morawiecki</w:t>
            </w:r>
            <w:r w:rsidR="002D1275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– 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Wicepremier, Minister Rozwoju i Finansów</w:t>
            </w:r>
          </w:p>
          <w:p w:rsidR="006A701A" w:rsidRPr="000B75EF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Kontakt do opiekuna merytorycznego projektu</w:t>
            </w:r>
          </w:p>
          <w:p w:rsidR="00070A70" w:rsidRPr="000B75EF" w:rsidRDefault="00070A70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1275" w:rsidRPr="000B75EF" w:rsidRDefault="003B546B" w:rsidP="002D1275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Edyta Pietrzak - Potępa</w:t>
            </w:r>
            <w:r w:rsidR="002D1275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naczelnik</w:t>
            </w:r>
            <w:r w:rsidR="002D1275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w Departamencie 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Zobowiązań</w:t>
            </w:r>
            <w:r w:rsidR="002D1275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i 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Analiz MR</w:t>
            </w:r>
            <w:r w:rsidR="002D1275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, tel.: </w:t>
            </w:r>
            <w:r w:rsidR="00070A70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22</w:t>
            </w:r>
            <w:r w:rsidR="005F0632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 </w:t>
            </w:r>
            <w:r w:rsidR="002D1275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69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</w:t>
            </w:r>
            <w:r w:rsidR="005F0632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51</w:t>
            </w:r>
            <w:r w:rsidR="005F0632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17</w:t>
            </w:r>
            <w:r w:rsidR="002D1275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email: 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edyta.pietrzak-potepa</w:t>
            </w:r>
            <w:r w:rsidR="002D1275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@</w:t>
            </w: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mr</w:t>
            </w:r>
            <w:r w:rsidR="002D1275"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.gov.pl</w:t>
            </w:r>
          </w:p>
          <w:p w:rsidR="002D1275" w:rsidRPr="000B75EF" w:rsidRDefault="002D1275" w:rsidP="00A17CB2">
            <w:pPr>
              <w:spacing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12"/>
            <w:shd w:val="clear" w:color="auto" w:fill="FFFFFF"/>
          </w:tcPr>
          <w:p w:rsidR="002D1275" w:rsidRPr="000B75EF" w:rsidRDefault="001B3460" w:rsidP="001B34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Data sporządzenia</w:t>
            </w:r>
            <w:r w:rsidRPr="000B75EF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  <w:p w:rsidR="001B3460" w:rsidRPr="000B75EF" w:rsidRDefault="005F0632" w:rsidP="001B346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11.07.</w:t>
            </w:r>
            <w:r w:rsidR="002D1275" w:rsidRPr="000B75EF">
              <w:rPr>
                <w:rFonts w:ascii="Times New Roman" w:hAnsi="Times New Roman"/>
                <w:sz w:val="20"/>
                <w:szCs w:val="20"/>
              </w:rPr>
              <w:t>201</w:t>
            </w:r>
            <w:r w:rsidR="003B546B" w:rsidRPr="000B75EF">
              <w:rPr>
                <w:rFonts w:ascii="Times New Roman" w:hAnsi="Times New Roman"/>
                <w:sz w:val="20"/>
                <w:szCs w:val="20"/>
              </w:rPr>
              <w:t>7</w:t>
            </w:r>
            <w:r w:rsidR="002D1275" w:rsidRPr="000B75EF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  <w:p w:rsidR="00F76884" w:rsidRPr="000B75EF" w:rsidRDefault="00F76884" w:rsidP="00F7688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6884" w:rsidRPr="000B75EF" w:rsidRDefault="00F76884" w:rsidP="00F7688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Źródło: </w:t>
            </w:r>
            <w:bookmarkStart w:id="2" w:name="Lista1"/>
          </w:p>
          <w:bookmarkEnd w:id="2"/>
          <w:p w:rsidR="002D1275" w:rsidRPr="000B75EF" w:rsidRDefault="002D1275" w:rsidP="00F768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546B" w:rsidRPr="000B75EF" w:rsidRDefault="003B546B" w:rsidP="00B31B0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Delegacja zawarta w art. 36 ust. 5  ustawy z dnia 30 sierpnia 1996r. o komercjalizacji i niektórych uprawnieniach pracowników (Dz.U. z 2016r. poz. 981 z </w:t>
            </w:r>
            <w:proofErr w:type="spellStart"/>
            <w:r w:rsidRPr="000B75EF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0B75EF">
              <w:rPr>
                <w:rFonts w:ascii="Times New Roman" w:hAnsi="Times New Roman"/>
                <w:sz w:val="20"/>
                <w:szCs w:val="20"/>
              </w:rPr>
              <w:t>. zm.)</w:t>
            </w:r>
          </w:p>
          <w:p w:rsidR="00F76884" w:rsidRPr="000B75EF" w:rsidRDefault="00F76884" w:rsidP="00F768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701A" w:rsidRPr="000B75EF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Nr </w:t>
            </w:r>
            <w:r w:rsidR="0057668E" w:rsidRPr="000B75EF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wykaz</w:t>
            </w:r>
            <w:r w:rsidR="0057668E" w:rsidRPr="000B75EF">
              <w:rPr>
                <w:rFonts w:ascii="Times New Roman" w:hAnsi="Times New Roman"/>
                <w:b/>
                <w:sz w:val="20"/>
                <w:szCs w:val="20"/>
              </w:rPr>
              <w:t>ie</w:t>
            </w: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prac </w:t>
            </w:r>
            <w:r w:rsidR="00660FA1" w:rsidRPr="000B75EF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  <w:p w:rsidR="006A701A" w:rsidRPr="000B75EF" w:rsidRDefault="006A701A" w:rsidP="007943E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A701A" w:rsidRPr="000B75EF" w:rsidRDefault="006A701A" w:rsidP="00A17CB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6A701A" w:rsidRPr="000B75EF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OCENA SKUTKÓW REGULACJI</w:t>
            </w:r>
          </w:p>
        </w:tc>
      </w:tr>
      <w:tr w:rsidR="000B75EF" w:rsidRPr="000B75EF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0B75EF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Jaki problem jest </w:t>
            </w:r>
            <w:r w:rsidR="00CC6305" w:rsidRPr="000B75EF">
              <w:rPr>
                <w:rFonts w:ascii="Times New Roman" w:hAnsi="Times New Roman"/>
                <w:b/>
                <w:sz w:val="20"/>
                <w:szCs w:val="20"/>
              </w:rPr>
              <w:t>rozwiązywany?</w:t>
            </w:r>
            <w:bookmarkStart w:id="3" w:name="Wybór1"/>
            <w:bookmarkEnd w:id="3"/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A05C2B" w:rsidRPr="000B75EF" w:rsidRDefault="00DE16B8" w:rsidP="005F0632">
            <w:pPr>
              <w:spacing w:line="36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75E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Wydanie</w:t>
            </w:r>
            <w:r w:rsidR="00A05C2B" w:rsidRPr="000B75EF">
              <w:rPr>
                <w:rFonts w:ascii="Times New Roman" w:hAnsi="Times New Roman"/>
                <w:sz w:val="20"/>
                <w:szCs w:val="20"/>
              </w:rPr>
              <w:t xml:space="preserve"> rozporządzenia Ministra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>Rozwoju i Finansów</w:t>
            </w:r>
            <w:r w:rsidR="00A05C2B" w:rsidRPr="000B75EF">
              <w:rPr>
                <w:rFonts w:ascii="Times New Roman" w:hAnsi="Times New Roman"/>
                <w:sz w:val="20"/>
                <w:szCs w:val="20"/>
              </w:rPr>
              <w:t xml:space="preserve"> w sprawie szczegółowych zasad podziału up</w:t>
            </w:r>
            <w:r w:rsidR="002675A0" w:rsidRPr="000B75EF">
              <w:rPr>
                <w:rFonts w:ascii="Times New Roman" w:hAnsi="Times New Roman"/>
                <w:sz w:val="20"/>
                <w:szCs w:val="20"/>
              </w:rPr>
              <w:t>rawnionych pracowników na grupy i ustale</w:t>
            </w:r>
            <w:r w:rsidR="00A05C2B" w:rsidRPr="000B75EF">
              <w:rPr>
                <w:rFonts w:ascii="Times New Roman" w:hAnsi="Times New Roman"/>
                <w:sz w:val="20"/>
                <w:szCs w:val="20"/>
              </w:rPr>
              <w:t xml:space="preserve">nia liczby akcji przypadających na każdą z tych grup oraz trybu nabywania akcji przez uprawnionych pracowników </w:t>
            </w:r>
            <w:r w:rsidR="00A05C2B" w:rsidRPr="000B75EF">
              <w:rPr>
                <w:rFonts w:ascii="Times New Roman" w:eastAsiaTheme="minorHAnsi" w:hAnsi="Times New Roman"/>
                <w:sz w:val="20"/>
                <w:szCs w:val="20"/>
              </w:rPr>
              <w:t xml:space="preserve">ma na </w:t>
            </w:r>
            <w:r w:rsidRPr="000B75EF">
              <w:rPr>
                <w:rFonts w:ascii="Times New Roman" w:eastAsiaTheme="minorHAnsi" w:hAnsi="Times New Roman"/>
                <w:sz w:val="20"/>
                <w:szCs w:val="20"/>
              </w:rPr>
              <w:t xml:space="preserve">celu </w:t>
            </w:r>
            <w:r w:rsidR="00F44D24" w:rsidRPr="000B75EF">
              <w:rPr>
                <w:rFonts w:ascii="Times New Roman" w:eastAsiaTheme="minorHAnsi" w:hAnsi="Times New Roman"/>
                <w:sz w:val="20"/>
                <w:szCs w:val="20"/>
              </w:rPr>
              <w:t xml:space="preserve">ustalenie szczegółowych zasad podziału uprawnionych pracowników na grupy na podstawie ustawy </w:t>
            </w:r>
            <w:r w:rsidR="00F44D24" w:rsidRPr="000B75EF">
              <w:rPr>
                <w:rFonts w:ascii="Times New Roman" w:hAnsi="Times New Roman"/>
                <w:sz w:val="20"/>
                <w:szCs w:val="20"/>
              </w:rPr>
              <w:t xml:space="preserve">30 sierpnia 1996r. </w:t>
            </w:r>
            <w:r w:rsidR="005F0632" w:rsidRPr="000B75EF">
              <w:rPr>
                <w:rFonts w:ascii="Times New Roman" w:hAnsi="Times New Roman"/>
                <w:sz w:val="20"/>
                <w:szCs w:val="20"/>
              </w:rPr>
              <w:br/>
            </w:r>
            <w:r w:rsidR="00F44D24" w:rsidRPr="000B75EF">
              <w:rPr>
                <w:rFonts w:ascii="Times New Roman" w:hAnsi="Times New Roman"/>
                <w:sz w:val="20"/>
                <w:szCs w:val="20"/>
              </w:rPr>
              <w:t>o komercjalizacji i niektórych uprawnieniach pracowników</w:t>
            </w:r>
            <w:r w:rsidR="00F44D24" w:rsidRPr="000B75EF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0B75EF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Rekomendowane rozwiązanie, w tym planowane narzędzia interwencji, i oczekiwany efekt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A05C2B" w:rsidRPr="000B75EF" w:rsidRDefault="00F44D24" w:rsidP="0052010C">
            <w:pPr>
              <w:spacing w:line="36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Celem rekomendowanego rozwiązania jest niezakłócone </w:t>
            </w:r>
            <w:r w:rsidR="0052010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zbywanie</w:t>
            </w:r>
            <w:r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akcji  uprawnionym pracownikom zgodnie z  przyjętymi zasadami. </w:t>
            </w:r>
            <w:r w:rsidR="0052010C" w:rsidRPr="000B75EF">
              <w:rPr>
                <w:rFonts w:ascii="Times New Roman" w:hAnsi="Times New Roman"/>
                <w:sz w:val="20"/>
                <w:szCs w:val="20"/>
              </w:rPr>
              <w:t xml:space="preserve">Zapisy rozporządzenia uregulują wykonywanie czynności spółek w związku z realizacją procedury nieodpłatnego zbycia akcji m.in. sporządzanie list uprawnionych, przyjmowanie i rozpatrywanie reklamacji, podział uprawnionych pracowników na grupy stażowe, ustalanie ilości akcji przypadających na każdą z grup uprawnionych, sporządzanie oświadczeń, umów nieodpłatnego zbycia akcji i pisemnych sprawozdań z wykonanych czynności. </w:t>
            </w:r>
            <w:r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Brak przyjętego rozwiązania uniemożliwiłby niezakłócone i prawidłowe </w:t>
            </w:r>
            <w:r w:rsidR="0052010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zbywanie</w:t>
            </w:r>
            <w:r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akcji. Zakładanym efektem przyjętych rozwiązań jest zapewnienie właściwego </w:t>
            </w:r>
            <w:r w:rsidR="0052010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nadzoru </w:t>
            </w:r>
            <w:r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przez Ministra Rozwoju</w:t>
            </w:r>
            <w:r w:rsidR="00C42C1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758F8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br/>
            </w:r>
            <w:r w:rsidR="00C42C1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 F</w:t>
            </w:r>
            <w:r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inansów</w:t>
            </w:r>
            <w:r w:rsidR="00C42C1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,</w:t>
            </w:r>
            <w:r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z punktu widzenia interesu społecznego</w:t>
            </w:r>
            <w:r w:rsidR="00C42C1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,</w:t>
            </w:r>
            <w:r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2010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nad procesem </w:t>
            </w:r>
            <w:r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udostępnienia akcji pracowniczych. </w:t>
            </w:r>
            <w:r w:rsidR="0061688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2010C" w:rsidRPr="000B75EF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Rozporządzenie da również podstawę spółkom do realizacji procesu zbywania akcji w imieniu Skarbu Państwa.</w:t>
            </w:r>
          </w:p>
        </w:tc>
      </w:tr>
      <w:tr w:rsidR="000B75EF" w:rsidRPr="000B75EF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0B75EF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Jak problem został rozwiązany w innych krajach, w szczególności krajach członkowskich OECD/UE</w:t>
            </w:r>
            <w:r w:rsidR="006A701A" w:rsidRPr="000B75EF">
              <w:rPr>
                <w:rFonts w:ascii="Times New Roman" w:hAnsi="Times New Roman"/>
                <w:b/>
                <w:sz w:val="20"/>
                <w:szCs w:val="20"/>
              </w:rPr>
              <w:t>?</w:t>
            </w:r>
            <w:r w:rsidR="006A701A" w:rsidRPr="000B75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B75EF" w:rsidRPr="000B75EF" w:rsidTr="0052010C">
        <w:trPr>
          <w:gridAfter w:val="1"/>
          <w:wAfter w:w="10" w:type="dxa"/>
          <w:trHeight w:val="496"/>
        </w:trPr>
        <w:tc>
          <w:tcPr>
            <w:tcW w:w="10937" w:type="dxa"/>
            <w:gridSpan w:val="29"/>
            <w:shd w:val="clear" w:color="auto" w:fill="auto"/>
          </w:tcPr>
          <w:p w:rsidR="006A701A" w:rsidRPr="000B75EF" w:rsidRDefault="0061688C" w:rsidP="00B37C8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Brak danych na ten temat. Specyficzny obszar tematyczny</w:t>
            </w:r>
          </w:p>
        </w:tc>
      </w:tr>
      <w:tr w:rsidR="000B75EF" w:rsidRPr="000B75EF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0B75EF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Podmioty, na które oddziałuje projekt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0B75EF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0B75EF" w:rsidRDefault="00563199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0B75EF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Źródło danych</w:t>
            </w:r>
            <w:r w:rsidRPr="000B75EF" w:rsidDel="00260F3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0B75EF" w:rsidRDefault="00260F33" w:rsidP="0072636A">
            <w:pPr>
              <w:spacing w:before="4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Oddziaływanie</w:t>
            </w:r>
          </w:p>
        </w:tc>
      </w:tr>
      <w:tr w:rsidR="000B75EF" w:rsidRPr="000B75EF" w:rsidTr="0052010C">
        <w:trPr>
          <w:gridAfter w:val="1"/>
          <w:wAfter w:w="10" w:type="dxa"/>
          <w:trHeight w:val="452"/>
        </w:trPr>
        <w:tc>
          <w:tcPr>
            <w:tcW w:w="2668" w:type="dxa"/>
            <w:gridSpan w:val="3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52010C">
        <w:trPr>
          <w:gridAfter w:val="1"/>
          <w:wAfter w:w="10" w:type="dxa"/>
          <w:trHeight w:val="1065"/>
        </w:trPr>
        <w:tc>
          <w:tcPr>
            <w:tcW w:w="2668" w:type="dxa"/>
            <w:gridSpan w:val="3"/>
            <w:shd w:val="clear" w:color="auto" w:fill="auto"/>
          </w:tcPr>
          <w:p w:rsidR="00260F33" w:rsidRPr="000B75EF" w:rsidRDefault="00DE1FB9" w:rsidP="001C0881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spółki Skarbu Państwa</w:t>
            </w:r>
            <w:r w:rsidR="00A05C2B" w:rsidRPr="000B75EF">
              <w:rPr>
                <w:rFonts w:ascii="Times New Roman" w:hAnsi="Times New Roman"/>
                <w:sz w:val="20"/>
                <w:szCs w:val="20"/>
              </w:rPr>
              <w:t xml:space="preserve"> zobowiązane do </w:t>
            </w:r>
            <w:r w:rsidR="001C0881" w:rsidRPr="000B75EF">
              <w:rPr>
                <w:rFonts w:ascii="Times New Roman" w:hAnsi="Times New Roman"/>
                <w:sz w:val="20"/>
                <w:szCs w:val="20"/>
              </w:rPr>
              <w:t xml:space="preserve">realizacji procedury nieodpłatnego zbywania akcji </w:t>
            </w:r>
            <w:r w:rsidR="00A05C2B"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0B75EF" w:rsidRDefault="00822912" w:rsidP="00822912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70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0B75EF" w:rsidRDefault="000A1BB3" w:rsidP="007F0021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Bazy danych Departamentu Zobowiązań i Analiz</w:t>
            </w:r>
            <w:r w:rsidR="00A4150D"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w Ministerstwie Rozwoju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0B75EF" w:rsidRDefault="00A4150D" w:rsidP="007F0021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Realizacja procedury nieodpłatnego zbywania akcji </w:t>
            </w:r>
          </w:p>
        </w:tc>
      </w:tr>
      <w:tr w:rsidR="000B75EF" w:rsidRPr="000B75EF" w:rsidTr="0052010C">
        <w:trPr>
          <w:gridAfter w:val="1"/>
          <w:wAfter w:w="10" w:type="dxa"/>
          <w:trHeight w:val="1123"/>
        </w:trPr>
        <w:tc>
          <w:tcPr>
            <w:tcW w:w="2668" w:type="dxa"/>
            <w:gridSpan w:val="3"/>
            <w:shd w:val="clear" w:color="auto" w:fill="auto"/>
          </w:tcPr>
          <w:p w:rsidR="00BF5DAD" w:rsidRPr="000B75EF" w:rsidRDefault="00BF5DAD" w:rsidP="00DE1FB9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Uprawnieni pracownicy spółek, w których Skarb Państwa nieodpłatnie zbywa akcje</w:t>
            </w:r>
          </w:p>
        </w:tc>
        <w:tc>
          <w:tcPr>
            <w:tcW w:w="2292" w:type="dxa"/>
            <w:gridSpan w:val="8"/>
            <w:shd w:val="clear" w:color="auto" w:fill="auto"/>
          </w:tcPr>
          <w:p w:rsidR="00BF5DAD" w:rsidRPr="000B75EF" w:rsidRDefault="002074C5" w:rsidP="002074C5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ok 55 000 osób</w:t>
            </w:r>
          </w:p>
        </w:tc>
        <w:tc>
          <w:tcPr>
            <w:tcW w:w="2996" w:type="dxa"/>
            <w:gridSpan w:val="12"/>
            <w:shd w:val="clear" w:color="auto" w:fill="auto"/>
          </w:tcPr>
          <w:p w:rsidR="00BF5DAD" w:rsidRPr="000B75EF" w:rsidRDefault="00BF5DAD" w:rsidP="008441F0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Bazy danych Departamentu Zobowiązań i Analiz w Ministerstwie Rozwoju</w:t>
            </w:r>
          </w:p>
        </w:tc>
        <w:tc>
          <w:tcPr>
            <w:tcW w:w="2981" w:type="dxa"/>
            <w:gridSpan w:val="6"/>
            <w:shd w:val="clear" w:color="auto" w:fill="auto"/>
          </w:tcPr>
          <w:p w:rsidR="00BF5DAD" w:rsidRPr="000B75EF" w:rsidRDefault="00BF5DAD" w:rsidP="008441F0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Realizacja procedury nieodpłatnego zbywania akcji 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260F33" w:rsidRPr="000B75EF" w:rsidRDefault="00260F33" w:rsidP="0072636A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:rsidR="0052010C" w:rsidRPr="000B75EF" w:rsidRDefault="0052010C" w:rsidP="0072636A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96" w:type="dxa"/>
            <w:gridSpan w:val="12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81" w:type="dxa"/>
            <w:gridSpan w:val="6"/>
            <w:shd w:val="clear" w:color="auto" w:fill="auto"/>
          </w:tcPr>
          <w:p w:rsidR="00260F33" w:rsidRPr="000B75EF" w:rsidRDefault="00260F33" w:rsidP="00A17CB2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0B75EF" w:rsidRDefault="001B3460" w:rsidP="0052010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Informacje na temat zakresu</w:t>
            </w:r>
            <w:r w:rsidR="0076658F" w:rsidRPr="000B75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czasu trwania </w:t>
            </w:r>
            <w:r w:rsidR="0076658F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i podsumowanie wyników </w:t>
            </w: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konsultacji</w:t>
            </w:r>
          </w:p>
        </w:tc>
      </w:tr>
      <w:tr w:rsidR="000B75EF" w:rsidRPr="000B75EF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:rsidR="002D1275" w:rsidRPr="000B75EF" w:rsidRDefault="002D1275" w:rsidP="002D1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C540BC" w:rsidRPr="000B75EF" w:rsidRDefault="00525590" w:rsidP="00525590">
            <w:pPr>
              <w:spacing w:line="36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Projekt zostanie zamieszczony w BIP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na stronie podmiotowej ministra właściwego do spraw </w:t>
            </w:r>
            <w:r w:rsidR="001C0881" w:rsidRPr="000B75EF">
              <w:rPr>
                <w:rFonts w:ascii="Times New Roman" w:hAnsi="Times New Roman"/>
                <w:sz w:val="20"/>
                <w:szCs w:val="20"/>
              </w:rPr>
              <w:t>gospodarki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oraz BIP RCL w zakładce Rządowy Proces Legislacyjny zgodnie z art. 5 ustawy z dnia 7 lipca 2005 r. o działalności </w:t>
            </w:r>
            <w:r w:rsidR="00A06AF4" w:rsidRPr="000B75EF">
              <w:rPr>
                <w:rFonts w:ascii="Times New Roman" w:hAnsi="Times New Roman"/>
                <w:sz w:val="20"/>
                <w:szCs w:val="20"/>
              </w:rPr>
              <w:t>lobbingowej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w procesie stanowienia prawa (Dz.U. </w:t>
            </w:r>
            <w:r w:rsidR="008125AA" w:rsidRPr="000B75EF">
              <w:rPr>
                <w:rFonts w:ascii="Times New Roman" w:hAnsi="Times New Roman"/>
                <w:sz w:val="20"/>
                <w:szCs w:val="20"/>
              </w:rPr>
              <w:t xml:space="preserve">2017,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75EF">
              <w:rPr>
                <w:rFonts w:ascii="Times New Roman" w:hAnsi="Times New Roman"/>
                <w:sz w:val="20"/>
                <w:szCs w:val="20"/>
              </w:rPr>
              <w:t>poz</w:t>
            </w:r>
            <w:proofErr w:type="spellEnd"/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5AA" w:rsidRPr="000B75EF">
              <w:rPr>
                <w:rFonts w:ascii="Times New Roman" w:hAnsi="Times New Roman"/>
                <w:sz w:val="20"/>
                <w:szCs w:val="20"/>
              </w:rPr>
              <w:t>248)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>.</w:t>
            </w:r>
            <w:r w:rsidR="0061688C" w:rsidRPr="000B75EF">
              <w:rPr>
                <w:rFonts w:ascii="Times New Roman" w:hAnsi="Times New Roman"/>
                <w:sz w:val="20"/>
                <w:szCs w:val="20"/>
              </w:rPr>
              <w:t xml:space="preserve"> Projekt będzie wysłany do uzgodnień międzyreso</w:t>
            </w:r>
            <w:r w:rsidR="000E2E0E" w:rsidRPr="000B75EF">
              <w:rPr>
                <w:rFonts w:ascii="Times New Roman" w:hAnsi="Times New Roman"/>
                <w:sz w:val="20"/>
                <w:szCs w:val="20"/>
              </w:rPr>
              <w:t>rtowych i konsultacji publicznych</w:t>
            </w:r>
            <w:r w:rsidR="0061688C" w:rsidRPr="000B75EF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0E2E0E" w:rsidRPr="000B75EF">
              <w:rPr>
                <w:rFonts w:ascii="Times New Roman" w:hAnsi="Times New Roman"/>
                <w:sz w:val="20"/>
                <w:szCs w:val="20"/>
              </w:rPr>
              <w:t>przełomie</w:t>
            </w:r>
            <w:r w:rsidR="0061688C" w:rsidRPr="000B75EF">
              <w:rPr>
                <w:rFonts w:ascii="Times New Roman" w:hAnsi="Times New Roman"/>
                <w:sz w:val="20"/>
                <w:szCs w:val="20"/>
              </w:rPr>
              <w:t xml:space="preserve"> lipca </w:t>
            </w:r>
            <w:r w:rsidR="006758F8" w:rsidRPr="000B75EF">
              <w:rPr>
                <w:rFonts w:ascii="Times New Roman" w:hAnsi="Times New Roman"/>
                <w:sz w:val="20"/>
                <w:szCs w:val="20"/>
              </w:rPr>
              <w:br/>
            </w:r>
            <w:r w:rsidR="0061688C" w:rsidRPr="000B75EF">
              <w:rPr>
                <w:rFonts w:ascii="Times New Roman" w:hAnsi="Times New Roman"/>
                <w:sz w:val="20"/>
                <w:szCs w:val="20"/>
              </w:rPr>
              <w:t xml:space="preserve">i sierpnia </w:t>
            </w:r>
            <w:r w:rsidR="000E2E0E" w:rsidRPr="000B75EF">
              <w:rPr>
                <w:rFonts w:ascii="Times New Roman" w:hAnsi="Times New Roman"/>
                <w:sz w:val="20"/>
                <w:szCs w:val="20"/>
              </w:rPr>
              <w:t>2017r</w:t>
            </w:r>
            <w:r w:rsidR="0061688C" w:rsidRPr="000B75E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E2E0E" w:rsidRPr="000B75EF">
              <w:rPr>
                <w:rFonts w:ascii="Times New Roman" w:hAnsi="Times New Roman"/>
                <w:sz w:val="20"/>
                <w:szCs w:val="20"/>
              </w:rPr>
              <w:t>z prośbą o zajęcie stanowiska w terminie 14 dni od udostępnienia projektu rozporządzenia.</w:t>
            </w:r>
            <w:r w:rsidR="0012160F" w:rsidRPr="000B75EF">
              <w:rPr>
                <w:rFonts w:ascii="Times New Roman" w:hAnsi="Times New Roman"/>
                <w:sz w:val="20"/>
                <w:szCs w:val="20"/>
              </w:rPr>
              <w:t xml:space="preserve"> Konsultacje dotyczyć będą zarówno strony pracodawców (m.in. Polska Rada Biznesu, BCC, Pracodawcy Rzeczpospolitej Polskiej), jak i pracowników (m.in. Forum Związków Zawodowych, OPZZ, NSZZ Solidarność).</w:t>
            </w:r>
          </w:p>
          <w:p w:rsidR="006A701A" w:rsidRPr="000B75EF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0B75EF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Wpływ na sektor finansów publicznych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:rsidR="00260F33" w:rsidRPr="000B75EF" w:rsidRDefault="00821717" w:rsidP="00821717">
            <w:pPr>
              <w:spacing w:before="40" w:after="40"/>
              <w:rPr>
                <w:rFonts w:ascii="Times New Roman" w:hAnsi="Times New Roman"/>
                <w:i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(ceny </w:t>
            </w:r>
            <w:r w:rsidR="00CF5F4F" w:rsidRPr="000B75EF">
              <w:rPr>
                <w:rFonts w:ascii="Times New Roman" w:hAnsi="Times New Roman"/>
                <w:sz w:val="20"/>
                <w:szCs w:val="20"/>
              </w:rPr>
              <w:t>stałe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:rsidR="00260F33" w:rsidRPr="000B75EF" w:rsidRDefault="00260F33" w:rsidP="00260F3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Skutki w okresie 10 lat od wejścia w życie zmian [</w:t>
            </w:r>
            <w:r w:rsidR="00A056CB" w:rsidRPr="000B75EF">
              <w:rPr>
                <w:rFonts w:ascii="Times New Roman" w:hAnsi="Times New Roman"/>
                <w:sz w:val="20"/>
                <w:szCs w:val="20"/>
              </w:rPr>
              <w:t xml:space="preserve">mln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>zł]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:rsidR="0057668E" w:rsidRPr="000B75EF" w:rsidRDefault="0057668E" w:rsidP="00A52ADB">
            <w:pPr>
              <w:spacing w:before="40" w:after="4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1D6A3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:rsidR="0057668E" w:rsidRPr="000B75EF" w:rsidRDefault="0057668E" w:rsidP="00A52AD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Łącznie</w:t>
            </w:r>
            <w:r w:rsidR="00CF5F4F" w:rsidRPr="000B75EF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(0-10)</w:t>
            </w:r>
          </w:p>
        </w:tc>
      </w:tr>
      <w:tr w:rsidR="000B75EF" w:rsidRPr="000B75EF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0B54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:rsidR="0057668E" w:rsidRPr="000B75EF" w:rsidRDefault="0057668E" w:rsidP="00C53F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:rsidR="0057668E" w:rsidRPr="000B75EF" w:rsidRDefault="0057668E" w:rsidP="009107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6A701A" w:rsidRPr="000B75EF" w:rsidRDefault="006A701A" w:rsidP="005741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6A701A" w:rsidRPr="000B75EF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01A" w:rsidRPr="000B75EF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A701A" w:rsidRPr="000B75EF" w:rsidRDefault="006A701A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:rsidR="00E24BD7" w:rsidRPr="000B75EF" w:rsidRDefault="001B3460" w:rsidP="008217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:rsidR="00E24BD7" w:rsidRPr="000B75EF" w:rsidRDefault="00E24BD7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4BD7" w:rsidRPr="000B75EF" w:rsidRDefault="00525590" w:rsidP="009B1B00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Przyjęcie rozporządzenia</w:t>
            </w:r>
            <w:r w:rsidR="00FD4C88"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1B00" w:rsidRPr="000B75EF">
              <w:rPr>
                <w:rFonts w:ascii="Times New Roman" w:hAnsi="Times New Roman"/>
                <w:sz w:val="20"/>
                <w:szCs w:val="20"/>
              </w:rPr>
              <w:t>nie będzie miało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wpływu</w:t>
            </w:r>
            <w:r w:rsidR="009B1B00" w:rsidRPr="000B75EF">
              <w:rPr>
                <w:rFonts w:ascii="Times New Roman" w:hAnsi="Times New Roman"/>
                <w:sz w:val="20"/>
                <w:szCs w:val="20"/>
              </w:rPr>
              <w:t xml:space="preserve"> na sektor finansów publicznych</w:t>
            </w:r>
            <w:r w:rsidR="00A05C2B" w:rsidRPr="000B75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B75EF" w:rsidRPr="000B75EF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:rsidR="006A701A" w:rsidRPr="000B75EF" w:rsidRDefault="006A701A" w:rsidP="0072636A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Wpływ na </w:t>
            </w:r>
            <w:r w:rsidR="00563199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konkurencyjność </w:t>
            </w:r>
            <w:r w:rsidR="005E7371" w:rsidRPr="000B75EF">
              <w:rPr>
                <w:rFonts w:ascii="Times New Roman" w:hAnsi="Times New Roman"/>
                <w:b/>
                <w:sz w:val="20"/>
                <w:szCs w:val="20"/>
              </w:rPr>
              <w:t>gospodark</w:t>
            </w:r>
            <w:r w:rsidR="00563199" w:rsidRPr="000B75EF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5E7371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05A29" w:rsidRPr="000B75EF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563199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przedsiębiorczość</w:t>
            </w:r>
            <w:r w:rsidR="00472E45" w:rsidRPr="000B75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E7371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05A29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w tym </w:t>
            </w:r>
            <w:r w:rsidR="005E7371" w:rsidRPr="000B75EF">
              <w:rPr>
                <w:rFonts w:ascii="Times New Roman" w:hAnsi="Times New Roman"/>
                <w:b/>
                <w:sz w:val="20"/>
                <w:szCs w:val="20"/>
              </w:rPr>
              <w:t>funkcjonowanie przedsiębi</w:t>
            </w:r>
            <w:r w:rsidR="00B93834" w:rsidRPr="000B75EF">
              <w:rPr>
                <w:rFonts w:ascii="Times New Roman" w:hAnsi="Times New Roman"/>
                <w:b/>
                <w:sz w:val="20"/>
                <w:szCs w:val="20"/>
              </w:rPr>
              <w:t>orców</w:t>
            </w:r>
            <w:r w:rsidR="00472E45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3834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oraz na </w:t>
            </w:r>
            <w:r w:rsidR="00BB0DCA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rodzinę, </w:t>
            </w:r>
            <w:r w:rsidR="00B93834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obywateli i gospodarstwa domowe 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5E7371" w:rsidRPr="000B75EF" w:rsidRDefault="001B3460" w:rsidP="00811D46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Skutki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jc w:val="center"/>
              <w:rPr>
                <w:rFonts w:ascii="Times New Roman" w:hAnsi="Times New Roman"/>
                <w:i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Łącznie</w:t>
            </w:r>
            <w:r w:rsidRPr="000B75EF" w:rsidDel="0073273A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 w:rsidR="001B3460" w:rsidRPr="000B75EF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(0-10)</w:t>
            </w:r>
          </w:p>
        </w:tc>
      </w:tr>
      <w:tr w:rsidR="000B75EF" w:rsidRPr="000B75EF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6F78C4" w:rsidRPr="000B75EF" w:rsidRDefault="002E6D63" w:rsidP="006F78C4">
            <w:pPr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B3460" w:rsidRPr="000B75EF">
              <w:rPr>
                <w:rFonts w:ascii="Times New Roman" w:hAnsi="Times New Roman"/>
                <w:sz w:val="20"/>
                <w:szCs w:val="20"/>
              </w:rPr>
              <w:t>ujęciu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pieniężnym</w:t>
            </w:r>
          </w:p>
          <w:p w:rsidR="006F78C4" w:rsidRPr="000B75EF" w:rsidRDefault="006F78C4" w:rsidP="006F78C4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(w mln zł, </w:t>
            </w:r>
          </w:p>
          <w:p w:rsidR="002E6D63" w:rsidRPr="000B75EF" w:rsidRDefault="006F78C4" w:rsidP="006F78C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ceny </w:t>
            </w:r>
            <w:r w:rsidR="00CF5F4F" w:rsidRPr="000B75EF">
              <w:rPr>
                <w:rFonts w:ascii="Times New Roman" w:hAnsi="Times New Roman"/>
                <w:spacing w:val="-2"/>
                <w:sz w:val="20"/>
                <w:szCs w:val="20"/>
              </w:rPr>
              <w:t>stałe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2E6D63" w:rsidRPr="000B75EF" w:rsidRDefault="009E3C4B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2E6D63" w:rsidRPr="000B75EF" w:rsidRDefault="00705A29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2E6D63" w:rsidRPr="000B75EF" w:rsidRDefault="00A92BAF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rodzina, </w:t>
            </w:r>
            <w:r w:rsidR="009E3C4B" w:rsidRPr="000B75EF">
              <w:rPr>
                <w:rFonts w:ascii="Times New Roman" w:hAnsi="Times New Roman"/>
                <w:sz w:val="20"/>
                <w:szCs w:val="20"/>
              </w:rPr>
              <w:t>o</w:t>
            </w:r>
            <w:r w:rsidR="002E6D63" w:rsidRPr="000B75EF">
              <w:rPr>
                <w:rFonts w:ascii="Times New Roman" w:hAnsi="Times New Roman"/>
                <w:sz w:val="20"/>
                <w:szCs w:val="20"/>
              </w:rPr>
              <w:t>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B75EF">
              <w:rPr>
                <w:rFonts w:ascii="Times New Roman" w:hAnsi="Times New Roman"/>
                <w:sz w:val="20"/>
                <w:szCs w:val="20"/>
              </w:rPr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(dodaj/usuń)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FFFFFF"/>
          </w:tcPr>
          <w:p w:rsidR="002E6D63" w:rsidRPr="000B75EF" w:rsidRDefault="002E6D63" w:rsidP="00811D46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8A608F" w:rsidRPr="000B75EF" w:rsidRDefault="008A608F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97181B" w:rsidRPr="000B75EF">
              <w:rPr>
                <w:rFonts w:ascii="Times New Roman" w:hAnsi="Times New Roman"/>
                <w:sz w:val="20"/>
                <w:szCs w:val="20"/>
              </w:rPr>
              <w:t xml:space="preserve">ujęciu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8A608F" w:rsidRPr="000B75EF" w:rsidRDefault="009E3C4B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duże p</w:t>
            </w:r>
            <w:r w:rsidR="008A608F" w:rsidRPr="000B75EF">
              <w:rPr>
                <w:rFonts w:ascii="Times New Roman" w:hAnsi="Times New Roman"/>
                <w:sz w:val="20"/>
                <w:szCs w:val="20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8A608F" w:rsidRPr="000B75EF" w:rsidRDefault="008A608F" w:rsidP="00811D46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8A608F" w:rsidRPr="000B75EF" w:rsidRDefault="008A608F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A608F" w:rsidRPr="000B75EF" w:rsidRDefault="009E3C4B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s</w:t>
            </w:r>
            <w:r w:rsidR="008A608F" w:rsidRPr="000B75EF">
              <w:rPr>
                <w:rFonts w:ascii="Times New Roman" w:hAnsi="Times New Roman"/>
                <w:sz w:val="20"/>
                <w:szCs w:val="20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8A608F" w:rsidRPr="000B75EF" w:rsidRDefault="008A608F" w:rsidP="00811D46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:rsidR="009E3C4B" w:rsidRPr="000B75EF" w:rsidRDefault="009E3C4B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9E3C4B" w:rsidRPr="000B75EF" w:rsidRDefault="00A92BAF" w:rsidP="0095577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rodzina, </w:t>
            </w:r>
            <w:r w:rsidR="009E3C4B" w:rsidRPr="000B75EF">
              <w:rPr>
                <w:rFonts w:ascii="Times New Roman" w:hAnsi="Times New Roman"/>
                <w:sz w:val="20"/>
                <w:szCs w:val="20"/>
              </w:rPr>
              <w:t xml:space="preserve">obywatele oraz gospodarstwa domowe </w:t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9E3C4B" w:rsidRPr="000B75EF" w:rsidRDefault="000E2E0E" w:rsidP="000E2E0E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="0061688C"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przypadku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korzystnego</w:t>
            </w:r>
            <w:r w:rsidR="0061688C"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zbycia akcji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może dojść do poprawienia</w:t>
            </w:r>
            <w:r w:rsidR="0061688C"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stopy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życiowej rodziny uprawnionego pracownika.</w:t>
            </w:r>
          </w:p>
        </w:tc>
      </w:tr>
      <w:tr w:rsidR="000B75EF" w:rsidRPr="000B75EF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:rsidR="008A608F" w:rsidRPr="000B75EF" w:rsidRDefault="008A608F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8A608F" w:rsidRPr="000B75EF" w:rsidRDefault="008A608F" w:rsidP="00811D46">
            <w:pPr>
              <w:tabs>
                <w:tab w:val="right" w:pos="1936"/>
              </w:tabs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B75EF">
              <w:rPr>
                <w:rFonts w:ascii="Times New Roman" w:hAnsi="Times New Roman"/>
                <w:sz w:val="20"/>
                <w:szCs w:val="20"/>
              </w:rPr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(dodaj/usuń)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8A608F" w:rsidRPr="000B75EF" w:rsidRDefault="008A608F" w:rsidP="00811D46">
            <w:pPr>
              <w:tabs>
                <w:tab w:val="left" w:pos="3000"/>
              </w:tabs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:rsidR="005E7371" w:rsidRPr="000B75EF" w:rsidRDefault="005E7371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:rsidR="005E7371" w:rsidRPr="000B75EF" w:rsidRDefault="005E7371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B75EF">
              <w:rPr>
                <w:rFonts w:ascii="Times New Roman" w:hAnsi="Times New Roman"/>
                <w:sz w:val="20"/>
                <w:szCs w:val="20"/>
              </w:rPr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(dodaj/usuń)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5E7371" w:rsidRPr="000B75EF" w:rsidRDefault="005E7371" w:rsidP="00811D46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:rsidR="005E7371" w:rsidRPr="000B75EF" w:rsidRDefault="005E7371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:rsidR="005E7371" w:rsidRPr="000B75EF" w:rsidRDefault="005E7371" w:rsidP="00811D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B75EF">
              <w:rPr>
                <w:rFonts w:ascii="Times New Roman" w:hAnsi="Times New Roman"/>
                <w:sz w:val="20"/>
                <w:szCs w:val="20"/>
              </w:rPr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(dodaj/usuń)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:rsidR="005E7371" w:rsidRPr="000B75EF" w:rsidRDefault="005E7371" w:rsidP="00811D46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AD65CE">
        <w:trPr>
          <w:gridAfter w:val="1"/>
          <w:wAfter w:w="10" w:type="dxa"/>
          <w:trHeight w:val="1266"/>
        </w:trPr>
        <w:tc>
          <w:tcPr>
            <w:tcW w:w="2243" w:type="dxa"/>
            <w:gridSpan w:val="2"/>
            <w:shd w:val="clear" w:color="auto" w:fill="FFFFFF"/>
          </w:tcPr>
          <w:p w:rsidR="00E24BD7" w:rsidRPr="000B75EF" w:rsidRDefault="00E24BD7" w:rsidP="008217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E24BD7" w:rsidRPr="000B75EF" w:rsidRDefault="00AD65CE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Projekt nie będzie miał generalnie wpływu na przedsiębiorców z uwagi na to, iż nie wprowadza zmian do stanu prawnego a jedynie koryguje pewne kwestie związane m.in. ze zmianą organu realizującego proces nieodpłatnego zbywania akcji Skarbu Państwa.</w:t>
            </w:r>
          </w:p>
          <w:p w:rsidR="001643A4" w:rsidRPr="000B75EF" w:rsidRDefault="001643A4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24BD7" w:rsidRPr="000B75EF" w:rsidRDefault="00E24BD7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:rsidR="006A701A" w:rsidRPr="000B75EF" w:rsidRDefault="006A701A" w:rsidP="004F4E17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A117A" w:rsidRPr="000B75EF">
              <w:rPr>
                <w:rFonts w:ascii="Times New Roman" w:hAnsi="Times New Roman"/>
                <w:b/>
                <w:sz w:val="20"/>
                <w:szCs w:val="20"/>
              </w:rPr>
              <w:t>Zmiana o</w:t>
            </w: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bciąże</w:t>
            </w:r>
            <w:r w:rsidR="00FA117A" w:rsidRPr="000B75EF">
              <w:rPr>
                <w:rFonts w:ascii="Times New Roman" w:hAnsi="Times New Roman"/>
                <w:b/>
                <w:sz w:val="20"/>
                <w:szCs w:val="20"/>
              </w:rPr>
              <w:t>ń</w:t>
            </w: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regulacyjn</w:t>
            </w:r>
            <w:r w:rsidR="00FA117A" w:rsidRPr="000B75EF">
              <w:rPr>
                <w:rFonts w:ascii="Times New Roman" w:hAnsi="Times New Roman"/>
                <w:b/>
                <w:sz w:val="20"/>
                <w:szCs w:val="20"/>
              </w:rPr>
              <w:t>ych</w:t>
            </w:r>
            <w:r w:rsidR="00653688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(w tym obowiązk</w:t>
            </w:r>
            <w:r w:rsidR="00FA117A"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ów </w:t>
            </w:r>
            <w:r w:rsidR="00653688" w:rsidRPr="000B75EF">
              <w:rPr>
                <w:rFonts w:ascii="Times New Roman" w:hAnsi="Times New Roman"/>
                <w:b/>
                <w:sz w:val="20"/>
                <w:szCs w:val="20"/>
              </w:rPr>
              <w:t>informacyjn</w:t>
            </w:r>
            <w:r w:rsidR="00FA117A" w:rsidRPr="000B75EF">
              <w:rPr>
                <w:rFonts w:ascii="Times New Roman" w:hAnsi="Times New Roman"/>
                <w:b/>
                <w:sz w:val="20"/>
                <w:szCs w:val="20"/>
              </w:rPr>
              <w:t>ych</w:t>
            </w:r>
            <w:r w:rsidR="00653688" w:rsidRPr="000B75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wynikając</w:t>
            </w:r>
            <w:r w:rsidR="00FA117A" w:rsidRPr="000B75EF">
              <w:rPr>
                <w:rFonts w:ascii="Times New Roman" w:hAnsi="Times New Roman"/>
                <w:b/>
                <w:sz w:val="20"/>
                <w:szCs w:val="20"/>
              </w:rPr>
              <w:t>ych</w:t>
            </w: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z projektu</w:t>
            </w:r>
          </w:p>
        </w:tc>
      </w:tr>
      <w:tr w:rsidR="000B75EF" w:rsidRPr="000B75EF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:rsidR="00D86AFF" w:rsidRPr="000B75EF" w:rsidRDefault="00F44D24" w:rsidP="004F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D86AFF" w:rsidRPr="000B75EF">
              <w:rPr>
                <w:rFonts w:ascii="Times New Roman" w:hAnsi="Times New Roman"/>
                <w:spacing w:val="-2"/>
                <w:sz w:val="20"/>
                <w:szCs w:val="20"/>
              </w:rPr>
              <w:t>nie dotyczy</w:t>
            </w:r>
          </w:p>
        </w:tc>
      </w:tr>
      <w:tr w:rsidR="000B75EF" w:rsidRPr="000B75EF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:rsidR="00D86AFF" w:rsidRPr="000B75EF" w:rsidRDefault="00D86AFF" w:rsidP="001B3460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Wprowadzane są obciążenia poza bezwzględnie wymaganymi przez UE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D86AFF" w:rsidRPr="000B75EF" w:rsidRDefault="00D86AFF" w:rsidP="004F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tak</w:t>
            </w:r>
          </w:p>
          <w:p w:rsidR="00D86AFF" w:rsidRPr="000B75EF" w:rsidRDefault="00D86AFF" w:rsidP="004F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:rsidR="00D86AFF" w:rsidRPr="000B75EF" w:rsidRDefault="00D86AFF" w:rsidP="004F4E17">
            <w:pPr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nie dotyczy</w:t>
            </w:r>
          </w:p>
        </w:tc>
      </w:tr>
      <w:tr w:rsidR="000B75EF" w:rsidRPr="000B75EF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:rsidR="001B3460" w:rsidRPr="000B75EF" w:rsidRDefault="001B3460" w:rsidP="00AE6CF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zmniejszenie liczby dokumentów </w:t>
            </w:r>
          </w:p>
          <w:p w:rsidR="001B3460" w:rsidRPr="000B75EF" w:rsidRDefault="001B3460" w:rsidP="00AE6CF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zmniejszenie liczby procedur</w:t>
            </w:r>
          </w:p>
          <w:p w:rsidR="001B3460" w:rsidRPr="000B75EF" w:rsidRDefault="001B3460" w:rsidP="00AE6CF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skrócenie czasu</w:t>
            </w:r>
            <w:r w:rsidR="00CF5F4F"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na załatwienie sprawy</w:t>
            </w:r>
          </w:p>
          <w:p w:rsidR="001B3460" w:rsidRPr="000B75EF" w:rsidRDefault="001B3460" w:rsidP="00AE6CF8">
            <w:pPr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inne: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B75EF">
              <w:rPr>
                <w:rFonts w:ascii="Times New Roman" w:hAnsi="Times New Roman"/>
                <w:sz w:val="20"/>
                <w:szCs w:val="20"/>
              </w:rPr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1B3460" w:rsidRPr="000B75EF" w:rsidRDefault="001B3460" w:rsidP="00AE6CF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zwiększenie liczby dokumentów</w:t>
            </w:r>
          </w:p>
          <w:p w:rsidR="001B3460" w:rsidRPr="000B75EF" w:rsidRDefault="001B3460" w:rsidP="00AE6CF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zwiększenie liczby procedur</w:t>
            </w:r>
          </w:p>
          <w:p w:rsidR="001B3460" w:rsidRPr="000B75EF" w:rsidRDefault="001B3460" w:rsidP="00AE6CF8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wydłużenie czasu</w:t>
            </w:r>
            <w:r w:rsidR="00CF5F4F"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na załatwienie sprawy</w:t>
            </w:r>
          </w:p>
          <w:p w:rsidR="001B3460" w:rsidRPr="000B75EF" w:rsidRDefault="001B3460" w:rsidP="00AE6C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inne:</w:t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B75EF">
              <w:rPr>
                <w:rFonts w:ascii="Times New Roman" w:hAnsi="Times New Roman"/>
                <w:sz w:val="20"/>
                <w:szCs w:val="20"/>
              </w:rPr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1B3460" w:rsidRPr="000B75EF" w:rsidRDefault="001B3460" w:rsidP="00AE6CF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:rsidR="00BF0DA2" w:rsidRPr="000B75EF" w:rsidRDefault="00BF0DA2" w:rsidP="004F4E1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:rsidR="00BF0DA2" w:rsidRPr="000B75EF" w:rsidRDefault="00BF0DA2" w:rsidP="00BF0D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tak</w:t>
            </w:r>
          </w:p>
          <w:p w:rsidR="00BF0DA2" w:rsidRPr="000B75EF" w:rsidRDefault="00BF0DA2" w:rsidP="00BF0D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:rsidR="00BF0DA2" w:rsidRPr="000B75EF" w:rsidRDefault="00BF0DA2" w:rsidP="00BF0D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nie dotyczy</w:t>
            </w:r>
          </w:p>
          <w:p w:rsidR="00117017" w:rsidRPr="000B75EF" w:rsidRDefault="00117017" w:rsidP="00BF0D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:rsidR="00117017" w:rsidRPr="000B75EF" w:rsidRDefault="00117017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Komentarz:</w:t>
            </w:r>
          </w:p>
          <w:p w:rsidR="00117017" w:rsidRPr="000B75EF" w:rsidRDefault="00117017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017" w:rsidRPr="000B75EF" w:rsidRDefault="00117017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017" w:rsidRPr="000B75EF" w:rsidRDefault="00117017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17017" w:rsidRPr="000B75EF" w:rsidRDefault="00117017" w:rsidP="00B37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0B75EF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Wpływ na rynek pracy 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:rsidR="00EF22FB" w:rsidRPr="000B75EF" w:rsidRDefault="00EF22FB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3460" w:rsidRPr="000B75EF" w:rsidRDefault="002D1275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Projekt nie będzie miał wpływu na rynek pracy.</w:t>
            </w:r>
          </w:p>
          <w:p w:rsidR="001B3460" w:rsidRPr="000B75EF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3460" w:rsidRPr="000B75EF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0B75EF" w:rsidRDefault="001B3460" w:rsidP="00BF109C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>Wpływ na pozostałe obszary</w:t>
            </w:r>
          </w:p>
        </w:tc>
      </w:tr>
      <w:tr w:rsidR="000B75EF" w:rsidRPr="000B75EF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:rsidR="00184A8D" w:rsidRPr="000B75EF" w:rsidRDefault="00184A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4A8D" w:rsidRPr="000B75EF" w:rsidRDefault="00184A8D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środowisko naturalne</w:t>
            </w:r>
          </w:p>
          <w:p w:rsidR="00184A8D" w:rsidRPr="000B75EF" w:rsidRDefault="00184A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sytuacja i rozwój regionalny</w:t>
            </w:r>
          </w:p>
          <w:p w:rsidR="00184A8D" w:rsidRPr="000B75EF" w:rsidRDefault="00184A8D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inne: 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B75EF">
              <w:rPr>
                <w:rFonts w:ascii="Times New Roman" w:hAnsi="Times New Roman"/>
                <w:sz w:val="20"/>
                <w:szCs w:val="20"/>
              </w:rPr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:rsidR="00184A8D" w:rsidRPr="000B75EF" w:rsidRDefault="00184A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4A8D" w:rsidRPr="000B75EF" w:rsidRDefault="00184A8D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demografia</w:t>
            </w:r>
          </w:p>
          <w:p w:rsidR="00184A8D" w:rsidRPr="000B75EF" w:rsidRDefault="00A415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184A8D" w:rsidRPr="000B75EF">
              <w:rPr>
                <w:rFonts w:ascii="Times New Roman" w:hAnsi="Times New Roman"/>
                <w:sz w:val="20"/>
                <w:szCs w:val="2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:rsidR="00184A8D" w:rsidRPr="000B75EF" w:rsidRDefault="00184A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84A8D" w:rsidRPr="000B75EF" w:rsidRDefault="00184A8D">
            <w:pPr>
              <w:spacing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informatyzacja</w:t>
            </w:r>
          </w:p>
          <w:p w:rsidR="00184A8D" w:rsidRPr="000B75EF" w:rsidRDefault="00184A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5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95700C">
              <w:rPr>
                <w:rFonts w:ascii="Times New Roman" w:hAnsi="Times New Roman"/>
                <w:sz w:val="20"/>
                <w:szCs w:val="20"/>
              </w:rPr>
            </w:r>
            <w:r w:rsidR="0095700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B75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B75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zdrowie</w:t>
            </w:r>
          </w:p>
        </w:tc>
      </w:tr>
      <w:tr w:rsidR="000B75EF" w:rsidRPr="000B75EF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:rsidR="001B3460" w:rsidRPr="000B75EF" w:rsidRDefault="001B3460" w:rsidP="00254DE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z w:val="20"/>
                <w:szCs w:val="2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:rsidR="00EF22FB" w:rsidRPr="000B75EF" w:rsidRDefault="0061688C" w:rsidP="00B37C8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Zmniejszenie stanu posiadania Skarbu Państwa </w:t>
            </w:r>
            <w:r w:rsidR="00065BB2" w:rsidRPr="000B75EF">
              <w:rPr>
                <w:rFonts w:ascii="Times New Roman" w:hAnsi="Times New Roman"/>
                <w:spacing w:val="-2"/>
                <w:sz w:val="20"/>
                <w:szCs w:val="20"/>
              </w:rPr>
              <w:t>w spółkach, których akcje podlegają nieodpłatnemu zbyciu na rzecz uprawnionych pracowników.</w:t>
            </w:r>
          </w:p>
          <w:p w:rsidR="00A05C2B" w:rsidRPr="000B75EF" w:rsidRDefault="00A05C2B" w:rsidP="009B1B00">
            <w:pPr>
              <w:spacing w:line="36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0B75EF" w:rsidRDefault="00A767D2" w:rsidP="00A767D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Plan</w:t>
            </w:r>
            <w:r w:rsidR="00CF5F4F"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owane</w:t>
            </w:r>
            <w:r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w</w:t>
            </w:r>
            <w:r w:rsidR="00627221"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ykonani</w:t>
            </w:r>
            <w:r w:rsidR="00CF5F4F"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e</w:t>
            </w:r>
            <w:r w:rsidR="00627221"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przepisów aktu prawnego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1B3460" w:rsidRPr="000B75EF" w:rsidRDefault="00F44D24" w:rsidP="00B37C8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Sukcesywne, zgodnie z realizacją ustawowych przesłanek udostępnianie akcji.</w:t>
            </w:r>
          </w:p>
          <w:p w:rsidR="001B3460" w:rsidRPr="000B75EF" w:rsidRDefault="001B3460" w:rsidP="00A4150D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0B75EF" w:rsidRDefault="001B3460" w:rsidP="001D6A3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W jaki sposób i kiedy nastąpi ewaluacja efektów projektu </w:t>
            </w:r>
            <w:r w:rsidR="00A47BDF"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oraz</w:t>
            </w:r>
            <w:r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jakie mierniki zostaną </w:t>
            </w:r>
            <w:r w:rsidR="00C33027"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zastosowane?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1B3460" w:rsidRPr="000B75EF" w:rsidRDefault="0061688C" w:rsidP="00B37C8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Z uwagi na charakter </w:t>
            </w:r>
            <w:r w:rsidR="00065BB2" w:rsidRPr="000B75EF">
              <w:rPr>
                <w:rFonts w:ascii="Times New Roman" w:hAnsi="Times New Roman"/>
                <w:spacing w:val="-2"/>
                <w:sz w:val="20"/>
                <w:szCs w:val="20"/>
              </w:rPr>
              <w:t>projektowanych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zmian nie </w:t>
            </w:r>
            <w:r w:rsidR="00065BB2" w:rsidRPr="000B75EF">
              <w:rPr>
                <w:rFonts w:ascii="Times New Roman" w:hAnsi="Times New Roman"/>
                <w:spacing w:val="-2"/>
                <w:sz w:val="20"/>
                <w:szCs w:val="20"/>
              </w:rPr>
              <w:t>przewiduje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065BB2" w:rsidRPr="000B75EF">
              <w:rPr>
                <w:rFonts w:ascii="Times New Roman" w:hAnsi="Times New Roman"/>
                <w:spacing w:val="-2"/>
                <w:sz w:val="20"/>
                <w:szCs w:val="20"/>
              </w:rPr>
              <w:t>się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065BB2" w:rsidRPr="000B75EF">
              <w:rPr>
                <w:rFonts w:ascii="Times New Roman" w:hAnsi="Times New Roman"/>
                <w:spacing w:val="-2"/>
                <w:sz w:val="20"/>
                <w:szCs w:val="20"/>
              </w:rPr>
              <w:t>ewaluację efektów projektu.</w:t>
            </w: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</w:p>
          <w:p w:rsidR="001B3460" w:rsidRPr="000B75EF" w:rsidRDefault="001B3460" w:rsidP="009B1B0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:rsidR="001B3460" w:rsidRPr="000B75EF" w:rsidRDefault="001B3460" w:rsidP="00301959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Załączniki (istotne dokumenty źródłowe, badania, analizy </w:t>
            </w:r>
            <w:r w:rsidR="00C33027"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itp.</w:t>
            </w:r>
            <w:r w:rsidRPr="000B75EF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) </w:t>
            </w:r>
          </w:p>
        </w:tc>
      </w:tr>
      <w:tr w:rsidR="000B75EF" w:rsidRPr="000B75EF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:rsidR="001B3460" w:rsidRPr="000B75EF" w:rsidRDefault="001B3460" w:rsidP="00B37C80">
            <w:pPr>
              <w:spacing w:line="240" w:lineRule="auto"/>
              <w:jc w:val="both"/>
              <w:rPr>
                <w:rFonts w:ascii="Times New Roman" w:hAnsi="Times New Roman"/>
                <w:i/>
                <w:spacing w:val="-2"/>
                <w:sz w:val="20"/>
                <w:szCs w:val="20"/>
              </w:rPr>
            </w:pPr>
          </w:p>
          <w:p w:rsidR="001B3460" w:rsidRPr="000B75EF" w:rsidRDefault="00F44D24" w:rsidP="00B37C8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B75EF">
              <w:rPr>
                <w:rFonts w:ascii="Times New Roman" w:hAnsi="Times New Roman"/>
                <w:spacing w:val="-2"/>
                <w:sz w:val="20"/>
                <w:szCs w:val="20"/>
              </w:rPr>
              <w:t>Nie dotyczy</w:t>
            </w:r>
          </w:p>
        </w:tc>
      </w:tr>
    </w:tbl>
    <w:p w:rsidR="006176ED" w:rsidRPr="000B75EF" w:rsidRDefault="006176ED" w:rsidP="00EF22FB">
      <w:pPr>
        <w:pStyle w:val="Nagwek1"/>
        <w:jc w:val="center"/>
        <w:rPr>
          <w:rFonts w:ascii="Times New Roman" w:hAnsi="Times New Roman" w:cs="Times New Roman"/>
          <w:sz w:val="20"/>
          <w:szCs w:val="20"/>
        </w:rPr>
      </w:pPr>
    </w:p>
    <w:sectPr w:rsidR="006176ED" w:rsidRPr="000B75EF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00C" w:rsidRDefault="0095700C" w:rsidP="00044739">
      <w:pPr>
        <w:spacing w:line="240" w:lineRule="auto"/>
      </w:pPr>
      <w:r>
        <w:separator/>
      </w:r>
    </w:p>
  </w:endnote>
  <w:endnote w:type="continuationSeparator" w:id="0">
    <w:p w:rsidR="0095700C" w:rsidRDefault="0095700C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00C" w:rsidRDefault="0095700C" w:rsidP="00044739">
      <w:pPr>
        <w:spacing w:line="240" w:lineRule="auto"/>
      </w:pPr>
      <w:r>
        <w:separator/>
      </w:r>
    </w:p>
  </w:footnote>
  <w:footnote w:type="continuationSeparator" w:id="0">
    <w:p w:rsidR="0095700C" w:rsidRDefault="0095700C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7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3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9"/>
  </w:num>
  <w:num w:numId="19">
    <w:abstractNumId w:val="2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CB"/>
    <w:rsid w:val="000008E5"/>
    <w:rsid w:val="000015EE"/>
    <w:rsid w:val="000022D5"/>
    <w:rsid w:val="00004C6A"/>
    <w:rsid w:val="00012D11"/>
    <w:rsid w:val="00013EB5"/>
    <w:rsid w:val="00023836"/>
    <w:rsid w:val="000356A9"/>
    <w:rsid w:val="00044138"/>
    <w:rsid w:val="00044739"/>
    <w:rsid w:val="00051637"/>
    <w:rsid w:val="00056681"/>
    <w:rsid w:val="000648A7"/>
    <w:rsid w:val="00065BB2"/>
    <w:rsid w:val="0006618B"/>
    <w:rsid w:val="000670C0"/>
    <w:rsid w:val="00067ACA"/>
    <w:rsid w:val="00070A70"/>
    <w:rsid w:val="00071B99"/>
    <w:rsid w:val="00073616"/>
    <w:rsid w:val="000756E5"/>
    <w:rsid w:val="0007704E"/>
    <w:rsid w:val="00080EC8"/>
    <w:rsid w:val="000944AC"/>
    <w:rsid w:val="00094CB9"/>
    <w:rsid w:val="000956B2"/>
    <w:rsid w:val="000969E7"/>
    <w:rsid w:val="000A1BB3"/>
    <w:rsid w:val="000A23DE"/>
    <w:rsid w:val="000A4020"/>
    <w:rsid w:val="000B54FB"/>
    <w:rsid w:val="000B75EF"/>
    <w:rsid w:val="000C29B0"/>
    <w:rsid w:val="000C76FC"/>
    <w:rsid w:val="000D38FC"/>
    <w:rsid w:val="000D4D90"/>
    <w:rsid w:val="000E2D10"/>
    <w:rsid w:val="000E2E0E"/>
    <w:rsid w:val="000F3204"/>
    <w:rsid w:val="00105383"/>
    <w:rsid w:val="0010548B"/>
    <w:rsid w:val="001072D1"/>
    <w:rsid w:val="00117017"/>
    <w:rsid w:val="0012160F"/>
    <w:rsid w:val="00127C73"/>
    <w:rsid w:val="00130E8E"/>
    <w:rsid w:val="0013216E"/>
    <w:rsid w:val="001401B5"/>
    <w:rsid w:val="00140933"/>
    <w:rsid w:val="001422B9"/>
    <w:rsid w:val="0014665F"/>
    <w:rsid w:val="00153464"/>
    <w:rsid w:val="001541B3"/>
    <w:rsid w:val="00155B15"/>
    <w:rsid w:val="001625BE"/>
    <w:rsid w:val="001643A4"/>
    <w:rsid w:val="00171E10"/>
    <w:rsid w:val="001727BB"/>
    <w:rsid w:val="00180D25"/>
    <w:rsid w:val="0018318D"/>
    <w:rsid w:val="00184A8D"/>
    <w:rsid w:val="0018572C"/>
    <w:rsid w:val="00187E79"/>
    <w:rsid w:val="00187F0D"/>
    <w:rsid w:val="00192CC5"/>
    <w:rsid w:val="001956A7"/>
    <w:rsid w:val="001A118A"/>
    <w:rsid w:val="001A27F4"/>
    <w:rsid w:val="001A2D95"/>
    <w:rsid w:val="001B3460"/>
    <w:rsid w:val="001B4CA1"/>
    <w:rsid w:val="001B75D8"/>
    <w:rsid w:val="001C0881"/>
    <w:rsid w:val="001C1060"/>
    <w:rsid w:val="001C3C63"/>
    <w:rsid w:val="001D4732"/>
    <w:rsid w:val="001D6A2F"/>
    <w:rsid w:val="001D6A3C"/>
    <w:rsid w:val="001D6D51"/>
    <w:rsid w:val="001F653A"/>
    <w:rsid w:val="001F6979"/>
    <w:rsid w:val="00202BC6"/>
    <w:rsid w:val="00205141"/>
    <w:rsid w:val="0020516B"/>
    <w:rsid w:val="002074C5"/>
    <w:rsid w:val="00213559"/>
    <w:rsid w:val="00213EFD"/>
    <w:rsid w:val="002172F1"/>
    <w:rsid w:val="00223C7B"/>
    <w:rsid w:val="00224AB1"/>
    <w:rsid w:val="0022687A"/>
    <w:rsid w:val="00230728"/>
    <w:rsid w:val="00234040"/>
    <w:rsid w:val="00235CD2"/>
    <w:rsid w:val="00254DED"/>
    <w:rsid w:val="00255619"/>
    <w:rsid w:val="00255DAD"/>
    <w:rsid w:val="00256108"/>
    <w:rsid w:val="00260F33"/>
    <w:rsid w:val="002613BD"/>
    <w:rsid w:val="002624F1"/>
    <w:rsid w:val="002675A0"/>
    <w:rsid w:val="00270C81"/>
    <w:rsid w:val="00271558"/>
    <w:rsid w:val="00273B4A"/>
    <w:rsid w:val="00274862"/>
    <w:rsid w:val="00282D72"/>
    <w:rsid w:val="00283402"/>
    <w:rsid w:val="00290FD6"/>
    <w:rsid w:val="00294259"/>
    <w:rsid w:val="002A2C81"/>
    <w:rsid w:val="002B0C80"/>
    <w:rsid w:val="002B3D1A"/>
    <w:rsid w:val="002C27D0"/>
    <w:rsid w:val="002C2C9B"/>
    <w:rsid w:val="002D1275"/>
    <w:rsid w:val="002D17D6"/>
    <w:rsid w:val="002D18D7"/>
    <w:rsid w:val="002D21CE"/>
    <w:rsid w:val="002D627A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273E7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2C7E"/>
    <w:rsid w:val="00363309"/>
    <w:rsid w:val="00363601"/>
    <w:rsid w:val="00376AC9"/>
    <w:rsid w:val="00393032"/>
    <w:rsid w:val="00394B69"/>
    <w:rsid w:val="003957BF"/>
    <w:rsid w:val="00397078"/>
    <w:rsid w:val="003A6953"/>
    <w:rsid w:val="003B546B"/>
    <w:rsid w:val="003B6083"/>
    <w:rsid w:val="003C3838"/>
    <w:rsid w:val="003C5847"/>
    <w:rsid w:val="003D0681"/>
    <w:rsid w:val="003D12F6"/>
    <w:rsid w:val="003D1426"/>
    <w:rsid w:val="003E2F4E"/>
    <w:rsid w:val="003E720A"/>
    <w:rsid w:val="00403E6E"/>
    <w:rsid w:val="004129B4"/>
    <w:rsid w:val="00417EF0"/>
    <w:rsid w:val="00422181"/>
    <w:rsid w:val="004244A8"/>
    <w:rsid w:val="00425F72"/>
    <w:rsid w:val="00427736"/>
    <w:rsid w:val="00441787"/>
    <w:rsid w:val="004441A5"/>
    <w:rsid w:val="00444F2D"/>
    <w:rsid w:val="00445C36"/>
    <w:rsid w:val="00452034"/>
    <w:rsid w:val="00455FA6"/>
    <w:rsid w:val="00466C70"/>
    <w:rsid w:val="004702C9"/>
    <w:rsid w:val="00472E45"/>
    <w:rsid w:val="00473FEA"/>
    <w:rsid w:val="0047579D"/>
    <w:rsid w:val="00483262"/>
    <w:rsid w:val="00484107"/>
    <w:rsid w:val="00485CC5"/>
    <w:rsid w:val="0049343F"/>
    <w:rsid w:val="004964FC"/>
    <w:rsid w:val="004A145E"/>
    <w:rsid w:val="004A1F15"/>
    <w:rsid w:val="004A2A81"/>
    <w:rsid w:val="004A7BD7"/>
    <w:rsid w:val="004C15C2"/>
    <w:rsid w:val="004C36D8"/>
    <w:rsid w:val="004D1248"/>
    <w:rsid w:val="004D1E3C"/>
    <w:rsid w:val="004D4169"/>
    <w:rsid w:val="004D6E14"/>
    <w:rsid w:val="004F4E17"/>
    <w:rsid w:val="0050082F"/>
    <w:rsid w:val="00500C56"/>
    <w:rsid w:val="00501713"/>
    <w:rsid w:val="00506568"/>
    <w:rsid w:val="0051551B"/>
    <w:rsid w:val="0052010C"/>
    <w:rsid w:val="00520C57"/>
    <w:rsid w:val="00521467"/>
    <w:rsid w:val="00522D94"/>
    <w:rsid w:val="00525590"/>
    <w:rsid w:val="00533D89"/>
    <w:rsid w:val="00536564"/>
    <w:rsid w:val="00544597"/>
    <w:rsid w:val="00544FFE"/>
    <w:rsid w:val="005473F5"/>
    <w:rsid w:val="005477E7"/>
    <w:rsid w:val="00552794"/>
    <w:rsid w:val="00563199"/>
    <w:rsid w:val="00564874"/>
    <w:rsid w:val="00567963"/>
    <w:rsid w:val="0057009A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B1206"/>
    <w:rsid w:val="005B37E8"/>
    <w:rsid w:val="005C0056"/>
    <w:rsid w:val="005D61D6"/>
    <w:rsid w:val="005D7269"/>
    <w:rsid w:val="005E0D13"/>
    <w:rsid w:val="005E5047"/>
    <w:rsid w:val="005E7205"/>
    <w:rsid w:val="005E7371"/>
    <w:rsid w:val="005F0632"/>
    <w:rsid w:val="005F116C"/>
    <w:rsid w:val="005F2131"/>
    <w:rsid w:val="006031A0"/>
    <w:rsid w:val="00605EF6"/>
    <w:rsid w:val="00606455"/>
    <w:rsid w:val="00614929"/>
    <w:rsid w:val="00616511"/>
    <w:rsid w:val="0061688C"/>
    <w:rsid w:val="006176ED"/>
    <w:rsid w:val="006202F3"/>
    <w:rsid w:val="0062097A"/>
    <w:rsid w:val="00621DA6"/>
    <w:rsid w:val="00623CFE"/>
    <w:rsid w:val="00627221"/>
    <w:rsid w:val="00627EE8"/>
    <w:rsid w:val="00630C75"/>
    <w:rsid w:val="006316FA"/>
    <w:rsid w:val="006370D2"/>
    <w:rsid w:val="0064074F"/>
    <w:rsid w:val="00641F55"/>
    <w:rsid w:val="00645E4A"/>
    <w:rsid w:val="00653688"/>
    <w:rsid w:val="0066091B"/>
    <w:rsid w:val="00660FA1"/>
    <w:rsid w:val="006660E9"/>
    <w:rsid w:val="00667249"/>
    <w:rsid w:val="00667558"/>
    <w:rsid w:val="00671523"/>
    <w:rsid w:val="006754EF"/>
    <w:rsid w:val="006758F8"/>
    <w:rsid w:val="00676C8D"/>
    <w:rsid w:val="00676F1F"/>
    <w:rsid w:val="00677381"/>
    <w:rsid w:val="00677414"/>
    <w:rsid w:val="006832CF"/>
    <w:rsid w:val="0068601E"/>
    <w:rsid w:val="0069486B"/>
    <w:rsid w:val="006A4904"/>
    <w:rsid w:val="006A548F"/>
    <w:rsid w:val="006A701A"/>
    <w:rsid w:val="006B64DC"/>
    <w:rsid w:val="006B7A91"/>
    <w:rsid w:val="006D0617"/>
    <w:rsid w:val="006D4704"/>
    <w:rsid w:val="006D6A2D"/>
    <w:rsid w:val="006E1E18"/>
    <w:rsid w:val="006E31CE"/>
    <w:rsid w:val="006E34D3"/>
    <w:rsid w:val="006F1435"/>
    <w:rsid w:val="006F4BF3"/>
    <w:rsid w:val="006F78C4"/>
    <w:rsid w:val="007031A0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40D2C"/>
    <w:rsid w:val="00744BF9"/>
    <w:rsid w:val="00752623"/>
    <w:rsid w:val="00760F1F"/>
    <w:rsid w:val="0076423E"/>
    <w:rsid w:val="007646CB"/>
    <w:rsid w:val="0076658F"/>
    <w:rsid w:val="0077040A"/>
    <w:rsid w:val="00772D64"/>
    <w:rsid w:val="00792609"/>
    <w:rsid w:val="00792887"/>
    <w:rsid w:val="007943E2"/>
    <w:rsid w:val="00794F2C"/>
    <w:rsid w:val="007A3BC7"/>
    <w:rsid w:val="007A5AC4"/>
    <w:rsid w:val="007B0FDD"/>
    <w:rsid w:val="007B4802"/>
    <w:rsid w:val="007B6668"/>
    <w:rsid w:val="007B6B33"/>
    <w:rsid w:val="007C2701"/>
    <w:rsid w:val="007D2192"/>
    <w:rsid w:val="007F0021"/>
    <w:rsid w:val="007F2F52"/>
    <w:rsid w:val="007F44DE"/>
    <w:rsid w:val="00801F71"/>
    <w:rsid w:val="00805F28"/>
    <w:rsid w:val="0080749F"/>
    <w:rsid w:val="00811D46"/>
    <w:rsid w:val="008125AA"/>
    <w:rsid w:val="008125B0"/>
    <w:rsid w:val="008144CB"/>
    <w:rsid w:val="00821717"/>
    <w:rsid w:val="00822912"/>
    <w:rsid w:val="00824210"/>
    <w:rsid w:val="008263C0"/>
    <w:rsid w:val="008407D7"/>
    <w:rsid w:val="00841422"/>
    <w:rsid w:val="00841D3B"/>
    <w:rsid w:val="0084314C"/>
    <w:rsid w:val="00843171"/>
    <w:rsid w:val="008575C3"/>
    <w:rsid w:val="00863D28"/>
    <w:rsid w:val="008648C3"/>
    <w:rsid w:val="00880F26"/>
    <w:rsid w:val="00896C2E"/>
    <w:rsid w:val="008A5095"/>
    <w:rsid w:val="008A608F"/>
    <w:rsid w:val="008B1A9A"/>
    <w:rsid w:val="008B4FE6"/>
    <w:rsid w:val="008B6C37"/>
    <w:rsid w:val="008E18F7"/>
    <w:rsid w:val="008E1E10"/>
    <w:rsid w:val="008E291B"/>
    <w:rsid w:val="008E4F2F"/>
    <w:rsid w:val="008E74B0"/>
    <w:rsid w:val="009008A8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55774"/>
    <w:rsid w:val="009560B5"/>
    <w:rsid w:val="0095700C"/>
    <w:rsid w:val="009703D6"/>
    <w:rsid w:val="0097181B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0DE0"/>
    <w:rsid w:val="00991F96"/>
    <w:rsid w:val="00996F0A"/>
    <w:rsid w:val="009A1D86"/>
    <w:rsid w:val="009B049C"/>
    <w:rsid w:val="009B11C8"/>
    <w:rsid w:val="009B19C9"/>
    <w:rsid w:val="009B1B00"/>
    <w:rsid w:val="009B2BCF"/>
    <w:rsid w:val="009B2FF8"/>
    <w:rsid w:val="009B5BA3"/>
    <w:rsid w:val="009B6E44"/>
    <w:rsid w:val="009C28F4"/>
    <w:rsid w:val="009D0027"/>
    <w:rsid w:val="009D0655"/>
    <w:rsid w:val="009E1E98"/>
    <w:rsid w:val="009E3ABE"/>
    <w:rsid w:val="009E3C4B"/>
    <w:rsid w:val="009F0637"/>
    <w:rsid w:val="009F62A6"/>
    <w:rsid w:val="009F674F"/>
    <w:rsid w:val="009F799E"/>
    <w:rsid w:val="00A02020"/>
    <w:rsid w:val="00A056CB"/>
    <w:rsid w:val="00A05C2B"/>
    <w:rsid w:val="00A06AF4"/>
    <w:rsid w:val="00A07A29"/>
    <w:rsid w:val="00A10FF1"/>
    <w:rsid w:val="00A1506B"/>
    <w:rsid w:val="00A17CB2"/>
    <w:rsid w:val="00A23191"/>
    <w:rsid w:val="00A319C0"/>
    <w:rsid w:val="00A33560"/>
    <w:rsid w:val="00A364E4"/>
    <w:rsid w:val="00A371A5"/>
    <w:rsid w:val="00A4150D"/>
    <w:rsid w:val="00A47BDF"/>
    <w:rsid w:val="00A51CD7"/>
    <w:rsid w:val="00A52ADB"/>
    <w:rsid w:val="00A533E8"/>
    <w:rsid w:val="00A542D9"/>
    <w:rsid w:val="00A56E64"/>
    <w:rsid w:val="00A624C3"/>
    <w:rsid w:val="00A6641C"/>
    <w:rsid w:val="00A767D2"/>
    <w:rsid w:val="00A77616"/>
    <w:rsid w:val="00A805DA"/>
    <w:rsid w:val="00A811B4"/>
    <w:rsid w:val="00A87CDE"/>
    <w:rsid w:val="00A92BAF"/>
    <w:rsid w:val="00A94737"/>
    <w:rsid w:val="00A94BA3"/>
    <w:rsid w:val="00A96CBA"/>
    <w:rsid w:val="00AB1ACD"/>
    <w:rsid w:val="00AB277F"/>
    <w:rsid w:val="00AB4099"/>
    <w:rsid w:val="00AB449A"/>
    <w:rsid w:val="00AD14F9"/>
    <w:rsid w:val="00AD35D6"/>
    <w:rsid w:val="00AD58C5"/>
    <w:rsid w:val="00AD65CE"/>
    <w:rsid w:val="00AE36C4"/>
    <w:rsid w:val="00AE4098"/>
    <w:rsid w:val="00AE472C"/>
    <w:rsid w:val="00AE5375"/>
    <w:rsid w:val="00AE6CF8"/>
    <w:rsid w:val="00AF4CAC"/>
    <w:rsid w:val="00B03E0D"/>
    <w:rsid w:val="00B054F8"/>
    <w:rsid w:val="00B2219A"/>
    <w:rsid w:val="00B31B0C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7E5E"/>
    <w:rsid w:val="00B61F37"/>
    <w:rsid w:val="00B7770F"/>
    <w:rsid w:val="00B77A89"/>
    <w:rsid w:val="00B77B27"/>
    <w:rsid w:val="00B8134E"/>
    <w:rsid w:val="00B81B55"/>
    <w:rsid w:val="00B84613"/>
    <w:rsid w:val="00B87AF0"/>
    <w:rsid w:val="00B9037B"/>
    <w:rsid w:val="00B910BD"/>
    <w:rsid w:val="00B93834"/>
    <w:rsid w:val="00B96469"/>
    <w:rsid w:val="00BA0DA2"/>
    <w:rsid w:val="00BA2981"/>
    <w:rsid w:val="00BA42EE"/>
    <w:rsid w:val="00BA48F9"/>
    <w:rsid w:val="00BB0DCA"/>
    <w:rsid w:val="00BB2666"/>
    <w:rsid w:val="00BB6B80"/>
    <w:rsid w:val="00BC3773"/>
    <w:rsid w:val="00BC381A"/>
    <w:rsid w:val="00BD0962"/>
    <w:rsid w:val="00BD1EED"/>
    <w:rsid w:val="00BF0DA2"/>
    <w:rsid w:val="00BF109C"/>
    <w:rsid w:val="00BF34FA"/>
    <w:rsid w:val="00BF5DAD"/>
    <w:rsid w:val="00C004B6"/>
    <w:rsid w:val="00C047A7"/>
    <w:rsid w:val="00C05DE5"/>
    <w:rsid w:val="00C33027"/>
    <w:rsid w:val="00C37667"/>
    <w:rsid w:val="00C42C1C"/>
    <w:rsid w:val="00C435DB"/>
    <w:rsid w:val="00C44D73"/>
    <w:rsid w:val="00C50B42"/>
    <w:rsid w:val="00C516FF"/>
    <w:rsid w:val="00C52BFA"/>
    <w:rsid w:val="00C53D1D"/>
    <w:rsid w:val="00C53F26"/>
    <w:rsid w:val="00C540BC"/>
    <w:rsid w:val="00C64F7D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5CEB"/>
    <w:rsid w:val="00C96703"/>
    <w:rsid w:val="00CA1054"/>
    <w:rsid w:val="00CA63EB"/>
    <w:rsid w:val="00CA69F1"/>
    <w:rsid w:val="00CB6991"/>
    <w:rsid w:val="00CC6194"/>
    <w:rsid w:val="00CC6305"/>
    <w:rsid w:val="00CC78A5"/>
    <w:rsid w:val="00CD0516"/>
    <w:rsid w:val="00CD756B"/>
    <w:rsid w:val="00CE734F"/>
    <w:rsid w:val="00CF112E"/>
    <w:rsid w:val="00CF5F4F"/>
    <w:rsid w:val="00CF6224"/>
    <w:rsid w:val="00D218DC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6227"/>
    <w:rsid w:val="00D77DF1"/>
    <w:rsid w:val="00D86AFF"/>
    <w:rsid w:val="00D95A44"/>
    <w:rsid w:val="00D95D16"/>
    <w:rsid w:val="00D97C76"/>
    <w:rsid w:val="00DB02B4"/>
    <w:rsid w:val="00DB538D"/>
    <w:rsid w:val="00DC275C"/>
    <w:rsid w:val="00DC4B0D"/>
    <w:rsid w:val="00DC7FE1"/>
    <w:rsid w:val="00DD3F3F"/>
    <w:rsid w:val="00DD5572"/>
    <w:rsid w:val="00DE16B8"/>
    <w:rsid w:val="00DE1FB9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57322"/>
    <w:rsid w:val="00E628CB"/>
    <w:rsid w:val="00E62AD9"/>
    <w:rsid w:val="00E638C8"/>
    <w:rsid w:val="00E7509B"/>
    <w:rsid w:val="00E86590"/>
    <w:rsid w:val="00E907FF"/>
    <w:rsid w:val="00EA42D1"/>
    <w:rsid w:val="00EA42EF"/>
    <w:rsid w:val="00EB2DD1"/>
    <w:rsid w:val="00EB6B37"/>
    <w:rsid w:val="00EC29FE"/>
    <w:rsid w:val="00EC3C70"/>
    <w:rsid w:val="00ED3A3D"/>
    <w:rsid w:val="00ED538A"/>
    <w:rsid w:val="00ED6341"/>
    <w:rsid w:val="00ED6FBC"/>
    <w:rsid w:val="00EE2F16"/>
    <w:rsid w:val="00EE3861"/>
    <w:rsid w:val="00EF22FB"/>
    <w:rsid w:val="00EF2E73"/>
    <w:rsid w:val="00EF61D8"/>
    <w:rsid w:val="00EF7683"/>
    <w:rsid w:val="00EF7A2D"/>
    <w:rsid w:val="00F04F8D"/>
    <w:rsid w:val="00F10AD0"/>
    <w:rsid w:val="00F116CC"/>
    <w:rsid w:val="00F12BD1"/>
    <w:rsid w:val="00F15327"/>
    <w:rsid w:val="00F168CF"/>
    <w:rsid w:val="00F2555C"/>
    <w:rsid w:val="00F31DF3"/>
    <w:rsid w:val="00F33AE5"/>
    <w:rsid w:val="00F3597D"/>
    <w:rsid w:val="00F37D71"/>
    <w:rsid w:val="00F4376D"/>
    <w:rsid w:val="00F44D24"/>
    <w:rsid w:val="00F45399"/>
    <w:rsid w:val="00F465EA"/>
    <w:rsid w:val="00F54E7B"/>
    <w:rsid w:val="00F55A88"/>
    <w:rsid w:val="00F7119D"/>
    <w:rsid w:val="00F74005"/>
    <w:rsid w:val="00F76884"/>
    <w:rsid w:val="00F83D24"/>
    <w:rsid w:val="00F83DD9"/>
    <w:rsid w:val="00F83F40"/>
    <w:rsid w:val="00FA117A"/>
    <w:rsid w:val="00FB386A"/>
    <w:rsid w:val="00FC0786"/>
    <w:rsid w:val="00FC49EF"/>
    <w:rsid w:val="00FC56DA"/>
    <w:rsid w:val="00FD4C88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Default">
    <w:name w:val="Default"/>
    <w:rsid w:val="003B54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Default">
    <w:name w:val="Default"/>
    <w:rsid w:val="003B54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2017-07-25T08:44:00Z</dcterms:created>
  <dcterms:modified xsi:type="dcterms:W3CDTF">2017-07-25T08:44:00Z</dcterms:modified>
</cp:coreProperties>
</file>