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E63" w:rsidRDefault="0010263F">
      <w:pPr>
        <w:pStyle w:val="Pagedecouverture"/>
        <w:rPr>
          <w:noProof/>
        </w:rPr>
      </w:pPr>
      <w:bookmarkStart w:id="0" w:name="LW_BM_COVERPAGE"/>
      <w:r>
        <w:rPr>
          <w:noProof/>
        </w:rPr>
        <w:drawing>
          <wp:inline distT="0" distB="0" distL="0" distR="0">
            <wp:extent cx="5725160" cy="4251325"/>
            <wp:effectExtent l="0" t="0" r="0" b="0"/>
            <wp:docPr id="1" name="Obraz 1" descr="D0BCCCE719AD46068E332E69473CF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BCCCE719AD46068E332E69473CF3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4251325"/>
                    </a:xfrm>
                    <a:prstGeom prst="rect">
                      <a:avLst/>
                    </a:prstGeom>
                    <a:noFill/>
                    <a:ln>
                      <a:noFill/>
                    </a:ln>
                  </pic:spPr>
                </pic:pic>
              </a:graphicData>
            </a:graphic>
          </wp:inline>
        </w:drawing>
      </w:r>
    </w:p>
    <w:bookmarkEnd w:id="0"/>
    <w:p w:rsidR="000F2E63" w:rsidRDefault="000F2E63">
      <w:pPr>
        <w:rPr>
          <w:noProof/>
        </w:rPr>
        <w:sectPr w:rsidR="000F2E63">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rsidR="000F2E63" w:rsidRDefault="0010263F">
      <w:pPr>
        <w:spacing w:after="0" w:line="360" w:lineRule="auto"/>
        <w:jc w:val="center"/>
        <w:rPr>
          <w:rFonts w:ascii="Times New Roman" w:hAnsi="Times New Roman"/>
          <w:b/>
          <w:noProof/>
          <w:sz w:val="24"/>
        </w:rPr>
      </w:pPr>
      <w:r>
        <w:rPr>
          <w:rFonts w:ascii="Times New Roman" w:hAnsi="Times New Roman"/>
          <w:b/>
          <w:noProof/>
          <w:sz w:val="24"/>
        </w:rPr>
        <w:lastRenderedPageBreak/>
        <w:t xml:space="preserve">PROJEKT WSPÓLNEGO SPRAWOZDANIA O ZATRUDNIENIU </w:t>
      </w:r>
    </w:p>
    <w:p w:rsidR="000F2E63" w:rsidRDefault="0010263F">
      <w:pPr>
        <w:spacing w:after="0" w:line="360" w:lineRule="auto"/>
        <w:jc w:val="center"/>
        <w:rPr>
          <w:rFonts w:ascii="Times New Roman" w:hAnsi="Times New Roman"/>
          <w:b/>
          <w:noProof/>
          <w:sz w:val="24"/>
        </w:rPr>
      </w:pPr>
      <w:r>
        <w:rPr>
          <w:rFonts w:ascii="Times New Roman" w:hAnsi="Times New Roman"/>
          <w:b/>
          <w:noProof/>
          <w:sz w:val="24"/>
        </w:rPr>
        <w:t xml:space="preserve">KOMISJI I RADY </w:t>
      </w:r>
    </w:p>
    <w:p w:rsidR="000F2E63" w:rsidRDefault="0010263F">
      <w:pPr>
        <w:spacing w:after="0" w:line="360" w:lineRule="auto"/>
        <w:jc w:val="center"/>
        <w:rPr>
          <w:rFonts w:ascii="Times New Roman" w:hAnsi="Times New Roman"/>
          <w:b/>
          <w:noProof/>
          <w:sz w:val="24"/>
        </w:rPr>
      </w:pPr>
      <w:r>
        <w:rPr>
          <w:rFonts w:ascii="Times New Roman" w:hAnsi="Times New Roman"/>
          <w:b/>
          <w:noProof/>
          <w:sz w:val="24"/>
        </w:rPr>
        <w:t xml:space="preserve">towarzyszącego komunikatowi Komisji </w:t>
      </w:r>
    </w:p>
    <w:p w:rsidR="000F2E63" w:rsidRDefault="0010263F">
      <w:pPr>
        <w:spacing w:after="0" w:line="360" w:lineRule="auto"/>
        <w:jc w:val="center"/>
        <w:rPr>
          <w:rFonts w:ascii="Times New Roman" w:hAnsi="Times New Roman"/>
          <w:b/>
          <w:noProof/>
          <w:sz w:val="24"/>
        </w:rPr>
      </w:pPr>
      <w:r>
        <w:rPr>
          <w:rFonts w:ascii="Times New Roman" w:hAnsi="Times New Roman"/>
          <w:b/>
          <w:noProof/>
          <w:sz w:val="24"/>
        </w:rPr>
        <w:t>w sprawie rocznej analizy wzrostu gospodarczego na 2016 r.</w:t>
      </w:r>
      <w:bookmarkStart w:id="1" w:name="_GoBack"/>
      <w:bookmarkEnd w:id="1"/>
    </w:p>
    <w:p w:rsidR="000F2E63" w:rsidRDefault="000F2E63">
      <w:pPr>
        <w:spacing w:after="0" w:line="360" w:lineRule="auto"/>
        <w:jc w:val="both"/>
        <w:rPr>
          <w:rFonts w:ascii="Times New Roman" w:hAnsi="Times New Roman"/>
          <w:noProof/>
          <w:sz w:val="24"/>
        </w:rPr>
      </w:pPr>
    </w:p>
    <w:p w:rsidR="000F2E63" w:rsidRDefault="0010263F">
      <w:pPr>
        <w:spacing w:after="0" w:line="360" w:lineRule="auto"/>
        <w:jc w:val="both"/>
        <w:rPr>
          <w:rFonts w:ascii="Times New Roman" w:hAnsi="Times New Roman"/>
          <w:noProof/>
          <w:sz w:val="24"/>
        </w:rPr>
      </w:pPr>
      <w:r>
        <w:rPr>
          <w:rFonts w:ascii="Times New Roman" w:hAnsi="Times New Roman"/>
          <w:noProof/>
          <w:sz w:val="24"/>
        </w:rPr>
        <w:t>Projekt wspólnego sprawozdania o zatrudnieniu, przewidzianego w art. 148 TFUE, stanowi część pakietu rocznej analizy wzrostu gospodarczego na rozpoczęcie europ</w:t>
      </w:r>
      <w:r>
        <w:rPr>
          <w:rFonts w:ascii="Times New Roman" w:hAnsi="Times New Roman"/>
          <w:noProof/>
          <w:sz w:val="24"/>
        </w:rPr>
        <w:t>ejskiego semestru. Wspólne sprawozdanie o zatrudnieniu stanowi zasadniczy wkład w zarządzenie gospodarcze UE, dlatego też przedstawiono w nim najważniejsze kwestie dotyczące zatrudnienia i sytuacji społecznej w Europie, jak również działania państw członko</w:t>
      </w:r>
      <w:r>
        <w:rPr>
          <w:rFonts w:ascii="Times New Roman" w:hAnsi="Times New Roman"/>
          <w:noProof/>
          <w:sz w:val="24"/>
        </w:rPr>
        <w:t xml:space="preserve">wskich w kierunku reform zgodne z wytycznymi dotyczącymi polityki zatrudnienia państw członkowskich i priorytetami określonymi w rocznej analizie wzrostu gospodarczego. </w:t>
      </w:r>
    </w:p>
    <w:p w:rsidR="000F2E63" w:rsidRDefault="000F2E63">
      <w:pPr>
        <w:spacing w:after="0" w:line="360" w:lineRule="auto"/>
        <w:jc w:val="both"/>
        <w:rPr>
          <w:rFonts w:ascii="Times New Roman" w:hAnsi="Times New Roman"/>
          <w:noProof/>
          <w:sz w:val="24"/>
        </w:rPr>
      </w:pPr>
    </w:p>
    <w:p w:rsidR="000F2E63" w:rsidRDefault="0010263F">
      <w:pPr>
        <w:spacing w:after="0" w:line="360" w:lineRule="auto"/>
        <w:jc w:val="both"/>
        <w:rPr>
          <w:rFonts w:ascii="Times New Roman" w:hAnsi="Times New Roman"/>
          <w:noProof/>
          <w:sz w:val="24"/>
        </w:rPr>
      </w:pPr>
      <w:r>
        <w:rPr>
          <w:rFonts w:ascii="Times New Roman" w:hAnsi="Times New Roman"/>
          <w:noProof/>
          <w:sz w:val="24"/>
        </w:rPr>
        <w:t>W tym kontekście projekt wspólnego sprawozdania o zatrudnieniu na 2016 r. zawiera nas</w:t>
      </w:r>
      <w:r>
        <w:rPr>
          <w:rFonts w:ascii="Times New Roman" w:hAnsi="Times New Roman"/>
          <w:noProof/>
          <w:sz w:val="24"/>
        </w:rPr>
        <w:t xml:space="preserve">tępujące stwierdzenia: </w:t>
      </w:r>
    </w:p>
    <w:p w:rsidR="000F2E63" w:rsidRDefault="000F2E63">
      <w:pPr>
        <w:spacing w:after="0" w:line="360" w:lineRule="auto"/>
        <w:jc w:val="both"/>
        <w:rPr>
          <w:rFonts w:ascii="Times New Roman" w:hAnsi="Times New Roman"/>
          <w:b/>
          <w:noProof/>
          <w:sz w:val="24"/>
        </w:rPr>
      </w:pPr>
    </w:p>
    <w:p w:rsidR="000F2E63" w:rsidRDefault="0010263F">
      <w:pPr>
        <w:spacing w:after="0" w:line="360" w:lineRule="auto"/>
        <w:jc w:val="both"/>
        <w:rPr>
          <w:rFonts w:ascii="Times New Roman" w:hAnsi="Times New Roman"/>
          <w:i/>
          <w:noProof/>
          <w:sz w:val="24"/>
          <w:szCs w:val="24"/>
        </w:rPr>
      </w:pPr>
      <w:r>
        <w:rPr>
          <w:rFonts w:ascii="Times New Roman" w:hAnsi="Times New Roman"/>
          <w:b/>
          <w:i/>
          <w:noProof/>
          <w:sz w:val="24"/>
        </w:rPr>
        <w:t xml:space="preserve">Zatrudnienie i sytuacja społeczna powoli się poprawiają, choć nadal istnieją rozbieżności między państwami członkowskimi i w samych państwach członkowskich </w:t>
      </w:r>
      <w:r>
        <w:rPr>
          <w:rFonts w:ascii="Times New Roman" w:hAnsi="Times New Roman"/>
          <w:i/>
          <w:noProof/>
          <w:sz w:val="24"/>
        </w:rPr>
        <w:t xml:space="preserve">Wraz ze stopniowym ożywieniem gospodarczym wskaźniki zatrudnienia rosną, a </w:t>
      </w:r>
      <w:r>
        <w:rPr>
          <w:rFonts w:ascii="Times New Roman" w:hAnsi="Times New Roman"/>
          <w:i/>
          <w:noProof/>
          <w:sz w:val="24"/>
        </w:rPr>
        <w:t>bezrobocie spada w prawie wszystkich państwach członkowskich. W 2014 r. roczna stopa bezrobocia dla UE28 wynosiła nadal ponad 10 %, a w strefie euro była jeszcze wyższa, jednak w ciągu 2015 r. uległa ona zmniejszeniu. Od 2013 r. maleją również bezrobocie m</w:t>
      </w:r>
      <w:r>
        <w:rPr>
          <w:rFonts w:ascii="Times New Roman" w:hAnsi="Times New Roman"/>
          <w:i/>
          <w:noProof/>
          <w:sz w:val="24"/>
        </w:rPr>
        <w:t>łodzieży i bezrobocie długotrwałe, pozostając jednak ogólnie na wysokim poziomie. Mimo pierwszych oznak konwergencji w zakresie warunków rynku pracy odnotowanych w 2014 r. utrzymują się nadal duże różnice między państwami członkowskimi. W 2014 r. i na pocz</w:t>
      </w:r>
      <w:r>
        <w:rPr>
          <w:rFonts w:ascii="Times New Roman" w:hAnsi="Times New Roman"/>
          <w:i/>
          <w:noProof/>
          <w:sz w:val="24"/>
        </w:rPr>
        <w:t>ątku 2015 r. dochody gospodarstw domowych w UE nieznacznie wzrosły dzięki większej aktywności gospodarczej i poprawie sytuacji na rynku pracy. Liczba i odsetek osób zagrożonych ubóstwem lub wykluczeniem społecznym ustabilizowały się ogólnie w latach 2013 i</w:t>
      </w:r>
      <w:r>
        <w:rPr>
          <w:rFonts w:ascii="Times New Roman" w:hAnsi="Times New Roman"/>
          <w:i/>
          <w:noProof/>
          <w:sz w:val="24"/>
        </w:rPr>
        <w:t xml:space="preserve"> 2014.</w:t>
      </w:r>
      <w:r>
        <w:rPr>
          <w:rFonts w:ascii="Times New Roman" w:hAnsi="Times New Roman"/>
          <w:b/>
          <w:i/>
          <w:noProof/>
          <w:sz w:val="24"/>
        </w:rPr>
        <w:t xml:space="preserve"> </w:t>
      </w:r>
      <w:r>
        <w:rPr>
          <w:rFonts w:ascii="Times New Roman" w:hAnsi="Times New Roman"/>
          <w:i/>
          <w:noProof/>
          <w:sz w:val="24"/>
        </w:rPr>
        <w:t xml:space="preserve">Sytuacja społeczna nadal jednak wskazuje na dalsze rozbieżności w całej UE, co widać w tablicy wyników zawierającej kluczowe wskaźniki zatrudnienia i wskaźniki społeczne w odniesieniu do zmian w zakresie zagrożenia ubóstwem i nierówności. W oparciu </w:t>
      </w:r>
      <w:r>
        <w:rPr>
          <w:rFonts w:ascii="Times New Roman" w:hAnsi="Times New Roman"/>
          <w:i/>
          <w:noProof/>
          <w:sz w:val="24"/>
        </w:rPr>
        <w:t>o dobre praktyki możliwe byłoby zdefiniowanie wspólnych wartości odniesienia, które przyspieszyłyby proces konwergencji do wyższego poziomu, uwzględniając jednocześnie różnorodność punktów wyjścia i praktyk w poszczególnych państwach członkowskich.</w:t>
      </w:r>
    </w:p>
    <w:p w:rsidR="000F2E63" w:rsidRDefault="000F2E63">
      <w:pPr>
        <w:spacing w:after="0" w:line="360" w:lineRule="auto"/>
        <w:jc w:val="both"/>
        <w:rPr>
          <w:rFonts w:ascii="Times New Roman" w:hAnsi="Times New Roman"/>
          <w:b/>
          <w:i/>
          <w:noProof/>
          <w:sz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 xml:space="preserve">Należy kontynuować reformy wspierające sprawne, dynamiczne i sprzyjające włączeniu społecznemu funkcjonowanie rynków pracy. </w:t>
      </w:r>
      <w:r>
        <w:rPr>
          <w:rFonts w:ascii="Times New Roman" w:hAnsi="Times New Roman"/>
          <w:i/>
          <w:noProof/>
          <w:sz w:val="24"/>
        </w:rPr>
        <w:t xml:space="preserve">Szereg państw członkowskich wdraża reformy, których pozytywne skutki widać na przykładzie wzrostu wskaźnika zatrudnienia. Konieczne </w:t>
      </w:r>
      <w:r>
        <w:rPr>
          <w:rFonts w:ascii="Times New Roman" w:hAnsi="Times New Roman"/>
          <w:i/>
          <w:noProof/>
          <w:sz w:val="24"/>
        </w:rPr>
        <w:t>jest jednak podjęcie jeszcze większych wysiłków w celu pobudzenia wzrostu i stworzenia korzystnych warunków dla powstawania miejsc pracy o wysokiej jakości. Z uwagi na to, że niedawny wzrost zatrudnienia wynika głównie ze zwiększenia liczby umów na czas ok</w:t>
      </w:r>
      <w:r>
        <w:rPr>
          <w:rFonts w:ascii="Times New Roman" w:hAnsi="Times New Roman"/>
          <w:i/>
          <w:noProof/>
          <w:sz w:val="24"/>
        </w:rPr>
        <w:t>reślony, państwa członkowskie powinny kontynuować, a w niektórych przypadkach nasilić działania, aby stawić czoła wyzwaniu segmentacji rynków pracy i zapewnić właściwą równowagę między elastycznością a bezpieczeństwem.</w:t>
      </w:r>
    </w:p>
    <w:p w:rsidR="000F2E63" w:rsidRDefault="000F2E63">
      <w:pPr>
        <w:spacing w:after="0" w:line="360" w:lineRule="auto"/>
        <w:jc w:val="both"/>
        <w:rPr>
          <w:rFonts w:ascii="Times New Roman" w:hAnsi="Times New Roman"/>
          <w:i/>
          <w:noProof/>
          <w:sz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Systemy podatkowe muszą jeszcze bard</w:t>
      </w:r>
      <w:r>
        <w:rPr>
          <w:rFonts w:ascii="Times New Roman" w:hAnsi="Times New Roman"/>
          <w:b/>
          <w:i/>
          <w:noProof/>
          <w:sz w:val="24"/>
        </w:rPr>
        <w:t>ziej sprzyjać tworzeniu miejsc pracy.</w:t>
      </w:r>
      <w:r>
        <w:rPr>
          <w:i/>
          <w:noProof/>
        </w:rPr>
        <w:t xml:space="preserve"> </w:t>
      </w:r>
      <w:r>
        <w:rPr>
          <w:rFonts w:ascii="Times New Roman" w:hAnsi="Times New Roman"/>
          <w:i/>
          <w:noProof/>
          <w:sz w:val="24"/>
        </w:rPr>
        <w:t xml:space="preserve">Wprowadzono reformy systemów podatkowych w celu ograniczenia czynników zniechęcających do podejmowania pracy, a równocześnie w celu obniżenia opodatkowania pracy, by w ten sposób wesprzeć przedsiębiorstwa w (ponownym) </w:t>
      </w:r>
      <w:r>
        <w:rPr>
          <w:rFonts w:ascii="Times New Roman" w:hAnsi="Times New Roman"/>
          <w:i/>
          <w:noProof/>
          <w:sz w:val="24"/>
        </w:rPr>
        <w:t>zatrudnianiu osób pochodzących często z takich grup docelowych, jak osoby młode i długotrwale bezrobotne. Mimo to w ostatnich latach w znacznej liczbie państw członkowskich ogólny klin podatkowy zwiększył się, zwłaszcza w przypadku osób o niskich i średnic</w:t>
      </w:r>
      <w:r>
        <w:rPr>
          <w:rFonts w:ascii="Times New Roman" w:hAnsi="Times New Roman"/>
          <w:i/>
          <w:noProof/>
          <w:sz w:val="24"/>
        </w:rPr>
        <w:t xml:space="preserve">h dochodach. Tendencja ta jest niepokojąca w kontekście wciąż wysokiej stopy bezrobocia w wielu państwach członkowskich, tym bardziej, że wysoki klin podatkowy może przyczyniać się do ograniczenia popytu na pracę i podaży pracy. </w:t>
      </w:r>
    </w:p>
    <w:p w:rsidR="000F2E63" w:rsidRDefault="000F2E63">
      <w:pPr>
        <w:spacing w:after="0" w:line="360" w:lineRule="auto"/>
        <w:jc w:val="both"/>
        <w:rPr>
          <w:rFonts w:ascii="Times New Roman" w:hAnsi="Times New Roman"/>
          <w:i/>
          <w:noProof/>
          <w:sz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Polityka płacowa wskazuje</w:t>
      </w:r>
      <w:r>
        <w:rPr>
          <w:rFonts w:ascii="Times New Roman" w:hAnsi="Times New Roman"/>
          <w:b/>
          <w:i/>
          <w:noProof/>
          <w:sz w:val="24"/>
        </w:rPr>
        <w:t xml:space="preserve"> ogólnie na dalsze ograniczanie wzrostu płac. </w:t>
      </w:r>
      <w:r>
        <w:rPr>
          <w:rFonts w:ascii="Times New Roman" w:hAnsi="Times New Roman"/>
          <w:i/>
          <w:noProof/>
          <w:sz w:val="24"/>
        </w:rPr>
        <w:t>Reformy ugruntowały mechanizmy ustalania wynagrodzeń, które zapewniają dostosowanie wzrostu płac do wydajności, a także umożliwiają zwiększenie dochodów do dyspozycji gospodarstw domowych, ze szczególnym nacisk</w:t>
      </w:r>
      <w:r>
        <w:rPr>
          <w:rFonts w:ascii="Times New Roman" w:hAnsi="Times New Roman"/>
          <w:i/>
          <w:noProof/>
          <w:sz w:val="24"/>
        </w:rPr>
        <w:t>iem na minimalne wynagrodzenie za pracę. Ogólnie rzecz biorąc, wydaje się, że ostatnie zmiany płac były w większości państw członkowskich dość wyważone i przyczyniły się do przywrócenia równowagi w strefie euro. Realny wzrost płac był w większości państw c</w:t>
      </w:r>
      <w:r>
        <w:rPr>
          <w:rFonts w:ascii="Times New Roman" w:hAnsi="Times New Roman"/>
          <w:i/>
          <w:noProof/>
          <w:sz w:val="24"/>
        </w:rPr>
        <w:t xml:space="preserve">złonkowskich zasadniczo zgodny ze wzrostem wydajności, choć było kilka wyjątków. Jest to korzystny rozwój sytuacji dla wewnętrznej i zewnętrznej równowagi krajów, nawet jeżeli konieczne są pewne dalsze korekty.  </w:t>
      </w:r>
    </w:p>
    <w:p w:rsidR="000F2E63" w:rsidRDefault="000F2E63">
      <w:pPr>
        <w:spacing w:after="0" w:line="360" w:lineRule="auto"/>
        <w:jc w:val="both"/>
        <w:rPr>
          <w:rFonts w:ascii="Times New Roman" w:hAnsi="Times New Roman"/>
          <w:b/>
          <w:i/>
          <w:noProof/>
          <w:sz w:val="24"/>
        </w:rPr>
      </w:pPr>
    </w:p>
    <w:p w:rsidR="000F2E63" w:rsidRDefault="0010263F">
      <w:pPr>
        <w:spacing w:line="360" w:lineRule="auto"/>
        <w:jc w:val="both"/>
        <w:rPr>
          <w:rFonts w:ascii="Times New Roman" w:hAnsi="Times New Roman"/>
          <w:i/>
          <w:noProof/>
          <w:sz w:val="24"/>
        </w:rPr>
      </w:pPr>
      <w:r>
        <w:rPr>
          <w:rFonts w:ascii="Times New Roman" w:hAnsi="Times New Roman"/>
          <w:b/>
          <w:i/>
          <w:noProof/>
          <w:sz w:val="24"/>
        </w:rPr>
        <w:t>Inwestycje w kapitał ludzki poprzez kształ</w:t>
      </w:r>
      <w:r>
        <w:rPr>
          <w:rFonts w:ascii="Times New Roman" w:hAnsi="Times New Roman"/>
          <w:b/>
          <w:i/>
          <w:noProof/>
          <w:sz w:val="24"/>
        </w:rPr>
        <w:t>cenie i szkolenie były przede wszystkim ukierunkowane na młodzież</w:t>
      </w:r>
      <w:r>
        <w:rPr>
          <w:rFonts w:ascii="Times New Roman" w:hAnsi="Times New Roman"/>
          <w:i/>
          <w:noProof/>
          <w:sz w:val="24"/>
        </w:rPr>
        <w:t xml:space="preserve">, ale niektóre państwa członkowskie podjęły również szeroko </w:t>
      </w:r>
      <w:r>
        <w:rPr>
          <w:rFonts w:ascii="Times New Roman" w:hAnsi="Times New Roman"/>
          <w:i/>
          <w:noProof/>
          <w:sz w:val="24"/>
        </w:rPr>
        <w:lastRenderedPageBreak/>
        <w:t>zakrojone starania na rzecz zreformowania swoich systemów edukacji lub rozszerzenia możliwości kształcenia dorosłych i szkolenia za</w:t>
      </w:r>
      <w:r>
        <w:rPr>
          <w:rFonts w:ascii="Times New Roman" w:hAnsi="Times New Roman"/>
          <w:i/>
          <w:noProof/>
          <w:sz w:val="24"/>
        </w:rPr>
        <w:t>wodowego. Wydatki publiczne na edukację zmniejszyły się jednak w niemal połowie państw członkowskich, a w całej UE spadły o 3,2 % w porównaniu z rokiem 2010. Kluczowe dla przyszłego zatrudnienia, wzrostu gospodarczego i konkurencyjności w UE są modernizacj</w:t>
      </w:r>
      <w:r>
        <w:rPr>
          <w:rFonts w:ascii="Times New Roman" w:hAnsi="Times New Roman"/>
          <w:i/>
          <w:noProof/>
          <w:sz w:val="24"/>
        </w:rPr>
        <w:t>a, lepsze dostosowanie umiejętności do potrzeb rynku pracy i trwałe inwestycje w kształcenie i szkolenie, w tym w dziedzinie umiejętności cyfrowych.</w:t>
      </w:r>
    </w:p>
    <w:p w:rsidR="000F2E63" w:rsidRDefault="000F2E63">
      <w:pPr>
        <w:spacing w:after="0" w:line="360" w:lineRule="auto"/>
        <w:jc w:val="both"/>
        <w:rPr>
          <w:rFonts w:ascii="Times New Roman" w:hAnsi="Times New Roman"/>
          <w:i/>
          <w:noProof/>
          <w:sz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 xml:space="preserve">Państwa członkowskie podejmują nieustające wysiłki na rzecz wspierania zatrudnienia ludzi młodych i walki </w:t>
      </w:r>
      <w:r>
        <w:rPr>
          <w:rFonts w:ascii="Times New Roman" w:hAnsi="Times New Roman"/>
          <w:b/>
          <w:i/>
          <w:noProof/>
          <w:sz w:val="24"/>
        </w:rPr>
        <w:t xml:space="preserve">z wysokim poziomem młodzieży NEET (młodzieży niekształcącej się, niepracującej ani nieszkolącej się). </w:t>
      </w:r>
      <w:r>
        <w:rPr>
          <w:rFonts w:ascii="Times New Roman" w:hAnsi="Times New Roman"/>
          <w:i/>
          <w:noProof/>
          <w:sz w:val="24"/>
        </w:rPr>
        <w:t>Gwarancja dla młodzieży stała się siłą napędową dla poprawy procesu przechodzenia od kształcenia do zatrudnienia i zmniejszenia bezrobocia wśród młodzieży</w:t>
      </w:r>
      <w:r>
        <w:rPr>
          <w:rFonts w:ascii="Times New Roman" w:hAnsi="Times New Roman"/>
          <w:i/>
          <w:noProof/>
          <w:sz w:val="24"/>
        </w:rPr>
        <w:t>, a jej pierwsze rezultaty są już widoczne, gdyż odsetek młodych ludzi niekształcących się, niepracujących ani nieszkolących się spada. Kluczowe dla osiągnięcia trwałych skutków będzie jednak dalsze konsekwentne wdrażanie, również przy wsparciu z krajowych</w:t>
      </w:r>
      <w:r>
        <w:rPr>
          <w:rFonts w:ascii="Times New Roman" w:hAnsi="Times New Roman"/>
          <w:i/>
          <w:noProof/>
          <w:sz w:val="24"/>
        </w:rPr>
        <w:t xml:space="preserve"> źródeł finansowania, a także nacisk na reformy strukturalne. Bezrobocie młodzieży w UE zaczęło spadać, ale nie we wszystkich krajach, a różnice między poszczególnymi krajami pozostają duże. </w:t>
      </w:r>
    </w:p>
    <w:p w:rsidR="000F2E63" w:rsidRDefault="000F2E63">
      <w:pPr>
        <w:spacing w:after="0" w:line="360" w:lineRule="auto"/>
        <w:jc w:val="both"/>
        <w:rPr>
          <w:rFonts w:ascii="Times New Roman" w:hAnsi="Times New Roman"/>
          <w:b/>
          <w:i/>
          <w:noProof/>
          <w:sz w:val="24"/>
        </w:rPr>
      </w:pPr>
    </w:p>
    <w:p w:rsidR="000F2E63" w:rsidRDefault="0010263F">
      <w:pPr>
        <w:spacing w:after="240" w:line="360" w:lineRule="auto"/>
        <w:jc w:val="both"/>
        <w:rPr>
          <w:rFonts w:ascii="Times New Roman" w:hAnsi="Times New Roman"/>
          <w:i/>
          <w:noProof/>
          <w:sz w:val="24"/>
        </w:rPr>
      </w:pPr>
      <w:r>
        <w:rPr>
          <w:rFonts w:ascii="Times New Roman" w:hAnsi="Times New Roman"/>
          <w:b/>
          <w:i/>
          <w:noProof/>
          <w:sz w:val="24"/>
        </w:rPr>
        <w:t>Reintegracja zawodowa osób długotrwale bezrobotnych musi pozost</w:t>
      </w:r>
      <w:r>
        <w:rPr>
          <w:rFonts w:ascii="Times New Roman" w:hAnsi="Times New Roman"/>
          <w:b/>
          <w:i/>
          <w:noProof/>
          <w:sz w:val="24"/>
        </w:rPr>
        <w:t>ać priorytetem.</w:t>
      </w:r>
      <w:r>
        <w:rPr>
          <w:rFonts w:ascii="Times New Roman" w:hAnsi="Times New Roman"/>
          <w:i/>
          <w:noProof/>
          <w:sz w:val="24"/>
        </w:rPr>
        <w:t xml:space="preserve"> Długotrwałe bezrobocie stanowi obecnie 50 % zjawiska bezrobocia i jest poważnym wyzwaniem dla polityki zatrudnienia i polityki społecznej. Prawdopodobieństwo przejścia od bezrobocia do bierności zawodowej rośnie wraz z czasem spędzonym bez </w:t>
      </w:r>
      <w:r>
        <w:rPr>
          <w:rFonts w:ascii="Times New Roman" w:hAnsi="Times New Roman"/>
          <w:i/>
          <w:noProof/>
          <w:sz w:val="24"/>
        </w:rPr>
        <w:t>pracy. Może to mieć poważne negatywne konsekwencje dla wzrostu gospodarczego, także biorąc pod uwagę pożądany wzrost wydajności i zmiany demograficzne. W wielu państwach członkowskich powinno się lepiej wspierać przejście od długotrwałego bezrobocia do zat</w:t>
      </w:r>
      <w:r>
        <w:rPr>
          <w:rFonts w:ascii="Times New Roman" w:hAnsi="Times New Roman"/>
          <w:i/>
          <w:noProof/>
          <w:sz w:val="24"/>
        </w:rPr>
        <w:t xml:space="preserve">rudnienia przy pomocy aktywnych instrumentów rynku pracy.  Aby nie zniechęcać osób długotrwale bezrobotnych i uchronić ich przed biernością zawodową, konieczne są natychmiastowe działania zarówno po stronie popytu, jak i podaży pracy. </w:t>
      </w: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Aktualna reforma dia</w:t>
      </w:r>
      <w:r>
        <w:rPr>
          <w:rFonts w:ascii="Times New Roman" w:hAnsi="Times New Roman"/>
          <w:b/>
          <w:i/>
          <w:noProof/>
          <w:sz w:val="24"/>
        </w:rPr>
        <w:t xml:space="preserve">logu społecznego dotyczy głównie rokowań zbiorowych oraz reprezentacji pracowniczej. </w:t>
      </w:r>
      <w:r>
        <w:rPr>
          <w:rFonts w:ascii="Times New Roman" w:hAnsi="Times New Roman"/>
          <w:i/>
          <w:noProof/>
          <w:sz w:val="24"/>
        </w:rPr>
        <w:t>Rokowania zbiorowe stają się coraz bardziej zdecentralizowane, przechodząc z poziomu (ponad)sektorowego na poziom przedsiębiorstwa. W tych państwach członkowskich, w który</w:t>
      </w:r>
      <w:r>
        <w:rPr>
          <w:rFonts w:ascii="Times New Roman" w:hAnsi="Times New Roman"/>
          <w:i/>
          <w:noProof/>
          <w:sz w:val="24"/>
        </w:rPr>
        <w:t xml:space="preserve">ch istnieją (ponad)sektorowe układy zbiorowe pracy, zakres układów </w:t>
      </w:r>
      <w:r>
        <w:rPr>
          <w:rFonts w:ascii="Times New Roman" w:hAnsi="Times New Roman"/>
          <w:i/>
          <w:noProof/>
          <w:sz w:val="24"/>
        </w:rPr>
        <w:lastRenderedPageBreak/>
        <w:t>zbiorowych w celu negocjowania warunków pracy na poziomie przedsiębiorstw zwiększył się. W kontekście zdecentralizowanych rokowań zbiorowych kluczową rolę dla zapewnienia wzrostu wydajności</w:t>
      </w:r>
      <w:r>
        <w:rPr>
          <w:rFonts w:ascii="Times New Roman" w:hAnsi="Times New Roman"/>
          <w:i/>
          <w:noProof/>
          <w:sz w:val="24"/>
        </w:rPr>
        <w:t xml:space="preserve"> i zatrudnienia oraz sprawiedliwej wysokości wynagrodzeń dla pracowników mają struktury reprezentacji pracowniczej oraz koordynacja rokowań z wyższymi szczeblami i koordynacja horyzontalna. Należy zwiększyć możliwości uczestniczenia partnerów społecznych w</w:t>
      </w:r>
      <w:r>
        <w:rPr>
          <w:rFonts w:ascii="Times New Roman" w:hAnsi="Times New Roman"/>
          <w:i/>
          <w:noProof/>
          <w:sz w:val="24"/>
        </w:rPr>
        <w:t xml:space="preserve"> opracowywaniu i wdrażaniu polityki.  </w:t>
      </w:r>
    </w:p>
    <w:p w:rsidR="000F2E63" w:rsidRDefault="000F2E63">
      <w:pPr>
        <w:spacing w:after="0" w:line="360" w:lineRule="auto"/>
        <w:jc w:val="both"/>
        <w:rPr>
          <w:rFonts w:ascii="Times New Roman" w:hAnsi="Times New Roman"/>
          <w:i/>
          <w:noProof/>
          <w:sz w:val="24"/>
        </w:rPr>
      </w:pPr>
    </w:p>
    <w:p w:rsidR="000F2E63" w:rsidRDefault="0010263F">
      <w:pPr>
        <w:spacing w:line="360" w:lineRule="auto"/>
        <w:jc w:val="both"/>
        <w:rPr>
          <w:rFonts w:ascii="Times New Roman" w:hAnsi="Times New Roman"/>
          <w:i/>
          <w:noProof/>
          <w:sz w:val="24"/>
          <w:szCs w:val="24"/>
        </w:rPr>
      </w:pPr>
      <w:r>
        <w:rPr>
          <w:rFonts w:ascii="Times New Roman" w:hAnsi="Times New Roman"/>
          <w:b/>
          <w:i/>
          <w:noProof/>
          <w:sz w:val="24"/>
        </w:rPr>
        <w:t xml:space="preserve">Mimo że kobiety są coraz lepiej wykwalifikowane, a nawet przewyższają mężczyzn, jeśli chodzi o poziom wykształcenia, są one nadal niewystarczająco reprezentowane na rynku pracy. </w:t>
      </w:r>
      <w:r>
        <w:rPr>
          <w:rFonts w:ascii="Times New Roman" w:hAnsi="Times New Roman"/>
          <w:i/>
          <w:noProof/>
          <w:sz w:val="24"/>
        </w:rPr>
        <w:t>Różnice w poziomie zatrudnienia ze wzg</w:t>
      </w:r>
      <w:r>
        <w:rPr>
          <w:rFonts w:ascii="Times New Roman" w:hAnsi="Times New Roman"/>
          <w:i/>
          <w:noProof/>
          <w:sz w:val="24"/>
        </w:rPr>
        <w:t>lędu na płeć są szczególnie widoczne w przypadku rodziców i osób pełniących obowiązki opiekuńcze, co wskazuje na potrzebę podjęcia dalszych działań, np. w dziedzinie opieki nad dziećmi, a zróżnicowanie wysokości emerytur ze względu na płeć w UE jest znaczn</w:t>
      </w:r>
      <w:r>
        <w:rPr>
          <w:rFonts w:ascii="Times New Roman" w:hAnsi="Times New Roman"/>
          <w:i/>
          <w:noProof/>
          <w:sz w:val="24"/>
        </w:rPr>
        <w:t>e i wynosi 40 %, co jest skutkiem niższych wynagrodzeń i krótszego okresu aktywności zawodowej kobiet. Potrzebne są zatem dalsze działania w kierunku kompleksowego uwzględnienia w kształtowaniu polityki aspektów równowagi między życiem zawodowym a prywatny</w:t>
      </w:r>
      <w:r>
        <w:rPr>
          <w:rFonts w:ascii="Times New Roman" w:hAnsi="Times New Roman"/>
          <w:i/>
          <w:noProof/>
          <w:sz w:val="24"/>
        </w:rPr>
        <w:t>m, w tym placówek opieki nad dziećmi, uregulowań dotyczących urlopów i elastycznego czasu pracy, jak również systemów podatkowych i systemów świadczeń niezniechęcających drugich żywicieli rodzin do podejmowania pracy lub decydowania się na pracę w większym</w:t>
      </w:r>
      <w:r>
        <w:rPr>
          <w:rFonts w:ascii="Times New Roman" w:hAnsi="Times New Roman"/>
          <w:i/>
          <w:noProof/>
          <w:sz w:val="24"/>
        </w:rPr>
        <w:t xml:space="preserve"> wymiarze.</w:t>
      </w:r>
    </w:p>
    <w:p w:rsidR="000F2E63" w:rsidRDefault="000F2E63">
      <w:pPr>
        <w:spacing w:after="0" w:line="360" w:lineRule="auto"/>
        <w:jc w:val="both"/>
        <w:rPr>
          <w:rFonts w:ascii="Times New Roman" w:hAnsi="Times New Roman"/>
          <w:i/>
          <w:noProof/>
          <w:sz w:val="24"/>
          <w:szCs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Państwa członkowskie unowocześniają w dalszym ciągu systemy zabezpieczenia społecznego w celu ułatwienia uczestnictwa w rynku pracy oraz zapobiegania ryzykom w trakcie całego życia i ochrony przed nimi.</w:t>
      </w:r>
      <w:r>
        <w:rPr>
          <w:rFonts w:ascii="Times New Roman" w:hAnsi="Times New Roman"/>
          <w:i/>
          <w:noProof/>
          <w:sz w:val="24"/>
        </w:rPr>
        <w:t xml:space="preserve">  Systemy zabezpieczenia społecznego muszą</w:t>
      </w:r>
      <w:r>
        <w:rPr>
          <w:rFonts w:ascii="Times New Roman" w:hAnsi="Times New Roman"/>
          <w:i/>
          <w:noProof/>
          <w:sz w:val="24"/>
        </w:rPr>
        <w:t xml:space="preserve"> lepiej chronić przed wykluczeniem społecznym i ubóstwem oraz pełnić rolę kompleksowych instrumentów na rzecz rozwoju indywidualnego, rynku pracy, zmian zachodzących w trakcie całego życia i spójności społecznej. Adekwatne emerytury są nadal uzależnione od</w:t>
      </w:r>
      <w:r>
        <w:rPr>
          <w:rFonts w:ascii="Times New Roman" w:hAnsi="Times New Roman"/>
          <w:i/>
          <w:noProof/>
          <w:sz w:val="24"/>
        </w:rPr>
        <w:t xml:space="preserve"> tego, czy możliwa jest dłuższa i pełniejsza kariera zawodowa kobiet i mężczyzn i czy polityka aktywnego starzenia się w wystarczającym stopniu obejmuje aspekty zdrowia i kształcenia. Inwestowanie w osoby w wieku produkcyjnym, między innymi poprzez zapewni</w:t>
      </w:r>
      <w:r>
        <w:rPr>
          <w:rFonts w:ascii="Times New Roman" w:hAnsi="Times New Roman"/>
          <w:i/>
          <w:noProof/>
          <w:sz w:val="24"/>
        </w:rPr>
        <w:t>enie opieki nad dziećmi, jest istotne dla uzyskania efektów zatrudnienia sprzyjających włączeniu społecznemu oraz stabilności finansów publicznych. Systemy opieki zdrowotnej przyczyniają się do indywidualnego i zbiorowego dobra oraz do dobrobytu gospodarcz</w:t>
      </w:r>
      <w:r>
        <w:rPr>
          <w:rFonts w:ascii="Times New Roman" w:hAnsi="Times New Roman"/>
          <w:i/>
          <w:noProof/>
          <w:sz w:val="24"/>
        </w:rPr>
        <w:t xml:space="preserve">ego. Rozsądne reformy </w:t>
      </w:r>
      <w:r>
        <w:rPr>
          <w:rFonts w:ascii="Times New Roman" w:hAnsi="Times New Roman"/>
          <w:i/>
          <w:noProof/>
          <w:sz w:val="24"/>
        </w:rPr>
        <w:lastRenderedPageBreak/>
        <w:t xml:space="preserve">zapewniają trwałe podstawy finansowe i zachęcają do świadczenia efektywnych usług podstawowej opieki zdrowotnej i korzystania z takich usług. </w:t>
      </w:r>
    </w:p>
    <w:p w:rsidR="000F2E63" w:rsidRDefault="000F2E63">
      <w:pPr>
        <w:spacing w:after="0" w:line="360" w:lineRule="auto"/>
        <w:jc w:val="both"/>
        <w:rPr>
          <w:rFonts w:ascii="Times New Roman" w:hAnsi="Times New Roman"/>
          <w:i/>
          <w:noProof/>
          <w:sz w:val="24"/>
        </w:rPr>
      </w:pPr>
    </w:p>
    <w:p w:rsidR="000F2E63" w:rsidRDefault="0010263F">
      <w:pPr>
        <w:spacing w:after="0" w:line="360" w:lineRule="auto"/>
        <w:jc w:val="both"/>
        <w:rPr>
          <w:rFonts w:ascii="Times New Roman" w:hAnsi="Times New Roman"/>
          <w:i/>
          <w:noProof/>
          <w:sz w:val="24"/>
        </w:rPr>
      </w:pPr>
      <w:r>
        <w:rPr>
          <w:rFonts w:ascii="Times New Roman" w:hAnsi="Times New Roman"/>
          <w:b/>
          <w:i/>
          <w:noProof/>
          <w:sz w:val="24"/>
        </w:rPr>
        <w:t>W 2015 r. państwa członkowskie stanęły wobec konieczności zareagowania na rosnący napływ u</w:t>
      </w:r>
      <w:r>
        <w:rPr>
          <w:rFonts w:ascii="Times New Roman" w:hAnsi="Times New Roman"/>
          <w:b/>
          <w:i/>
          <w:noProof/>
          <w:sz w:val="24"/>
        </w:rPr>
        <w:t>chodźców, przy czym niektóre z nich były dotknięte tym zjawiskiem szczególnie. Państwa członkowskie podjęły decyzje w sprawie pakietów integracyjnych, jak również środków zniechęcających</w:t>
      </w:r>
      <w:r>
        <w:rPr>
          <w:noProof/>
        </w:rPr>
        <w:t>.</w:t>
      </w:r>
      <w:r>
        <w:rPr>
          <w:rFonts w:ascii="Times New Roman" w:hAnsi="Times New Roman"/>
          <w:i/>
          <w:noProof/>
          <w:sz w:val="24"/>
        </w:rPr>
        <w:t xml:space="preserve"> Nawet jeżeli w perspektywie krótkoterminowej skutek zwiększenia wyda</w:t>
      </w:r>
      <w:r>
        <w:rPr>
          <w:rFonts w:ascii="Times New Roman" w:hAnsi="Times New Roman"/>
          <w:i/>
          <w:noProof/>
          <w:sz w:val="24"/>
        </w:rPr>
        <w:t>tków publicznych jest umiarkowany, chociaż bardziej widoczny w niektórych państwach członkowskich, to w perspektywie średnio- i długoterminowej największe znaczenie ma integracja na rynku pracy.  Państwa członkowskie muszą zadbać o to, by azylanci uzyskali</w:t>
      </w:r>
      <w:r>
        <w:rPr>
          <w:rFonts w:ascii="Times New Roman" w:hAnsi="Times New Roman"/>
          <w:i/>
          <w:noProof/>
          <w:sz w:val="24"/>
        </w:rPr>
        <w:t xml:space="preserve"> dostęp do rynku pracy najpóźniej w ciągu 9 miesięcy od daty złożenia wniosku o ochronę międzynarodową.  </w:t>
      </w:r>
    </w:p>
    <w:p w:rsidR="000F2E63" w:rsidRDefault="000F2E63">
      <w:pPr>
        <w:spacing w:after="0" w:line="360" w:lineRule="auto"/>
        <w:jc w:val="both"/>
        <w:rPr>
          <w:rFonts w:ascii="Times New Roman" w:hAnsi="Times New Roman"/>
          <w:i/>
          <w:noProof/>
          <w:sz w:val="24"/>
        </w:rPr>
      </w:pPr>
    </w:p>
    <w:p w:rsidR="000F2E63" w:rsidRDefault="000F2E63">
      <w:pPr>
        <w:spacing w:after="0" w:line="360" w:lineRule="auto"/>
        <w:jc w:val="both"/>
        <w:rPr>
          <w:rFonts w:ascii="Times New Roman" w:hAnsi="Times New Roman"/>
          <w:i/>
          <w:noProof/>
          <w:sz w:val="24"/>
        </w:rPr>
      </w:pPr>
    </w:p>
    <w:p w:rsidR="000F2E63" w:rsidRDefault="000F2E63">
      <w:pPr>
        <w:spacing w:after="0" w:line="360" w:lineRule="auto"/>
        <w:jc w:val="both"/>
        <w:rPr>
          <w:rFonts w:ascii="Times New Roman" w:hAnsi="Times New Roman"/>
          <w:i/>
          <w:noProof/>
          <w:sz w:val="24"/>
        </w:rPr>
      </w:pPr>
    </w:p>
    <w:p w:rsidR="000F2E63" w:rsidRDefault="000F2E63">
      <w:pPr>
        <w:spacing w:after="0" w:line="360" w:lineRule="auto"/>
        <w:jc w:val="both"/>
        <w:rPr>
          <w:rFonts w:ascii="Times New Roman" w:hAnsi="Times New Roman"/>
          <w:i/>
          <w:noProof/>
          <w:sz w:val="24"/>
        </w:rPr>
      </w:pPr>
    </w:p>
    <w:p w:rsidR="000F2E63" w:rsidRDefault="0010263F">
      <w:pPr>
        <w:spacing w:after="0"/>
        <w:rPr>
          <w:rFonts w:ascii="Times New Roman" w:hAnsi="Times New Roman"/>
          <w:i/>
          <w:noProof/>
          <w:sz w:val="24"/>
        </w:rPr>
      </w:pPr>
      <w:r>
        <w:rPr>
          <w:rFonts w:ascii="Times New Roman" w:hAnsi="Times New Roman"/>
          <w:i/>
          <w:noProof/>
          <w:sz w:val="24"/>
        </w:rPr>
        <w:br w:type="page"/>
      </w:r>
    </w:p>
    <w:p w:rsidR="000F2E63" w:rsidRDefault="0010263F">
      <w:pPr>
        <w:autoSpaceDE w:val="0"/>
        <w:autoSpaceDN w:val="0"/>
        <w:adjustRightInd w:val="0"/>
        <w:spacing w:after="0" w:line="240" w:lineRule="auto"/>
        <w:jc w:val="both"/>
        <w:rPr>
          <w:rFonts w:ascii="Times New Roman" w:hAnsi="Times New Roman"/>
          <w:b/>
          <w:bCs/>
          <w:noProof/>
          <w:sz w:val="24"/>
          <w:szCs w:val="24"/>
        </w:rPr>
      </w:pPr>
      <w:r>
        <w:rPr>
          <w:rFonts w:ascii="Times New Roman" w:hAnsi="Times New Roman"/>
          <w:b/>
          <w:noProof/>
          <w:sz w:val="24"/>
        </w:rPr>
        <w:t>1.</w:t>
      </w:r>
      <w:r>
        <w:rPr>
          <w:rFonts w:ascii="Times New Roman" w:hAnsi="Times New Roman"/>
          <w:b/>
          <w:noProof/>
          <w:sz w:val="24"/>
        </w:rPr>
        <w:tab/>
        <w:t>RYNEK PRACY ORAZ TENDENCJE I WYZWANIA SPOŁECZNE</w:t>
      </w:r>
    </w:p>
    <w:p w:rsidR="000F2E63" w:rsidRDefault="0010263F">
      <w:pPr>
        <w:spacing w:line="360" w:lineRule="auto"/>
        <w:ind w:firstLine="720"/>
        <w:jc w:val="both"/>
        <w:rPr>
          <w:rFonts w:ascii="Times New Roman" w:hAnsi="Times New Roman"/>
          <w:b/>
          <w:bCs/>
          <w:noProof/>
          <w:sz w:val="24"/>
          <w:szCs w:val="24"/>
        </w:rPr>
      </w:pPr>
      <w:r>
        <w:rPr>
          <w:rFonts w:ascii="Times New Roman" w:hAnsi="Times New Roman"/>
          <w:b/>
          <w:noProof/>
          <w:sz w:val="24"/>
        </w:rPr>
        <w:t>W UNII EUROPEJSKIEJ</w:t>
      </w:r>
    </w:p>
    <w:p w:rsidR="000F2E63" w:rsidRDefault="0010263F">
      <w:pPr>
        <w:spacing w:line="360" w:lineRule="auto"/>
        <w:jc w:val="both"/>
        <w:rPr>
          <w:rFonts w:ascii="Times New Roman" w:hAnsi="Times New Roman"/>
          <w:bCs/>
          <w:noProof/>
          <w:sz w:val="24"/>
          <w:szCs w:val="24"/>
        </w:rPr>
      </w:pPr>
      <w:r>
        <w:rPr>
          <w:rFonts w:ascii="Times New Roman" w:hAnsi="Times New Roman"/>
          <w:noProof/>
          <w:sz w:val="24"/>
        </w:rPr>
        <w:t xml:space="preserve">W niniejszym rozdziale przedstawiono ogólny zarys rynku pracy oraz tendencji i wyzwań społecznych w Unii Europejskiej. Na początku podano w nim ogólne wnioski wynikające z tablicy wyników zawierającej kluczowe wskaźniki zatrudnienia i wskaźniki społeczne. </w:t>
      </w:r>
      <w:r>
        <w:rPr>
          <w:rFonts w:ascii="Times New Roman" w:hAnsi="Times New Roman"/>
          <w:noProof/>
          <w:sz w:val="24"/>
        </w:rPr>
        <w:t xml:space="preserve">W dalszej części przedstawiono natomiast bardziej szczegółowe informacje analityczne na temat głównych tendencji w obszarze zatrudnienia i polityki społecznej. </w:t>
      </w:r>
    </w:p>
    <w:p w:rsidR="000F2E63" w:rsidRDefault="0010263F">
      <w:pPr>
        <w:autoSpaceDE w:val="0"/>
        <w:autoSpaceDN w:val="0"/>
        <w:adjustRightInd w:val="0"/>
        <w:spacing w:after="0" w:line="240" w:lineRule="auto"/>
        <w:jc w:val="both"/>
        <w:rPr>
          <w:rFonts w:ascii="Times New Roman" w:hAnsi="Times New Roman"/>
          <w:i/>
          <w:noProof/>
          <w:sz w:val="24"/>
          <w:szCs w:val="24"/>
        </w:rPr>
      </w:pPr>
      <w:r>
        <w:rPr>
          <w:rFonts w:ascii="Times New Roman" w:hAnsi="Times New Roman"/>
          <w:i/>
          <w:noProof/>
          <w:sz w:val="24"/>
        </w:rPr>
        <w:t>1.1</w:t>
      </w:r>
      <w:r>
        <w:rPr>
          <w:rFonts w:ascii="Times New Roman" w:hAnsi="Times New Roman"/>
          <w:i/>
          <w:noProof/>
          <w:sz w:val="24"/>
        </w:rPr>
        <w:tab/>
        <w:t xml:space="preserve">Ogólne wnioski wynikające z tablicy wyników zawierającej kluczowe wskaźniki zatrudnienia i </w:t>
      </w:r>
      <w:r>
        <w:rPr>
          <w:rFonts w:ascii="Times New Roman" w:hAnsi="Times New Roman"/>
          <w:i/>
          <w:noProof/>
          <w:sz w:val="24"/>
        </w:rPr>
        <w:t>wskaźniki społeczne</w:t>
      </w:r>
    </w:p>
    <w:p w:rsidR="000F2E63" w:rsidRDefault="000F2E63">
      <w:pPr>
        <w:autoSpaceDE w:val="0"/>
        <w:autoSpaceDN w:val="0"/>
        <w:adjustRightInd w:val="0"/>
        <w:spacing w:after="0" w:line="240" w:lineRule="auto"/>
        <w:jc w:val="both"/>
        <w:rPr>
          <w:rFonts w:ascii="Times New Roman" w:hAnsi="Times New Roman"/>
          <w:b/>
          <w:noProof/>
          <w:sz w:val="24"/>
          <w:szCs w:val="24"/>
        </w:rPr>
      </w:pPr>
    </w:p>
    <w:p w:rsidR="000F2E63" w:rsidRDefault="0010263F">
      <w:pPr>
        <w:widowControl w:val="0"/>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 xml:space="preserve">Obecna trzecia edycja tablicy wyników zawierającej kluczowe wskaźniki zatrudnienia i wskaźniki społeczne stanowi teraz nieodłączną część wspólnego sprawozdania o zatrudnieniu. Jak potwierdziły najnowsze wytyczne dotyczące polityki </w:t>
      </w:r>
      <w:r>
        <w:rPr>
          <w:rFonts w:ascii="Times New Roman" w:hAnsi="Times New Roman"/>
          <w:noProof/>
          <w:sz w:val="24"/>
        </w:rPr>
        <w:t>zatrudnienia</w:t>
      </w:r>
      <w:r>
        <w:rPr>
          <w:rFonts w:ascii="Times New Roman" w:hAnsi="Times New Roman"/>
          <w:noProof/>
          <w:sz w:val="24"/>
          <w:vertAlign w:val="superscript"/>
        </w:rPr>
        <w:footnoteReference w:id="1"/>
      </w:r>
      <w:r>
        <w:rPr>
          <w:rFonts w:ascii="Times New Roman" w:hAnsi="Times New Roman"/>
          <w:noProof/>
          <w:sz w:val="24"/>
        </w:rPr>
        <w:t>, tablica wyników jest szczególnie użytecznym narzędziem, które przyczynia się do wykrywania na bieżąco głównych problemów i rozbieżności w dziedzinie zatrudnienia i spraw społecznych oraz do identyfikowania dziedzin, w których reakcja polityc</w:t>
      </w:r>
      <w:r>
        <w:rPr>
          <w:rFonts w:ascii="Times New Roman" w:hAnsi="Times New Roman"/>
          <w:noProof/>
          <w:sz w:val="24"/>
        </w:rPr>
        <w:t>zna jest najbardziej potrzebna. Odbywa się to poprzez uważne monitorowanie i interpretowanie zarówno poziomu, jak i zmian każdego wskaźnika. Komisja wykorzystała wyniki tablicy przy sporządzaniu sprawozdań dotyczących poszczególnych państw i zaleceń dla ni</w:t>
      </w:r>
      <w:r>
        <w:rPr>
          <w:rFonts w:ascii="Times New Roman" w:hAnsi="Times New Roman"/>
          <w:noProof/>
          <w:sz w:val="24"/>
        </w:rPr>
        <w:t>ch na 2015 r., aby opracować na podstawie tych wyników zalecenia w zakresie wyzwań i polityki.</w:t>
      </w:r>
    </w:p>
    <w:p w:rsidR="000F2E63" w:rsidRDefault="000F2E63">
      <w:pPr>
        <w:widowControl w:val="0"/>
        <w:autoSpaceDE w:val="0"/>
        <w:autoSpaceDN w:val="0"/>
        <w:adjustRightInd w:val="0"/>
        <w:spacing w:after="0" w:line="360" w:lineRule="auto"/>
        <w:jc w:val="both"/>
        <w:rPr>
          <w:rFonts w:ascii="Times New Roman" w:eastAsia="MS Mincho" w:hAnsi="Times New Roman"/>
          <w:bCs/>
          <w:noProof/>
          <w:sz w:val="24"/>
          <w:szCs w:val="24"/>
        </w:rPr>
      </w:pPr>
    </w:p>
    <w:p w:rsidR="000F2E63" w:rsidRDefault="0010263F">
      <w:pPr>
        <w:spacing w:after="0" w:line="360" w:lineRule="auto"/>
        <w:jc w:val="both"/>
        <w:rPr>
          <w:rFonts w:ascii="Times New Roman" w:hAnsi="Times New Roman"/>
          <w:bCs/>
          <w:noProof/>
          <w:sz w:val="24"/>
          <w:szCs w:val="24"/>
        </w:rPr>
      </w:pPr>
      <w:r>
        <w:rPr>
          <w:rFonts w:ascii="Times New Roman" w:hAnsi="Times New Roman"/>
          <w:noProof/>
          <w:sz w:val="24"/>
        </w:rPr>
        <w:t>Analiza wniosków z tablicy wyników przyczynia się do lepszego zrozumienia zmian w zatrudnieniu i sytuacji społecznej. To z kolei przyczynia się do położenia wię</w:t>
      </w:r>
      <w:r>
        <w:rPr>
          <w:rFonts w:ascii="Times New Roman" w:hAnsi="Times New Roman"/>
          <w:noProof/>
          <w:sz w:val="24"/>
        </w:rPr>
        <w:t>kszego nacisku na zatrudnienie i postęp społeczny w ramach europejskiego semestru, jak propagowano to w sprawozdaniu pięciu przewodniczących na temat dokończenia budowy europejskiej unii gospodarczej i walutowej</w:t>
      </w:r>
      <w:r>
        <w:rPr>
          <w:rFonts w:ascii="Times New Roman" w:hAnsi="Times New Roman"/>
          <w:noProof/>
          <w:sz w:val="24"/>
          <w:vertAlign w:val="superscript"/>
        </w:rPr>
        <w:footnoteReference w:id="2"/>
      </w:r>
      <w:r>
        <w:rPr>
          <w:rFonts w:ascii="Times New Roman" w:hAnsi="Times New Roman"/>
          <w:noProof/>
          <w:sz w:val="24"/>
        </w:rPr>
        <w:t xml:space="preserve"> oraz opisano w niedawnym komunikacie w spra</w:t>
      </w:r>
      <w:r>
        <w:rPr>
          <w:rFonts w:ascii="Times New Roman" w:hAnsi="Times New Roman"/>
          <w:noProof/>
          <w:sz w:val="24"/>
        </w:rPr>
        <w:t>wie działań na rzecz dokończenia budowy unii gospodarczej i walutowej</w:t>
      </w:r>
      <w:r>
        <w:rPr>
          <w:rFonts w:ascii="Times New Roman" w:hAnsi="Times New Roman"/>
          <w:noProof/>
          <w:sz w:val="24"/>
          <w:vertAlign w:val="superscript"/>
        </w:rPr>
        <w:footnoteReference w:id="3"/>
      </w:r>
      <w:r>
        <w:rPr>
          <w:rFonts w:ascii="Times New Roman" w:hAnsi="Times New Roman"/>
          <w:noProof/>
          <w:sz w:val="24"/>
        </w:rPr>
        <w:t>. Poprawa interpretacji tabeli wyników pomaga w bardziej obiektywnej identyfikacji tendencji dotyczących rozbieżności w dziedzinie zatrudnienia i spraw społecznych. Tabelę należy interpr</w:t>
      </w:r>
      <w:r>
        <w:rPr>
          <w:rFonts w:ascii="Times New Roman" w:hAnsi="Times New Roman"/>
          <w:noProof/>
          <w:sz w:val="24"/>
        </w:rPr>
        <w:t xml:space="preserve">etować w połączeniu z wnioskami poczynionymi w ramach innych instrumentów, takich jak przegląd sytuacji w </w:t>
      </w:r>
      <w:r>
        <w:rPr>
          <w:rFonts w:ascii="Times New Roman" w:hAnsi="Times New Roman"/>
          <w:noProof/>
          <w:sz w:val="24"/>
        </w:rPr>
        <w:lastRenderedPageBreak/>
        <w:t>dziedzinie zatrudnienia (EPM), przegląd sytuacji w dziedzinie ochrony socjalnej (SPPM) oraz tablica wyników procedury dotyczącej zakłóceń równowagi ma</w:t>
      </w:r>
      <w:r>
        <w:rPr>
          <w:rFonts w:ascii="Times New Roman" w:hAnsi="Times New Roman"/>
          <w:noProof/>
          <w:sz w:val="24"/>
        </w:rPr>
        <w:t>kroekonomicznej (MIP) wraz z dodanymi do niej ostatnio głównymi wskaźnikami zatrudnienia</w:t>
      </w:r>
      <w:r>
        <w:rPr>
          <w:rStyle w:val="Odwoanieprzypisudolnego"/>
          <w:rFonts w:ascii="Times New Roman" w:hAnsi="Times New Roman"/>
          <w:noProof/>
          <w:sz w:val="24"/>
        </w:rPr>
        <w:footnoteReference w:id="4"/>
      </w:r>
      <w:r>
        <w:rPr>
          <w:rFonts w:ascii="Times New Roman" w:hAnsi="Times New Roman"/>
          <w:noProof/>
          <w:sz w:val="24"/>
        </w:rPr>
        <w:t xml:space="preserve">.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Identyfikowanie potencjalnie niepokojących kluczowych zmian i poziomów w obszarze zatrudnienia i obszarze społecznym prowadzących do rozbieżności na terenie UE, kt</w:t>
      </w:r>
      <w:r>
        <w:rPr>
          <w:rFonts w:ascii="Times New Roman" w:hAnsi="Times New Roman"/>
          <w:noProof/>
          <w:sz w:val="24"/>
        </w:rPr>
        <w:t>óre uzasadniają dalszą analizę i ewentualne bardziej zdecydowane działania polityczne, odbywa się w trzech wymiarach (zob. szczegółowe tabele w załączniku):</w:t>
      </w:r>
    </w:p>
    <w:p w:rsidR="000F2E63" w:rsidRDefault="0010263F">
      <w:pPr>
        <w:numPr>
          <w:ilvl w:val="0"/>
          <w:numId w:val="2"/>
        </w:numPr>
        <w:autoSpaceDE w:val="0"/>
        <w:autoSpaceDN w:val="0"/>
        <w:adjustRightInd w:val="0"/>
        <w:spacing w:after="0" w:line="360" w:lineRule="auto"/>
        <w:contextualSpacing/>
        <w:jc w:val="both"/>
        <w:rPr>
          <w:rFonts w:ascii="Times New Roman" w:eastAsia="Cambria" w:hAnsi="Times New Roman"/>
          <w:noProof/>
          <w:sz w:val="24"/>
          <w:szCs w:val="24"/>
        </w:rPr>
      </w:pPr>
      <w:r>
        <w:rPr>
          <w:rFonts w:ascii="Times New Roman" w:hAnsi="Times New Roman"/>
          <w:noProof/>
          <w:sz w:val="24"/>
        </w:rPr>
        <w:t>zmiana wskaźnika dla danego państwa członkowskiego w danym roku w porównaniu z wcześniejszym okrese</w:t>
      </w:r>
      <w:r>
        <w:rPr>
          <w:rFonts w:ascii="Times New Roman" w:hAnsi="Times New Roman"/>
          <w:noProof/>
          <w:sz w:val="24"/>
        </w:rPr>
        <w:t>m (tendencja historyczna);</w:t>
      </w:r>
    </w:p>
    <w:p w:rsidR="000F2E63" w:rsidRDefault="0010263F">
      <w:pPr>
        <w:numPr>
          <w:ilvl w:val="0"/>
          <w:numId w:val="2"/>
        </w:numPr>
        <w:autoSpaceDE w:val="0"/>
        <w:autoSpaceDN w:val="0"/>
        <w:adjustRightInd w:val="0"/>
        <w:spacing w:after="0" w:line="360" w:lineRule="auto"/>
        <w:contextualSpacing/>
        <w:jc w:val="both"/>
        <w:rPr>
          <w:rFonts w:ascii="Times New Roman" w:eastAsia="Cambria" w:hAnsi="Times New Roman"/>
          <w:noProof/>
          <w:sz w:val="24"/>
          <w:szCs w:val="24"/>
        </w:rPr>
      </w:pPr>
      <w:r>
        <w:rPr>
          <w:rFonts w:ascii="Times New Roman" w:hAnsi="Times New Roman"/>
          <w:noProof/>
          <w:sz w:val="24"/>
        </w:rPr>
        <w:t>różnica w stosunku do średniej UE i strefy euro w tym samym roku występująca w danym państwie członkowskim (dająca obraz istniejących dysproporcji w zatrudnieniu i dysproporcji społecznych);</w:t>
      </w:r>
    </w:p>
    <w:p w:rsidR="000F2E63" w:rsidRDefault="0010263F">
      <w:pPr>
        <w:numPr>
          <w:ilvl w:val="0"/>
          <w:numId w:val="2"/>
        </w:numPr>
        <w:spacing w:after="0" w:line="360" w:lineRule="auto"/>
        <w:contextualSpacing/>
        <w:jc w:val="both"/>
        <w:rPr>
          <w:rFonts w:ascii="Times New Roman" w:eastAsia="Cambria" w:hAnsi="Times New Roman"/>
          <w:noProof/>
          <w:sz w:val="24"/>
          <w:szCs w:val="24"/>
        </w:rPr>
      </w:pPr>
      <w:r>
        <w:rPr>
          <w:rFonts w:ascii="Times New Roman" w:hAnsi="Times New Roman"/>
          <w:noProof/>
          <w:sz w:val="24"/>
        </w:rPr>
        <w:t>zmiana wskaźnika w dwóch kolejnych lat</w:t>
      </w:r>
      <w:r>
        <w:rPr>
          <w:rFonts w:ascii="Times New Roman" w:hAnsi="Times New Roman"/>
          <w:noProof/>
          <w:sz w:val="24"/>
        </w:rPr>
        <w:t>ach w danym państwie członkowskim w stosunku do zmiany na szczeblu UE i strefy euro (wskazująca na dynamikę społeczno-gospodarczej konwergencji/dywergencji).</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Analiza zmian historycznych i oddaleń od średniej unijnej na podstawie tablicy wyników</w:t>
      </w:r>
      <w:r>
        <w:rPr>
          <w:rStyle w:val="Odwoanieprzypisudolnego"/>
          <w:rFonts w:ascii="Times New Roman" w:hAnsi="Times New Roman"/>
          <w:noProof/>
          <w:sz w:val="24"/>
        </w:rPr>
        <w:footnoteReference w:id="5"/>
      </w:r>
      <w:r>
        <w:rPr>
          <w:rFonts w:ascii="Times New Roman" w:hAnsi="Times New Roman"/>
          <w:noProof/>
          <w:sz w:val="24"/>
        </w:rPr>
        <w:t xml:space="preserve"> pokazuje,</w:t>
      </w:r>
      <w:r>
        <w:rPr>
          <w:rFonts w:ascii="Times New Roman" w:hAnsi="Times New Roman"/>
          <w:noProof/>
          <w:sz w:val="24"/>
        </w:rPr>
        <w:t xml:space="preserve"> że państwa członkowskie zostały dotknięte kryzysem w różny sposób, a ożywienie gospodarcze było nierównomierne. W około połowie państw członkowskich UE odnotowano dające podstawę do niepokoju zmiany w przypadku co najmniej dwóch wskaźników.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Sześć państw</w:t>
      </w:r>
      <w:r>
        <w:rPr>
          <w:rFonts w:ascii="Times New Roman" w:hAnsi="Times New Roman"/>
          <w:noProof/>
          <w:sz w:val="24"/>
        </w:rPr>
        <w:t xml:space="preserve"> członkowskich (Grecja, Chorwacja, Cypr, Portugalia, Hiszpania i Włochy) stoi w obliczu szeregu poważnych wyzwań w dziedzinie zatrudnienia i spraw społecznych. Sytuacja w dwóch państwach członkowskich (Francja i Finlandia) świadczy o problematycznych zmian</w:t>
      </w:r>
      <w:r>
        <w:rPr>
          <w:rFonts w:ascii="Times New Roman" w:hAnsi="Times New Roman"/>
          <w:noProof/>
          <w:sz w:val="24"/>
        </w:rPr>
        <w:t>ach stopy bezrobocia ogółem i stopy bezrobocia młodzieży, którym w Finlandii towarzyszy dodatkowo spadek dochodów do dyspozycji gospodarstw domowych. Wskaźniki odzwierciedlające zjawiska związane z wykluczeniem społecznym są szczególnie wysokie w przypadku</w:t>
      </w:r>
      <w:r>
        <w:rPr>
          <w:rFonts w:ascii="Times New Roman" w:hAnsi="Times New Roman"/>
          <w:noProof/>
          <w:sz w:val="24"/>
        </w:rPr>
        <w:t xml:space="preserve"> pięciu krajów (Rumunia, Bułgaria, Litwa, Łotwa i Estonia). Ponadto w dwóch państwach członkowskich (Malta, Luksemburg) mamy do czynienia z problematyczną sytuacją w przypadku jednego wskaźnika i dobrą, ale pogarszającą się w przypadku innego.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lastRenderedPageBreak/>
        <w:t>Grecja z kolei stoi w obliczu krytycznej sytuacji we odniesieniu do wszystkich wskaźników. Chorwacja wykazuje problematyczne tendencje i poziomy wskaźników dotyczących bezrobocia, młodzieży NEET i ubóstwa. Na Cyprze stopa bezrobocia ogółem i stopa bezroboc</w:t>
      </w:r>
      <w:r>
        <w:rPr>
          <w:rFonts w:ascii="Times New Roman" w:hAnsi="Times New Roman"/>
          <w:noProof/>
          <w:sz w:val="24"/>
        </w:rPr>
        <w:t>ia wśród młodzieży oraz wskaźnik zagrożenia ubóstwem wykazują niepokojące tendencje, natomiast odsetek młodzieży NEET jest co prawda zły, ale ulega poprawie. Włochy wykazują bardzo niepokojące tendencje w zakresie wskaźników związanych z sytuacją młodych l</w:t>
      </w:r>
      <w:r>
        <w:rPr>
          <w:rFonts w:ascii="Times New Roman" w:hAnsi="Times New Roman"/>
          <w:noProof/>
          <w:sz w:val="24"/>
        </w:rPr>
        <w:t>udzi na rynku pracy, a także dość problematyczne zmiany ogólnej stopy bezrobocia i wskaźników społecznych. W Portugalii poziom ogólnej stopy bezrobocia i stopy bezrobocia młodzieży jest nadal niepokojący, ale w ostatnich latach poprawił się. Te pozytywne z</w:t>
      </w:r>
      <w:r>
        <w:rPr>
          <w:rFonts w:ascii="Times New Roman" w:hAnsi="Times New Roman"/>
          <w:noProof/>
          <w:sz w:val="24"/>
        </w:rPr>
        <w:t>miany nie przełożyły się jeszcze na kwestie społeczne, gdyż wskaźniki zagrożenia ubóstwem i nierówności wciąż wykazują wysoki poziom. W Hiszpanii sytuacja w zakresie stopy bezrobocia i odsetka młodzieży NEET poprawia się (wcześniejsze wskaźniki były szczeg</w:t>
      </w:r>
      <w:r>
        <w:rPr>
          <w:rFonts w:ascii="Times New Roman" w:hAnsi="Times New Roman"/>
          <w:noProof/>
          <w:sz w:val="24"/>
        </w:rPr>
        <w:t xml:space="preserve">ólnie wysokie), natomiast sytuacja dotycząca bezrobocia młodzieży, ubóstwa i nierówności stanowi wciąż duży problem.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W Finlandii ma miejsce negatywny rozwój sytuacji we wszystkich trzech wskaźnikach zatrudnienia, biorąc pod uwagę bardzo wysoki ich wzros</w:t>
      </w:r>
      <w:r>
        <w:rPr>
          <w:rFonts w:ascii="Times New Roman" w:hAnsi="Times New Roman"/>
          <w:noProof/>
          <w:sz w:val="24"/>
        </w:rPr>
        <w:t xml:space="preserve">t w ostatnim okresie, a ponadto odnotowuje się pogorszenie sytuacji w zakresie dochodów brutto do dyspozycji gospodarstw domowych. Stopa bezrobocia ogółem i stopa bezrobocia młodzieży we Francji znajdują się powyżej średniej UE i wciąż rosną.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Sytuacja na</w:t>
      </w:r>
      <w:r>
        <w:rPr>
          <w:rFonts w:ascii="Times New Roman" w:hAnsi="Times New Roman"/>
          <w:noProof/>
          <w:sz w:val="24"/>
        </w:rPr>
        <w:t xml:space="preserve"> rynku pracy jest w szeregu krajów stabilna lub wykazuje poprawę, natomiast bardziej niepokojącą sytuację stwierdza się w odniesieniu do wskaźników społecznych. W przypadku Rumunii mamy do czynienia z krytyczną sytuacją w przypadku odsetka młodzieży NEET, </w:t>
      </w:r>
      <w:r>
        <w:rPr>
          <w:rFonts w:ascii="Times New Roman" w:hAnsi="Times New Roman"/>
          <w:noProof/>
          <w:sz w:val="24"/>
        </w:rPr>
        <w:t xml:space="preserve">wskaźnika zagrożenia ubóstwem i nierówności. Bułgaria odnotowała drugi najwyższy wzrost nierówności, których poziom i tak był już wysoki, zaś sytuacja dotycząca młodzieży NEET wciąż jest uważana za złą, choć poprawia się. Na Łotwie, Litwie i w Estonii oba </w:t>
      </w:r>
      <w:r>
        <w:rPr>
          <w:rFonts w:ascii="Times New Roman" w:hAnsi="Times New Roman"/>
          <w:noProof/>
          <w:sz w:val="24"/>
        </w:rPr>
        <w:t xml:space="preserve">wskaźniki społeczne są nadal postrzegane jako problematyczne. </w:t>
      </w:r>
    </w:p>
    <w:p w:rsidR="000F2E63" w:rsidRDefault="000F2E63">
      <w:pPr>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W dwóch państwach członkowskich sytuacja przedstawia się niejednoznacznie, a niektóre wskaźniki pogarszają się z dobrego lub już problematycznego poziomu. W Luksemburgu wzrósł odsetek młodzież</w:t>
      </w:r>
      <w:r>
        <w:rPr>
          <w:rFonts w:ascii="Times New Roman" w:hAnsi="Times New Roman"/>
          <w:noProof/>
          <w:sz w:val="24"/>
        </w:rPr>
        <w:t xml:space="preserve">y NEET (z nadal dobrego poziomu), a wskaźnik nierówności wskazuje na istnienie problemów wymagających szczególnej uwagi. Malta odnotowała </w:t>
      </w:r>
      <w:r>
        <w:rPr>
          <w:rFonts w:ascii="Times New Roman" w:hAnsi="Times New Roman"/>
          <w:noProof/>
          <w:sz w:val="24"/>
        </w:rPr>
        <w:lastRenderedPageBreak/>
        <w:t xml:space="preserve">wysoki wzrost wskaźnika zagrożenia ubóstwem (ze stosunkowo dobrego poziomu) oraz odsetka młodzieży NEET. </w:t>
      </w:r>
    </w:p>
    <w:p w:rsidR="000F2E63" w:rsidRDefault="000F2E63">
      <w:pPr>
        <w:autoSpaceDE w:val="0"/>
        <w:autoSpaceDN w:val="0"/>
        <w:adjustRightInd w:val="0"/>
        <w:spacing w:after="0" w:line="360" w:lineRule="auto"/>
        <w:jc w:val="both"/>
        <w:rPr>
          <w:rFonts w:ascii="Times New Roman" w:eastAsia="MS Mincho" w:hAnsi="Times New Roman"/>
          <w:noProof/>
          <w:sz w:val="24"/>
          <w:szCs w:val="24"/>
        </w:rPr>
      </w:pPr>
    </w:p>
    <w:p w:rsidR="000F2E63" w:rsidRDefault="0010263F">
      <w:pPr>
        <w:autoSpaceDE w:val="0"/>
        <w:autoSpaceDN w:val="0"/>
        <w:adjustRightInd w:val="0"/>
        <w:spacing w:after="0" w:line="360" w:lineRule="auto"/>
        <w:jc w:val="both"/>
        <w:rPr>
          <w:rFonts w:ascii="Times New Roman" w:eastAsia="MS Mincho" w:hAnsi="Times New Roman"/>
          <w:noProof/>
          <w:sz w:val="24"/>
          <w:szCs w:val="24"/>
        </w:rPr>
      </w:pPr>
      <w:r>
        <w:rPr>
          <w:rFonts w:ascii="Times New Roman" w:hAnsi="Times New Roman"/>
          <w:noProof/>
          <w:sz w:val="24"/>
        </w:rPr>
        <w:t>Austria wyk</w:t>
      </w:r>
      <w:r>
        <w:rPr>
          <w:rFonts w:ascii="Times New Roman" w:hAnsi="Times New Roman"/>
          <w:noProof/>
          <w:sz w:val="24"/>
        </w:rPr>
        <w:t>azuje natomiast ogólnie dobrą lub bardzo dobrą sytuację we wszystkich wskaźnikach, chociaż widoczne jest niewielkie pogorszenie w przypadku stopy bezrobocia ogółem i odsetka młodzieży NEET.</w:t>
      </w:r>
    </w:p>
    <w:p w:rsidR="000F2E63" w:rsidRDefault="000F2E63">
      <w:pPr>
        <w:spacing w:line="360" w:lineRule="auto"/>
        <w:jc w:val="both"/>
        <w:rPr>
          <w:rFonts w:ascii="Times New Roman" w:hAnsi="Times New Roman"/>
          <w:noProof/>
          <w:sz w:val="24"/>
          <w:szCs w:val="24"/>
        </w:rPr>
      </w:pPr>
    </w:p>
    <w:p w:rsidR="000F2E63" w:rsidRDefault="0010263F">
      <w:pPr>
        <w:spacing w:line="360" w:lineRule="auto"/>
        <w:jc w:val="both"/>
        <w:rPr>
          <w:rFonts w:ascii="Times New Roman" w:hAnsi="Times New Roman"/>
          <w:i/>
          <w:noProof/>
          <w:sz w:val="24"/>
          <w:szCs w:val="24"/>
        </w:rPr>
      </w:pPr>
      <w:r>
        <w:rPr>
          <w:rFonts w:ascii="Times New Roman" w:hAnsi="Times New Roman"/>
          <w:i/>
          <w:noProof/>
          <w:sz w:val="24"/>
        </w:rPr>
        <w:t>1.2</w:t>
      </w:r>
      <w:r>
        <w:rPr>
          <w:rFonts w:ascii="Times New Roman" w:hAnsi="Times New Roman"/>
          <w:i/>
          <w:noProof/>
          <w:sz w:val="24"/>
        </w:rPr>
        <w:tab/>
        <w:t>Tendencje i wyzwania dotyczące rynku pracy</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Ożywienie </w:t>
      </w:r>
      <w:r>
        <w:rPr>
          <w:rFonts w:ascii="Times New Roman" w:hAnsi="Times New Roman"/>
          <w:b/>
          <w:noProof/>
          <w:sz w:val="24"/>
        </w:rPr>
        <w:t>gospodarcze w UE rozpoczęło się w 2013 r., a większość wskaźników rynku pracy zaczęła wkrótce potem ulegać poprawie.</w:t>
      </w:r>
      <w:r>
        <w:rPr>
          <w:rFonts w:ascii="Times New Roman" w:hAnsi="Times New Roman"/>
          <w:noProof/>
          <w:sz w:val="24"/>
        </w:rPr>
        <w:t xml:space="preserve"> Skala kryzysu i powolne tempo ożywienia gospodarczego, zwłaszcza w strefie euro, nie pozwoliło jednak jeszcze na osiągnięcie poziomu realne</w:t>
      </w:r>
      <w:r>
        <w:rPr>
          <w:rFonts w:ascii="Times New Roman" w:hAnsi="Times New Roman"/>
          <w:noProof/>
          <w:sz w:val="24"/>
        </w:rPr>
        <w:t>go PKB sprzed kryzysu. Wskaźniki zatrudnienia obecnie znów wzrastają (wykres 1). W 2014 r. wskaźnik zatrudnienia (osób w wieku 20–64 lat) wzrósł w porównaniu do roku poprzedniego o 0,8 punktu procentowego (p.p.) do poziomu 69,2 % w UE28 i o 0,4 p.p. do poz</w:t>
      </w:r>
      <w:r>
        <w:rPr>
          <w:rFonts w:ascii="Times New Roman" w:hAnsi="Times New Roman"/>
          <w:noProof/>
          <w:sz w:val="24"/>
        </w:rPr>
        <w:t>iomu 68,1 % w SE19</w:t>
      </w:r>
      <w:r>
        <w:rPr>
          <w:rStyle w:val="Odwoanieprzypisudolnego"/>
          <w:rFonts w:ascii="Times New Roman" w:hAnsi="Times New Roman"/>
          <w:noProof/>
          <w:sz w:val="24"/>
        </w:rPr>
        <w:footnoteReference w:id="6"/>
      </w:r>
      <w:r>
        <w:rPr>
          <w:rFonts w:ascii="Times New Roman" w:hAnsi="Times New Roman"/>
          <w:noProof/>
          <w:sz w:val="24"/>
        </w:rPr>
        <w:t>. Jednocześnie współczynnik aktywności zawodowej (15–64 lat) wzrósł odpowiednio o 0,3 i 0,1 p.p., osiągając poziom 72,3 % zarówno w UE28, jak i w SE19. Trend ciągłego wzrostu bezrobocia, który rozpoczął się w 2008 r., odwrócił się w 2013</w:t>
      </w:r>
      <w:r>
        <w:rPr>
          <w:rFonts w:ascii="Times New Roman" w:hAnsi="Times New Roman"/>
          <w:noProof/>
          <w:sz w:val="24"/>
        </w:rPr>
        <w:t xml:space="preserve"> r., przy czym stopa bezrobocia (15–74 lat) spadła w latach 2013–2014 z 10,8 % do 10,2 % w UE28 oraz z 12,0 % do 11,6 % w SE19. Ta spadkowa tendencja potwierdziła się w pierwszym półroczu 2015 r., gdyż stopa bezrobocia zmniejszyła się odpowiednio o 0,7 p.p</w:t>
      </w:r>
      <w:r>
        <w:rPr>
          <w:rFonts w:ascii="Times New Roman" w:hAnsi="Times New Roman"/>
          <w:noProof/>
          <w:sz w:val="24"/>
        </w:rPr>
        <w:t xml:space="preserve">. w UE28 i o 0,5 p.p. w strefie euro w porównaniu z analogicznym okresem 2014 r. </w:t>
      </w:r>
    </w:p>
    <w:p w:rsidR="000F2E63" w:rsidRDefault="0010263F">
      <w:pPr>
        <w:spacing w:line="360" w:lineRule="auto"/>
        <w:jc w:val="center"/>
        <w:rPr>
          <w:rFonts w:ascii="Times New Roman" w:hAnsi="Times New Roman"/>
          <w:b/>
          <w:noProof/>
          <w:sz w:val="24"/>
          <w:szCs w:val="24"/>
        </w:rPr>
      </w:pPr>
      <w:r>
        <w:rPr>
          <w:rFonts w:ascii="Times New Roman" w:hAnsi="Times New Roman"/>
          <w:b/>
          <w:noProof/>
          <w:sz w:val="24"/>
        </w:rPr>
        <w:t>Wykres 1: Wskaźnik zatrudnienia, stopa bezrobocia i współczynnik aktywności zawodowej w UE28, ogółem oraz wśród kobiet</w:t>
      </w:r>
    </w:p>
    <w:p w:rsidR="000F2E63" w:rsidRDefault="0010263F">
      <w:pPr>
        <w:spacing w:line="360" w:lineRule="auto"/>
        <w:jc w:val="center"/>
        <w:rPr>
          <w:rFonts w:ascii="Times New Roman" w:hAnsi="Times New Roman"/>
          <w:noProof/>
          <w:sz w:val="24"/>
          <w:szCs w:val="24"/>
        </w:rPr>
      </w:pPr>
      <w:r>
        <w:rPr>
          <w:noProof/>
        </w:rPr>
        <w:lastRenderedPageBreak/>
        <w:drawing>
          <wp:inline distT="0" distB="0" distL="0" distR="0">
            <wp:extent cx="4763135" cy="25450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135" cy="2545080"/>
                    </a:xfrm>
                    <a:prstGeom prst="rect">
                      <a:avLst/>
                    </a:prstGeom>
                    <a:noFill/>
                    <a:ln>
                      <a:noFill/>
                    </a:ln>
                  </pic:spPr>
                </pic:pic>
              </a:graphicData>
            </a:graphic>
          </wp:inline>
        </w:drawing>
      </w:r>
    </w:p>
    <w:p w:rsidR="000F2E63" w:rsidRDefault="0010263F">
      <w:pPr>
        <w:spacing w:line="360" w:lineRule="auto"/>
        <w:jc w:val="center"/>
        <w:rPr>
          <w:rFonts w:ascii="Times New Roman" w:hAnsi="Times New Roman"/>
          <w:noProof/>
          <w:sz w:val="18"/>
          <w:szCs w:val="18"/>
        </w:rPr>
      </w:pPr>
      <w:r>
        <w:rPr>
          <w:noProof/>
        </w:rPr>
        <w:drawing>
          <wp:inline distT="0" distB="0" distL="0" distR="0">
            <wp:extent cx="5459095" cy="2306320"/>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9095" cy="2306320"/>
                    </a:xfrm>
                    <a:prstGeom prst="rect">
                      <a:avLst/>
                    </a:prstGeom>
                    <a:noFill/>
                    <a:ln>
                      <a:noFill/>
                    </a:ln>
                  </pic:spPr>
                </pic:pic>
              </a:graphicData>
            </a:graphic>
          </wp:inline>
        </w:drawing>
      </w:r>
    </w:p>
    <w:p w:rsidR="000F2E63" w:rsidRDefault="0010263F">
      <w:pPr>
        <w:spacing w:line="360" w:lineRule="auto"/>
        <w:rPr>
          <w:rFonts w:ascii="Times New Roman" w:hAnsi="Times New Roman"/>
          <w:noProof/>
          <w:sz w:val="18"/>
          <w:szCs w:val="18"/>
        </w:rPr>
      </w:pPr>
      <w:r>
        <w:rPr>
          <w:rFonts w:ascii="Times New Roman" w:hAnsi="Times New Roman"/>
          <w:noProof/>
          <w:sz w:val="18"/>
        </w:rPr>
        <w:t>Źródło: Eurostat, BAEL</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Tendencje dotyczące zatrudni</w:t>
      </w:r>
      <w:r>
        <w:rPr>
          <w:rFonts w:ascii="Times New Roman" w:hAnsi="Times New Roman"/>
          <w:b/>
          <w:noProof/>
          <w:sz w:val="24"/>
        </w:rPr>
        <w:t>enia i bezrobocia wynikają ze zmian wskaźników znajdowania pracy i odchodzenia z pracy.</w:t>
      </w:r>
      <w:r>
        <w:rPr>
          <w:rFonts w:ascii="Times New Roman" w:hAnsi="Times New Roman"/>
          <w:noProof/>
          <w:sz w:val="24"/>
        </w:rPr>
        <w:t xml:space="preserve"> Wskaźniki znajdowania pracy wzrastały z niskiego poziomu notowanego na początku 2013 r., a jednocześnie wskaźniki odchodzenia z pracy zaczęły od początku 2012 r. spadać</w:t>
      </w:r>
      <w:r>
        <w:rPr>
          <w:rFonts w:ascii="Times New Roman" w:hAnsi="Times New Roman"/>
          <w:noProof/>
          <w:sz w:val="24"/>
        </w:rPr>
        <w:t>. Obserwowany w latach 2013–2014 spadek bezrobocia był związany głównie ze spadkiem wskaźników odchodzenia z pracy, natomiast wskaźniki znajdowania pracy, choć się poprawiają, pozostają nadal poniżej poziomu sprzed kryzysu i są szczególnie niskie w przypad</w:t>
      </w:r>
      <w:r>
        <w:rPr>
          <w:rFonts w:ascii="Times New Roman" w:hAnsi="Times New Roman"/>
          <w:noProof/>
          <w:sz w:val="24"/>
        </w:rPr>
        <w:t>ku osób poszukujących pracy po długich okresach bezrobocia.</w:t>
      </w:r>
    </w:p>
    <w:p w:rsidR="000F2E63" w:rsidRDefault="000F2E63">
      <w:pPr>
        <w:spacing w:before="120" w:after="120" w:line="360" w:lineRule="auto"/>
        <w:jc w:val="both"/>
        <w:rPr>
          <w:rFonts w:ascii="Times New Roman" w:hAnsi="Times New Roman"/>
          <w:b/>
          <w:noProof/>
          <w:sz w:val="24"/>
          <w:szCs w:val="24"/>
        </w:rPr>
      </w:pP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Dynamika wzrostu zatrudnienia była różna w zależności od danego państwa członkowskiego, sektora gospodarki i rodzaju umowy o pracę.</w:t>
      </w:r>
      <w:r>
        <w:rPr>
          <w:rFonts w:ascii="Times New Roman" w:hAnsi="Times New Roman"/>
          <w:noProof/>
          <w:sz w:val="24"/>
        </w:rPr>
        <w:t xml:space="preserve"> W 2014 r. wskaźnik zatrudnienia (grupa wiekowa 20–64 lat) wzrós</w:t>
      </w:r>
      <w:r>
        <w:rPr>
          <w:rFonts w:ascii="Times New Roman" w:hAnsi="Times New Roman"/>
          <w:noProof/>
          <w:sz w:val="24"/>
        </w:rPr>
        <w:t xml:space="preserve">ł w porównaniu z rokiem 2013 we wszystkich </w:t>
      </w:r>
      <w:r>
        <w:rPr>
          <w:rFonts w:ascii="Times New Roman" w:hAnsi="Times New Roman"/>
          <w:noProof/>
          <w:sz w:val="24"/>
        </w:rPr>
        <w:lastRenderedPageBreak/>
        <w:t>państwach członkowskich, z wyjątkiem Finlandii (-0,2 p.p.), Austrii (-0,4) i Niderlandów (-0,5). Różnice w poziomach nadal jednak istnieją, gdyż wskaźniki z 2014 r. wahają się od 53,3 % w Grecji i nieco poniżej 60</w:t>
      </w:r>
      <w:r>
        <w:rPr>
          <w:rFonts w:ascii="Times New Roman" w:hAnsi="Times New Roman"/>
          <w:noProof/>
          <w:sz w:val="24"/>
        </w:rPr>
        <w:t> % w Chorwacji, we Włoszech i Hiszpanii, do ponad 75 % w Niderlandach (75,4 %), Danii (75,9 %), Zjednoczonym Królestwie (76,2 %), Niemczech (77,7 %) i Szwecji (80,0 %). Jeśli chodzi o tendencje w w odniesieniu do sektorów gospodarki, poprawę wskaźnika zatr</w:t>
      </w:r>
      <w:r>
        <w:rPr>
          <w:rFonts w:ascii="Times New Roman" w:hAnsi="Times New Roman"/>
          <w:noProof/>
          <w:sz w:val="24"/>
        </w:rPr>
        <w:t>udnienia odnotowuje się obecnie w większości sektorów, w tym w sektorach najbardziej dotkniętych kryzysem, takich jak rolnictwo, budownictwo i przemysł. Co się tyczy rodzajów umów, zgodnie z oczekiwaniami zatrudnienie było w ostatnich latach najbardziej ni</w:t>
      </w:r>
      <w:r>
        <w:rPr>
          <w:rFonts w:ascii="Times New Roman" w:hAnsi="Times New Roman"/>
          <w:noProof/>
          <w:sz w:val="24"/>
        </w:rPr>
        <w:t>estabilne w przypadku umów na czas określony, a w mniejszym stopniu zjawisko to dotknęło umowy na czas nieokreślony i samozatrudnienie, które od 2011 r. pozostają na mniej więcej stałym poziomie. Wzrost ogólnego zatrudnienia od 2013 r. jest głównie wynikie</w:t>
      </w:r>
      <w:r>
        <w:rPr>
          <w:rFonts w:ascii="Times New Roman" w:hAnsi="Times New Roman"/>
          <w:noProof/>
          <w:sz w:val="24"/>
        </w:rPr>
        <w:t>m wzrostu liczby umów na czas określony.  Jak przedstawiono na wykresie 2, korzystanie z umów na czas określony różni się znacznie pomiędzy państwami członkowskimi, a ich udział w 2014 r. wynosił od mniej niż 5 % w Rumunii i w krajach bałtyckich do ponad 2</w:t>
      </w:r>
      <w:r>
        <w:rPr>
          <w:rFonts w:ascii="Times New Roman" w:hAnsi="Times New Roman"/>
          <w:noProof/>
          <w:sz w:val="24"/>
        </w:rPr>
        <w:t>0 % w Niderlandach, Portugalii, Hiszpanii i Polsce. Wskaźniki przechodzenia z umów na czas określony na umowy na czas nieokreślony są również różne w poszczególnych krajach i wydaje się, że są one najwyższe (najniższe) w tych krajach, w których udział umów</w:t>
      </w:r>
      <w:r>
        <w:rPr>
          <w:rFonts w:ascii="Times New Roman" w:hAnsi="Times New Roman"/>
          <w:noProof/>
          <w:sz w:val="24"/>
        </w:rPr>
        <w:t xml:space="preserve"> na czas określony jest najniższy (najwyższy). Udział umów na czas określony oraz wskaźnik przechodzenia z umów na czas określony na umowy na czas nieokreślony wskazują na to, jak elastyczne są rynki pracy. Mogą one również odzwierciedlać różnice w przepis</w:t>
      </w:r>
      <w:r>
        <w:rPr>
          <w:rFonts w:ascii="Times New Roman" w:hAnsi="Times New Roman"/>
          <w:noProof/>
          <w:sz w:val="24"/>
        </w:rPr>
        <w:t>ach dotyczących ochrony zatrudnienia w poszczególnych krajach oraz to, do jakiego stopnia krajowe rynki pracy cechują się efektami modelu swoi-obcy. Jest to szczególnie niepokojące w krajach stosujących na szeroką skalę umowy na czas określony, gdzie umowy</w:t>
      </w:r>
      <w:r>
        <w:rPr>
          <w:rFonts w:ascii="Times New Roman" w:hAnsi="Times New Roman"/>
          <w:noProof/>
          <w:sz w:val="24"/>
        </w:rPr>
        <w:t xml:space="preserve"> takie często nie poprawiają szans na znalezienie stałej pracy w pełnym wymiarze godzin, jak pokazano to na wykresie 2.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Niestandardowe umowy o pracę są częstszą formą zatrudnienia w przypadku kobiet, ludzi młodych i nietypowej pracy fizycznej. Wydaje się,</w:t>
      </w:r>
      <w:r>
        <w:rPr>
          <w:rFonts w:ascii="Times New Roman" w:hAnsi="Times New Roman"/>
          <w:noProof/>
          <w:sz w:val="24"/>
        </w:rPr>
        <w:t xml:space="preserve"> że wiążą się one z niższym wynagrodzeniem i dotyczą najczęściej osób niżej uposażonych</w:t>
      </w:r>
      <w:r>
        <w:rPr>
          <w:rStyle w:val="Odwoanieprzypisudolnego"/>
          <w:rFonts w:ascii="Times New Roman" w:hAnsi="Times New Roman"/>
          <w:noProof/>
          <w:sz w:val="24"/>
        </w:rPr>
        <w:footnoteReference w:id="7"/>
      </w:r>
      <w:r>
        <w:rPr>
          <w:rFonts w:ascii="Times New Roman" w:hAnsi="Times New Roman"/>
          <w:noProof/>
          <w:sz w:val="24"/>
        </w:rPr>
        <w:t>. Innymi aspektami niepewności zatrudnienia są skala wymuszonej pracy w niepełnym wymiarze godzin, która zwiększyła się z 16,7 % do 19,6 % całkowitego zatrudnienia, ora</w:t>
      </w:r>
      <w:r>
        <w:rPr>
          <w:rFonts w:ascii="Times New Roman" w:hAnsi="Times New Roman"/>
          <w:noProof/>
          <w:sz w:val="24"/>
        </w:rPr>
        <w:t>z rozwój i zróżnicowanie form pracy dorywczej</w:t>
      </w:r>
      <w:r>
        <w:rPr>
          <w:rStyle w:val="Odwoanieprzypisudolnego"/>
          <w:rFonts w:ascii="Times New Roman" w:hAnsi="Times New Roman"/>
          <w:noProof/>
          <w:sz w:val="24"/>
        </w:rPr>
        <w:footnoteReference w:id="8"/>
      </w:r>
      <w:r>
        <w:rPr>
          <w:rFonts w:ascii="Times New Roman" w:hAnsi="Times New Roman"/>
          <w:noProof/>
          <w:sz w:val="24"/>
        </w:rPr>
        <w:t xml:space="preserve">.  </w:t>
      </w:r>
    </w:p>
    <w:p w:rsidR="000F2E63" w:rsidRDefault="000F2E63">
      <w:pPr>
        <w:spacing w:line="360" w:lineRule="auto"/>
        <w:jc w:val="both"/>
        <w:rPr>
          <w:rFonts w:ascii="Times New Roman" w:hAnsi="Times New Roman"/>
          <w:noProof/>
          <w:sz w:val="24"/>
          <w:szCs w:val="24"/>
        </w:rPr>
      </w:pPr>
    </w:p>
    <w:p w:rsidR="000F2E63" w:rsidRDefault="0010263F">
      <w:pPr>
        <w:pStyle w:val="Legenda"/>
        <w:spacing w:line="276" w:lineRule="auto"/>
        <w:rPr>
          <w:noProof/>
        </w:rPr>
      </w:pPr>
      <w:r>
        <w:rPr>
          <w:noProof/>
        </w:rPr>
        <w:t xml:space="preserve">Wykres 2: Odsetek umów na czas określony i wskaźnik przechodzenia z zatrudnienia na czas określony na zatrudnienie na czas nieokreślony </w:t>
      </w:r>
    </w:p>
    <w:p w:rsidR="000F2E63" w:rsidRDefault="0010263F">
      <w:pPr>
        <w:pStyle w:val="Legenda"/>
        <w:spacing w:before="0" w:line="276" w:lineRule="auto"/>
        <w:jc w:val="center"/>
        <w:rPr>
          <w:rFonts w:ascii="Arial" w:hAnsi="Arial" w:cs="Arial"/>
          <w:noProof/>
          <w:color w:val="000000"/>
        </w:rPr>
      </w:pPr>
      <w:r>
        <w:rPr>
          <w:noProof/>
        </w:rPr>
        <w:drawing>
          <wp:inline distT="0" distB="0" distL="0" distR="0">
            <wp:extent cx="5554345" cy="2115185"/>
            <wp:effectExtent l="0" t="0" r="825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4345" cy="2115185"/>
                    </a:xfrm>
                    <a:prstGeom prst="rect">
                      <a:avLst/>
                    </a:prstGeom>
                    <a:noFill/>
                    <a:ln>
                      <a:noFill/>
                    </a:ln>
                  </pic:spPr>
                </pic:pic>
              </a:graphicData>
            </a:graphic>
          </wp:inline>
        </w:drawing>
      </w:r>
    </w:p>
    <w:p w:rsidR="000F2E63" w:rsidRDefault="0010263F">
      <w:pPr>
        <w:spacing w:after="0" w:line="240" w:lineRule="auto"/>
        <w:jc w:val="both"/>
        <w:rPr>
          <w:rFonts w:ascii="Times New Roman" w:hAnsi="Times New Roman"/>
          <w:i/>
          <w:noProof/>
          <w:sz w:val="18"/>
          <w:szCs w:val="18"/>
        </w:rPr>
      </w:pPr>
      <w:r>
        <w:rPr>
          <w:rFonts w:ascii="Times New Roman" w:hAnsi="Times New Roman"/>
          <w:noProof/>
          <w:sz w:val="18"/>
        </w:rPr>
        <w:t xml:space="preserve">Źródło: Eurostat, BAEL i SILC. Krótki opis: Dane dotyczące </w:t>
      </w:r>
      <w:r>
        <w:rPr>
          <w:rFonts w:ascii="Times New Roman" w:hAnsi="Times New Roman"/>
          <w:noProof/>
          <w:sz w:val="18"/>
        </w:rPr>
        <w:t>przechodzenia dla BG, EL, PT i HR dotyczą roku 2012, a dla AT – roku 2014. Dane dotyczące przechodzenia dla IE i SE nie są dostępne.</w:t>
      </w:r>
    </w:p>
    <w:p w:rsidR="000F2E63" w:rsidRDefault="000F2E63">
      <w:pPr>
        <w:autoSpaceDE w:val="0"/>
        <w:autoSpaceDN w:val="0"/>
        <w:adjustRightInd w:val="0"/>
        <w:spacing w:after="0" w:line="360" w:lineRule="auto"/>
        <w:jc w:val="both"/>
        <w:rPr>
          <w:rFonts w:ascii="Times New Roman" w:hAnsi="Times New Roman"/>
          <w:b/>
          <w:noProof/>
          <w:sz w:val="24"/>
          <w:szCs w:val="24"/>
        </w:rPr>
      </w:pPr>
    </w:p>
    <w:p w:rsidR="000F2E63" w:rsidRDefault="0010263F">
      <w:pPr>
        <w:autoSpaceDE w:val="0"/>
        <w:autoSpaceDN w:val="0"/>
        <w:adjustRightInd w:val="0"/>
        <w:spacing w:after="0" w:line="360" w:lineRule="auto"/>
        <w:jc w:val="both"/>
        <w:rPr>
          <w:rFonts w:ascii="Times New Roman" w:hAnsi="Times New Roman"/>
          <w:noProof/>
          <w:sz w:val="24"/>
          <w:szCs w:val="24"/>
        </w:rPr>
      </w:pPr>
      <w:r>
        <w:rPr>
          <w:rFonts w:ascii="Times New Roman" w:hAnsi="Times New Roman"/>
          <w:b/>
          <w:noProof/>
          <w:sz w:val="24"/>
        </w:rPr>
        <w:t>Ewolucja zatrudnienia odzwierciedla tendencje w zakresie tworzenia miejsc pracy (netto), przy czym jako siłę napędową wzro</w:t>
      </w:r>
      <w:r>
        <w:rPr>
          <w:rFonts w:ascii="Times New Roman" w:hAnsi="Times New Roman"/>
          <w:b/>
          <w:noProof/>
          <w:sz w:val="24"/>
        </w:rPr>
        <w:t xml:space="preserve">stu zatrudnienia postrzega się tradycyjnie małe i średnie przedsiębiorstwa (MŚP). </w:t>
      </w:r>
      <w:r>
        <w:rPr>
          <w:rFonts w:ascii="Times New Roman" w:hAnsi="Times New Roman"/>
          <w:noProof/>
          <w:sz w:val="24"/>
        </w:rPr>
        <w:t>Między 2002 r. a 2010 r. MŚP utworzyły 85 % nowych miejsc pracy w UE. Natomiast w latach 2010–2013 zatrudnienie w MŚP w UE spadło o 0,5 %. W wielu państwach członkowskich dos</w:t>
      </w:r>
      <w:r>
        <w:rPr>
          <w:rFonts w:ascii="Times New Roman" w:hAnsi="Times New Roman"/>
          <w:noProof/>
          <w:sz w:val="24"/>
        </w:rPr>
        <w:t>tępność kredytów dla sektora niefinansowego pozostaje jak dotąd niewielka, a wpływ na to mają czynniki po stronie podaży, jak i popytu, takie jak restrukturyzacja sektora i jego oddłużenie, które były skutkami kryzysu finansowego. Ograniczony dostęp do fin</w:t>
      </w:r>
      <w:r>
        <w:rPr>
          <w:rFonts w:ascii="Times New Roman" w:hAnsi="Times New Roman"/>
          <w:noProof/>
          <w:sz w:val="24"/>
        </w:rPr>
        <w:t>ansowania może także ograniczać liczbę przedsiębiorstw rozpoczynających działalność. W 2014 r. liczba osób samozatrudnionych rosła w mniej więcej tym samym tempie co zatrudnienie, a stopa samozatrudnienia na szczeblu UE pozostała bez zmian na poziomie 14,6</w:t>
      </w:r>
      <w:r>
        <w:rPr>
          <w:rFonts w:ascii="Times New Roman" w:hAnsi="Times New Roman"/>
          <w:noProof/>
          <w:sz w:val="24"/>
        </w:rPr>
        <w:t> %, tj. poniżej wartości notowanej w latach 2004–2006, która wynosiła 15 %. Stopa samozatrudnienia kobiet wynosi nadal około 10 %, zaś analogiczny wskaźnik dla mężczyzn pozostał na poziomie około 20 %. Poziom i zmiany stóp samozatrudnienia w państwach czło</w:t>
      </w:r>
      <w:r>
        <w:rPr>
          <w:rFonts w:ascii="Times New Roman" w:hAnsi="Times New Roman"/>
          <w:noProof/>
          <w:sz w:val="24"/>
        </w:rPr>
        <w:t xml:space="preserve">nkowskich są bardzo nierówne i są odzwierciedleniem szeregu czynników, takich jak warunki ramowe, krajowy duch przedsiębiorczości i możliwości podejmowania pracy za wynagrodzeniem. Stopy samozatrudnienia wynoszące znacznie powyżej poziomu notowanego przed </w:t>
      </w:r>
      <w:r>
        <w:rPr>
          <w:rFonts w:ascii="Times New Roman" w:hAnsi="Times New Roman"/>
          <w:noProof/>
          <w:sz w:val="24"/>
        </w:rPr>
        <w:t>10 laty występują w Niderlandach, na Słowacji, w Słowenii, Grecji, Zjednoczonym Królestwie i Republice Czeskiej.</w:t>
      </w:r>
    </w:p>
    <w:p w:rsidR="000F2E63" w:rsidRDefault="000F2E63">
      <w:pPr>
        <w:spacing w:line="360" w:lineRule="auto"/>
        <w:jc w:val="both"/>
        <w:rPr>
          <w:rFonts w:ascii="Times New Roman" w:hAnsi="Times New Roman"/>
          <w:b/>
          <w:noProof/>
          <w:sz w:val="24"/>
          <w:szCs w:val="24"/>
        </w:rPr>
      </w:pP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lastRenderedPageBreak/>
        <w:t>Współczynniki aktywności zawodowej są różne w zależności od grupy społecznej i państwa członkowskiego.</w:t>
      </w:r>
      <w:r>
        <w:rPr>
          <w:rFonts w:ascii="Times New Roman" w:hAnsi="Times New Roman"/>
          <w:noProof/>
          <w:sz w:val="24"/>
        </w:rPr>
        <w:t xml:space="preserve"> Ich zmiany zachodzą w sposób bardziej s</w:t>
      </w:r>
      <w:r>
        <w:rPr>
          <w:rFonts w:ascii="Times New Roman" w:hAnsi="Times New Roman"/>
          <w:noProof/>
          <w:sz w:val="24"/>
        </w:rPr>
        <w:t>tabilny niż jest to w przypadku wskaźników zatrudnienia i wskazują ewentualnie na zaledwie umiarkowane efekty zniechęcające. W zgodności z trendami długoterminowymi współczynniki aktywności zawodowej wykazują stały wzrost w przypadku niektórych grup, w szc</w:t>
      </w:r>
      <w:r>
        <w:rPr>
          <w:rFonts w:ascii="Times New Roman" w:hAnsi="Times New Roman"/>
          <w:noProof/>
          <w:sz w:val="24"/>
        </w:rPr>
        <w:t>zególności kobiet i starszych pracowników, natomiast w przypadku osób nisko wykwalifikowanych oraz młodych mężczyzn w wieku od 15 do 24 lat odnotowano ich spadek. Mimo że różnice we współczynnikach aktywności zawodowej, zarówno między mężczyznami i kobieta</w:t>
      </w:r>
      <w:r>
        <w:rPr>
          <w:rFonts w:ascii="Times New Roman" w:hAnsi="Times New Roman"/>
          <w:noProof/>
          <w:sz w:val="24"/>
        </w:rPr>
        <w:t>mi, jak i między pracownikami starszymi i pracownikami w wieku 25–54 lat, zmniejszały się z czasem, to pozostają one nadal znaczne. W 2014 r. współczynnik aktywności zawodowej kobiet w UE28 wynosił 66,5 % i był tym samym nadal o 11,5 p.p. niższy od współcz</w:t>
      </w:r>
      <w:r>
        <w:rPr>
          <w:rFonts w:ascii="Times New Roman" w:hAnsi="Times New Roman"/>
          <w:noProof/>
          <w:sz w:val="24"/>
        </w:rPr>
        <w:t>ynnika dla mężczyzn, ale różnica ta zmniejszyła się od 2010 r., kiedy to wynosiła 13,2 p.p. Do różnic we współczynnikach aktywności zawodowej dochodzą jeszcze różnice między płciami w zakresie pracy w pełnym/niepełnym wymiarze godzin, co przekłada się nast</w:t>
      </w:r>
      <w:r>
        <w:rPr>
          <w:rFonts w:ascii="Times New Roman" w:hAnsi="Times New Roman"/>
          <w:noProof/>
          <w:sz w:val="24"/>
        </w:rPr>
        <w:t>ępnie na zróżnicowanie wynagrodzenia ze względu na płeć, a to z kolei, kumulując się przez cały przebieg życia zawodowego, skutkuje zróżnicowaniem emerytur ze względu na płeć. W latach 2010–2014 różnica we współczynnikach aktywności zawodowej wśród starszy</w:t>
      </w:r>
      <w:r>
        <w:rPr>
          <w:rFonts w:ascii="Times New Roman" w:hAnsi="Times New Roman"/>
          <w:noProof/>
          <w:sz w:val="24"/>
        </w:rPr>
        <w:t>ch pracowników (55–64 lat) i pracowników w wieku najwyższej aktywności zawodowej (25–54 lat) zmniejszyła się z 35,4 do 29,6 p.p. Natomiast różnice między obywatelami danego państwa a cudzoziemcami oraz między osobami sprawnymi i niepełnosprawnymi nie uległ</w:t>
      </w:r>
      <w:r>
        <w:rPr>
          <w:rFonts w:ascii="Times New Roman" w:hAnsi="Times New Roman"/>
          <w:noProof/>
          <w:sz w:val="24"/>
        </w:rPr>
        <w:t xml:space="preserve">y zmniejszeniu. Znaczne zróżnicowanie między poszczególnymi krajami istnieje również nadal, jeśli chodzi o ogólny współczynnik aktywności zawodowej (wynoszący w 2014 r. od 63,9 % we Włoszech do 81,5 % w Szwecji) i konkretne grupy, co odzwierciedla różnice </w:t>
      </w:r>
      <w:r>
        <w:rPr>
          <w:rFonts w:ascii="Times New Roman" w:hAnsi="Times New Roman"/>
          <w:noProof/>
          <w:sz w:val="24"/>
        </w:rPr>
        <w:t xml:space="preserve">w zakresie warunków gospodarczych, struktur instytucjonalnych oraz indywidualnych preferencji pracowników. </w:t>
      </w:r>
    </w:p>
    <w:p w:rsidR="000F2E63" w:rsidRDefault="0010263F">
      <w:pPr>
        <w:spacing w:line="360" w:lineRule="auto"/>
        <w:jc w:val="both"/>
        <w:rPr>
          <w:rFonts w:ascii="Times New Roman" w:eastAsia="MS Mincho" w:hAnsi="Times New Roman"/>
          <w:bCs/>
          <w:noProof/>
          <w:sz w:val="24"/>
          <w:szCs w:val="24"/>
        </w:rPr>
      </w:pPr>
      <w:r>
        <w:rPr>
          <w:rFonts w:ascii="Times New Roman" w:hAnsi="Times New Roman"/>
          <w:b/>
          <w:noProof/>
          <w:sz w:val="24"/>
        </w:rPr>
        <w:t>Bezrobocie ogółem i bezrobocie młodzieży zaczęło spadać, ale nie we wszystkich państwach członkowskich, a różnice między poszczególnymi krajami pozo</w:t>
      </w:r>
      <w:r>
        <w:rPr>
          <w:rFonts w:ascii="Times New Roman" w:hAnsi="Times New Roman"/>
          <w:b/>
          <w:noProof/>
          <w:sz w:val="24"/>
        </w:rPr>
        <w:t>stają duże.</w:t>
      </w:r>
      <w:r>
        <w:rPr>
          <w:rFonts w:ascii="Times New Roman" w:hAnsi="Times New Roman"/>
          <w:noProof/>
          <w:sz w:val="24"/>
        </w:rPr>
        <w:t xml:space="preserve"> W oparciu o wnioski wynikające z tablicy wyników zawierającej kluczowe wskaźniki zatrudnienia i wskaźniki społeczne można stwierdzić w całej Europie pewną konwergencję stóp bezrobocia, przy czym ponadprzeciętne ich zmniejszenie ma miejsce w sze</w:t>
      </w:r>
      <w:r>
        <w:rPr>
          <w:rFonts w:ascii="Times New Roman" w:hAnsi="Times New Roman"/>
          <w:noProof/>
          <w:sz w:val="24"/>
        </w:rPr>
        <w:t>regu państw członkowskich, które odnotowały wcześniej bardzo wysoki poziom bezrobocia (najlepszymi przykładami są Hiszpania i Portugalia, a następnie Grecja). Jak przedstawiono na wykresie 3, w pierwszej połowie 2015 r. stopa bezrobocia wahała się jednak o</w:t>
      </w:r>
      <w:r>
        <w:rPr>
          <w:rFonts w:ascii="Times New Roman" w:hAnsi="Times New Roman"/>
          <w:noProof/>
          <w:sz w:val="24"/>
        </w:rPr>
        <w:t xml:space="preserve">d około 5 % w Niemczech </w:t>
      </w:r>
      <w:r>
        <w:rPr>
          <w:rFonts w:ascii="Times New Roman" w:hAnsi="Times New Roman"/>
          <w:noProof/>
          <w:sz w:val="24"/>
        </w:rPr>
        <w:lastRenderedPageBreak/>
        <w:t>do aż ponad 20 % w Hiszpanii i Grecji. Stopa bezrobocia jest również bardzo wysoka w Chorwacji i na Cyprze, przy czym w tym drugim państwie stale rośnie.</w:t>
      </w:r>
    </w:p>
    <w:p w:rsidR="000F2E63" w:rsidRDefault="0010263F">
      <w:pPr>
        <w:spacing w:line="360" w:lineRule="auto"/>
        <w:jc w:val="both"/>
        <w:rPr>
          <w:rFonts w:ascii="Times New Roman" w:eastAsia="MS Mincho" w:hAnsi="Times New Roman"/>
          <w:bCs/>
          <w:noProof/>
          <w:sz w:val="24"/>
          <w:szCs w:val="24"/>
        </w:rPr>
      </w:pPr>
      <w:r>
        <w:rPr>
          <w:rFonts w:ascii="Times New Roman" w:hAnsi="Times New Roman"/>
          <w:noProof/>
          <w:sz w:val="24"/>
        </w:rPr>
        <w:t>Negatywną tendencję, o wzroście znacznie wyższym niż średni, można zaobserwowa</w:t>
      </w:r>
      <w:r>
        <w:rPr>
          <w:rFonts w:ascii="Times New Roman" w:hAnsi="Times New Roman"/>
          <w:noProof/>
          <w:sz w:val="24"/>
        </w:rPr>
        <w:t>ć w wielu krajach, w których poziom stopy bezrobocia jest stosunkowo lepszy. Tak jest w przypadku Belgii, Francji, Finlandii i Austrii (choć w tej ostatniej stopa bezrobocia wciąż jest bardzo niska i wynosi 5,1 %). Wśród tych państw największy wzrost w UE2</w:t>
      </w:r>
      <w:r>
        <w:rPr>
          <w:rFonts w:ascii="Times New Roman" w:hAnsi="Times New Roman"/>
          <w:noProof/>
          <w:sz w:val="24"/>
        </w:rPr>
        <w:t xml:space="preserve">8 wynoszący 0,8 p.p. wykazuje Finlandia. We Włoszech, choć bezrobocie spada, to tempo jego spadku jest powolne w porównaniu do średniej. Zmiany te należy szczegółowo przeanalizować, gdyż mogą się one przekształcić w długotrwałą tendencję. </w:t>
      </w:r>
    </w:p>
    <w:p w:rsidR="000F2E63" w:rsidRDefault="0010263F">
      <w:pPr>
        <w:spacing w:after="0" w:line="360" w:lineRule="auto"/>
        <w:jc w:val="both"/>
        <w:rPr>
          <w:rFonts w:ascii="Times New Roman" w:eastAsia="MS Mincho" w:hAnsi="Times New Roman"/>
          <w:bCs/>
          <w:noProof/>
          <w:sz w:val="24"/>
          <w:szCs w:val="24"/>
        </w:rPr>
      </w:pPr>
      <w:r>
        <w:rPr>
          <w:rFonts w:ascii="Times New Roman" w:hAnsi="Times New Roman"/>
          <w:noProof/>
          <w:sz w:val="24"/>
        </w:rPr>
        <w:t>Z perspektywy ró</w:t>
      </w:r>
      <w:r>
        <w:rPr>
          <w:rFonts w:ascii="Times New Roman" w:hAnsi="Times New Roman"/>
          <w:noProof/>
          <w:sz w:val="24"/>
        </w:rPr>
        <w:t>wności płci spadek stopy bezrobocia jest ogólnie podobny w przypadku mężczyzn, jak i kobiet (odpowiednio o 0,8 i 0,7 p.p. w UE28). Stopa bezrobocia wśród kobiet pozostaje problemem w Europie Południowej (szczególnie w Grecji i Hiszpanii) i w niektórych kra</w:t>
      </w:r>
      <w:r>
        <w:rPr>
          <w:rFonts w:ascii="Times New Roman" w:hAnsi="Times New Roman"/>
          <w:noProof/>
          <w:sz w:val="24"/>
        </w:rPr>
        <w:t>jach Europy Wschodniej (w Chorwacji i na Słowacji).</w:t>
      </w:r>
    </w:p>
    <w:p w:rsidR="000F2E63" w:rsidRDefault="000F2E63">
      <w:pPr>
        <w:spacing w:after="0" w:line="360" w:lineRule="auto"/>
        <w:jc w:val="both"/>
        <w:rPr>
          <w:rFonts w:ascii="Times New Roman" w:eastAsia="MS Mincho" w:hAnsi="Times New Roman"/>
          <w:bCs/>
          <w:noProof/>
          <w:sz w:val="24"/>
          <w:szCs w:val="24"/>
        </w:rPr>
      </w:pPr>
    </w:p>
    <w:p w:rsidR="000F2E63" w:rsidRDefault="0010263F">
      <w:pPr>
        <w:autoSpaceDE w:val="0"/>
        <w:autoSpaceDN w:val="0"/>
        <w:adjustRightInd w:val="0"/>
        <w:spacing w:after="0" w:line="240" w:lineRule="auto"/>
        <w:ind w:left="1080" w:hanging="960"/>
        <w:rPr>
          <w:rFonts w:ascii="Times New Roman" w:eastAsia="MS Mincho" w:hAnsi="Times New Roman"/>
          <w:b/>
          <w:bCs/>
          <w:noProof/>
          <w:sz w:val="24"/>
          <w:szCs w:val="24"/>
        </w:rPr>
      </w:pPr>
      <w:r>
        <w:rPr>
          <w:rFonts w:ascii="Times New Roman" w:hAnsi="Times New Roman"/>
          <w:b/>
          <w:noProof/>
          <w:sz w:val="24"/>
        </w:rPr>
        <w:t xml:space="preserve">Wykres 3: Stopa bezrobocia i jej roczna zmiana, jak przedstawiono w tablicy wyników zawierającej kluczowe wskaźniki zatrudnienia i wskaźniki społeczne </w:t>
      </w:r>
    </w:p>
    <w:p w:rsidR="000F2E63" w:rsidRDefault="0010263F">
      <w:pPr>
        <w:spacing w:after="0" w:line="360" w:lineRule="auto"/>
        <w:jc w:val="center"/>
        <w:rPr>
          <w:rFonts w:ascii="Times New Roman" w:eastAsia="MS Mincho" w:hAnsi="Times New Roman"/>
          <w:bCs/>
          <w:noProof/>
          <w:sz w:val="24"/>
          <w:szCs w:val="24"/>
        </w:rPr>
      </w:pPr>
      <w:r>
        <w:rPr>
          <w:noProof/>
        </w:rPr>
        <w:drawing>
          <wp:inline distT="0" distB="0" distL="0" distR="0">
            <wp:extent cx="4428490" cy="3923665"/>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8490" cy="3923665"/>
                    </a:xfrm>
                    <a:prstGeom prst="rect">
                      <a:avLst/>
                    </a:prstGeom>
                    <a:noFill/>
                    <a:ln>
                      <a:noFill/>
                    </a:ln>
                  </pic:spPr>
                </pic:pic>
              </a:graphicData>
            </a:graphic>
          </wp:inline>
        </w:drawing>
      </w:r>
    </w:p>
    <w:p w:rsidR="000F2E63" w:rsidRDefault="0010263F">
      <w:pPr>
        <w:spacing w:after="0" w:line="240" w:lineRule="auto"/>
        <w:jc w:val="both"/>
        <w:rPr>
          <w:rFonts w:ascii="Times New Roman" w:eastAsia="MS Mincho" w:hAnsi="Times New Roman"/>
          <w:noProof/>
          <w:sz w:val="20"/>
          <w:szCs w:val="20"/>
        </w:rPr>
      </w:pPr>
      <w:r>
        <w:rPr>
          <w:rFonts w:ascii="Times New Roman" w:hAnsi="Times New Roman"/>
          <w:noProof/>
          <w:sz w:val="20"/>
        </w:rPr>
        <w:t xml:space="preserve">Źródło: Eurostat, BAEL (obliczenia DG EMPL). </w:t>
      </w:r>
      <w:r>
        <w:rPr>
          <w:rFonts w:ascii="Times New Roman" w:hAnsi="Times New Roman"/>
          <w:noProof/>
          <w:sz w:val="20"/>
        </w:rPr>
        <w:t>Okres: wartości w I semestrze 2015 r. i zmiany roczne w stosunku do I semestru 2014 r. Uwaga: osie krzyżują się na nieważonej średniej dla UE28. UE28 i SE19 odnoszą się do odpowiednich średnich ważonych. Legenda znajduje się w załączniku.</w:t>
      </w:r>
    </w:p>
    <w:p w:rsidR="000F2E63" w:rsidRDefault="000F2E63">
      <w:pPr>
        <w:spacing w:after="0" w:line="240" w:lineRule="auto"/>
        <w:rPr>
          <w:rFonts w:ascii="Times New Roman" w:eastAsia="MS Mincho" w:hAnsi="Times New Roman"/>
          <w:bCs/>
          <w:noProof/>
          <w:sz w:val="24"/>
          <w:szCs w:val="24"/>
        </w:rPr>
      </w:pPr>
    </w:p>
    <w:p w:rsidR="000F2E63" w:rsidRDefault="0010263F">
      <w:pPr>
        <w:widowControl w:val="0"/>
        <w:autoSpaceDE w:val="0"/>
        <w:autoSpaceDN w:val="0"/>
        <w:adjustRightInd w:val="0"/>
        <w:spacing w:after="0" w:line="360" w:lineRule="auto"/>
        <w:jc w:val="both"/>
        <w:rPr>
          <w:rFonts w:ascii="Times New Roman" w:eastAsia="MS Mincho" w:hAnsi="Times New Roman"/>
          <w:bCs/>
          <w:noProof/>
          <w:sz w:val="24"/>
          <w:szCs w:val="24"/>
        </w:rPr>
      </w:pPr>
      <w:r>
        <w:rPr>
          <w:rFonts w:ascii="Times New Roman" w:hAnsi="Times New Roman"/>
          <w:noProof/>
          <w:sz w:val="24"/>
        </w:rPr>
        <w:t xml:space="preserve">Jak pokazano na </w:t>
      </w:r>
      <w:r>
        <w:rPr>
          <w:rFonts w:ascii="Times New Roman" w:hAnsi="Times New Roman"/>
          <w:noProof/>
          <w:sz w:val="24"/>
        </w:rPr>
        <w:t xml:space="preserve">wykresie 4, różnice między krajami są jeszcze większe w przypadku stopy bezrobocia młodzieży. Dwa kraje (Grecja i Hiszpania) wykazują nadal poziom bezrobocia wśród młodzieży rzędu około 50 %, dwa inne (Włochy i Chorwacja) powyżej 40 %, a dwa kolejne (Cypr </w:t>
      </w:r>
      <w:r>
        <w:rPr>
          <w:rFonts w:ascii="Times New Roman" w:hAnsi="Times New Roman"/>
          <w:noProof/>
          <w:sz w:val="24"/>
        </w:rPr>
        <w:t>i Portugalia) powyżej 30 %; w krajach tych odnotowuje się także najwyższe wartości tego wskaźnika w odniesieniu do kobiet. Chociaż ujemne nachylenie linii spadku wskazuje na to, że państwa członkowskie zaczęły się do siebie zbliżać, we wspomnianych krajach</w:t>
      </w:r>
      <w:r>
        <w:rPr>
          <w:rFonts w:ascii="Times New Roman" w:hAnsi="Times New Roman"/>
          <w:noProof/>
          <w:sz w:val="24"/>
        </w:rPr>
        <w:t xml:space="preserve"> konieczny byłby szybszy spadek, aby szybko sprowadzić stopę bezrobocia wśród młodzieży do akceptowalnego poziomu. W grupie tej krajem, który zmierza ku konwergencji najszybciej, wydaje się być Portugalia. Niewielka grupa krajów (m.in. Francja i Finlandia)</w:t>
      </w:r>
      <w:r>
        <w:rPr>
          <w:rFonts w:ascii="Times New Roman" w:hAnsi="Times New Roman"/>
          <w:noProof/>
          <w:sz w:val="24"/>
        </w:rPr>
        <w:t xml:space="preserve"> wykazuje oznaki pogorszenia w zakresie bezrobocia młodzieży w porównaniu ze stosunkowo dobrą sytuacją wyjściową. Na szczególną uwagę zasługuje przypadek Finlandii, która zanotowała wzrost o 2,5 p.p. w okresie odzwierciedlającym niekorzystne warunki gospod</w:t>
      </w:r>
      <w:r>
        <w:rPr>
          <w:rFonts w:ascii="Times New Roman" w:hAnsi="Times New Roman"/>
          <w:noProof/>
          <w:sz w:val="24"/>
        </w:rPr>
        <w:t>arcze (największy wzrost w UE28, jeśli chodzi o ogólną stopę bezrobocia).</w:t>
      </w:r>
    </w:p>
    <w:p w:rsidR="000F2E63" w:rsidRDefault="000F2E63">
      <w:pPr>
        <w:widowControl w:val="0"/>
        <w:autoSpaceDE w:val="0"/>
        <w:autoSpaceDN w:val="0"/>
        <w:adjustRightInd w:val="0"/>
        <w:spacing w:after="0" w:line="360" w:lineRule="auto"/>
        <w:jc w:val="both"/>
        <w:rPr>
          <w:rFonts w:ascii="Times New Roman" w:eastAsia="MS Mincho" w:hAnsi="Times New Roman"/>
          <w:bCs/>
          <w:noProof/>
          <w:sz w:val="24"/>
          <w:szCs w:val="24"/>
        </w:rPr>
      </w:pPr>
    </w:p>
    <w:p w:rsidR="000F2E63" w:rsidRDefault="0010263F">
      <w:pPr>
        <w:autoSpaceDE w:val="0"/>
        <w:autoSpaceDN w:val="0"/>
        <w:adjustRightInd w:val="0"/>
        <w:spacing w:after="0" w:line="240" w:lineRule="auto"/>
        <w:ind w:left="960" w:hanging="960"/>
        <w:rPr>
          <w:rFonts w:ascii="Times New Roman" w:eastAsia="MS Mincho" w:hAnsi="Times New Roman"/>
          <w:b/>
          <w:bCs/>
          <w:noProof/>
          <w:sz w:val="24"/>
          <w:szCs w:val="24"/>
        </w:rPr>
      </w:pPr>
      <w:r>
        <w:rPr>
          <w:rFonts w:ascii="Times New Roman" w:hAnsi="Times New Roman"/>
          <w:b/>
          <w:noProof/>
          <w:sz w:val="24"/>
        </w:rPr>
        <w:t xml:space="preserve">Wykres 4: Stopa bezrobocia młodzieży i jej roczna zmiana, jak przedstawiono w tablicy wyników zawierającej kluczowe wskaźniki zatrudnienia i wskaźniki społeczne </w:t>
      </w:r>
    </w:p>
    <w:p w:rsidR="000F2E63" w:rsidRDefault="0010263F">
      <w:pPr>
        <w:autoSpaceDE w:val="0"/>
        <w:autoSpaceDN w:val="0"/>
        <w:adjustRightInd w:val="0"/>
        <w:spacing w:after="0" w:line="360" w:lineRule="auto"/>
        <w:jc w:val="both"/>
        <w:rPr>
          <w:rFonts w:ascii="Times New Roman" w:eastAsia="MS Mincho" w:hAnsi="Times New Roman"/>
          <w:b/>
          <w:bCs/>
          <w:noProof/>
          <w:sz w:val="24"/>
          <w:szCs w:val="24"/>
        </w:rPr>
      </w:pPr>
      <w:r>
        <w:rPr>
          <w:rFonts w:ascii="Times New Roman" w:hAnsi="Times New Roman"/>
          <w:b/>
          <w:noProof/>
          <w:sz w:val="24"/>
        </w:rPr>
        <w:t xml:space="preserve"> </w:t>
      </w:r>
    </w:p>
    <w:p w:rsidR="000F2E63" w:rsidRDefault="0010263F">
      <w:pPr>
        <w:spacing w:after="0" w:line="360" w:lineRule="auto"/>
        <w:jc w:val="center"/>
        <w:rPr>
          <w:rFonts w:ascii="Times New Roman" w:eastAsia="MS Mincho" w:hAnsi="Times New Roman"/>
          <w:bCs/>
          <w:i/>
          <w:noProof/>
          <w:sz w:val="24"/>
          <w:szCs w:val="24"/>
        </w:rPr>
      </w:pPr>
      <w:r>
        <w:rPr>
          <w:noProof/>
        </w:rPr>
        <w:drawing>
          <wp:inline distT="0" distB="0" distL="0" distR="0">
            <wp:extent cx="4107815" cy="3637280"/>
            <wp:effectExtent l="0" t="0" r="698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7815" cy="3637280"/>
                    </a:xfrm>
                    <a:prstGeom prst="rect">
                      <a:avLst/>
                    </a:prstGeom>
                    <a:noFill/>
                    <a:ln>
                      <a:noFill/>
                    </a:ln>
                  </pic:spPr>
                </pic:pic>
              </a:graphicData>
            </a:graphic>
          </wp:inline>
        </w:drawing>
      </w:r>
    </w:p>
    <w:p w:rsidR="000F2E63" w:rsidRDefault="0010263F">
      <w:pPr>
        <w:spacing w:after="0" w:line="240" w:lineRule="auto"/>
        <w:jc w:val="both"/>
        <w:rPr>
          <w:rFonts w:ascii="Times New Roman" w:eastAsia="MS Mincho" w:hAnsi="Times New Roman"/>
          <w:noProof/>
          <w:sz w:val="20"/>
          <w:szCs w:val="20"/>
        </w:rPr>
      </w:pPr>
      <w:r>
        <w:rPr>
          <w:rFonts w:ascii="Times New Roman" w:hAnsi="Times New Roman"/>
          <w:noProof/>
          <w:sz w:val="20"/>
        </w:rPr>
        <w:t xml:space="preserve">Źródło: </w:t>
      </w:r>
      <w:r>
        <w:rPr>
          <w:rFonts w:ascii="Times New Roman" w:hAnsi="Times New Roman"/>
          <w:noProof/>
          <w:sz w:val="20"/>
        </w:rPr>
        <w:t>Eurostat, BAEL (obliczenia DG EMPL). Okres: wartości w I semestrze 2015 r. i zmiany roczne w stosunku do I semestru 2014 r. Uwaga: osie krzyżują się na nieważonej średniej dla UE28. UE28 i SE19 odnoszą się do odpowiednich średnich ważonych. Legenda znajduj</w:t>
      </w:r>
      <w:r>
        <w:rPr>
          <w:rFonts w:ascii="Times New Roman" w:hAnsi="Times New Roman"/>
          <w:noProof/>
          <w:sz w:val="20"/>
        </w:rPr>
        <w:t>e się w załączniku.</w:t>
      </w:r>
    </w:p>
    <w:p w:rsidR="000F2E63" w:rsidRDefault="0010263F">
      <w:pPr>
        <w:spacing w:after="0" w:line="240" w:lineRule="auto"/>
        <w:jc w:val="both"/>
        <w:rPr>
          <w:rFonts w:ascii="Times New Roman" w:eastAsia="MS Mincho" w:hAnsi="Times New Roman"/>
          <w:noProof/>
          <w:sz w:val="20"/>
          <w:szCs w:val="20"/>
        </w:rPr>
      </w:pPr>
      <w:r>
        <w:rPr>
          <w:rFonts w:ascii="Times New Roman" w:hAnsi="Times New Roman"/>
          <w:noProof/>
          <w:sz w:val="20"/>
        </w:rPr>
        <w:t xml:space="preserve"> </w:t>
      </w:r>
    </w:p>
    <w:p w:rsidR="000F2E63" w:rsidRDefault="0010263F">
      <w:pPr>
        <w:spacing w:after="0" w:line="360" w:lineRule="auto"/>
        <w:jc w:val="both"/>
        <w:rPr>
          <w:rFonts w:ascii="Times New Roman" w:eastAsia="MS Mincho" w:hAnsi="Times New Roman"/>
          <w:bCs/>
          <w:noProof/>
          <w:sz w:val="24"/>
          <w:szCs w:val="24"/>
        </w:rPr>
      </w:pPr>
      <w:r>
        <w:rPr>
          <w:rFonts w:ascii="Times New Roman" w:hAnsi="Times New Roman"/>
          <w:b/>
          <w:noProof/>
          <w:sz w:val="24"/>
        </w:rPr>
        <w:lastRenderedPageBreak/>
        <w:t>Odsetek młodzieży niekształcącej się, niepracującej ani nieszkolącej się (młodzież NEET) także maleje (wykres 5)</w:t>
      </w:r>
      <w:r>
        <w:rPr>
          <w:rFonts w:ascii="Times New Roman" w:hAnsi="Times New Roman"/>
          <w:noProof/>
          <w:sz w:val="24"/>
        </w:rPr>
        <w:t>. W szeregu państw odnotowuje się jednak wciąż bardzo wysoki odsetek młodzieży NEET (Irlandia, Cypr, Hiszpania, Rumunia, G</w:t>
      </w:r>
      <w:r>
        <w:rPr>
          <w:rFonts w:ascii="Times New Roman" w:hAnsi="Times New Roman"/>
          <w:noProof/>
          <w:sz w:val="24"/>
        </w:rPr>
        <w:t>recja, Chorwacja, Bułgaria i Włochy, przy czym w tych dwóch ostatnich krajach wynosi on powyżej 20 %). Wśród kobiet najwyższy odsetek młodzieży NEET występuje również w Grecji, Włoszech, Rumunii i Bułgarii. Podczas gdy Hiszpania, Bułgaria, Grecja i Cypr wy</w:t>
      </w:r>
      <w:r>
        <w:rPr>
          <w:rFonts w:ascii="Times New Roman" w:hAnsi="Times New Roman"/>
          <w:noProof/>
          <w:sz w:val="24"/>
        </w:rPr>
        <w:t>dają się zmierzać ku konwergencji w miarę szybko, to tempo dostosowania we Włoszech, Chorwacji i Rumunii (jeżeli w ogóle występuje) wydaje się być niewystarczające. Ponadto kilka państw członkowskich o stosunkowo niskim lub zbliżonym do średniego odsetku m</w:t>
      </w:r>
      <w:r>
        <w:rPr>
          <w:rFonts w:ascii="Times New Roman" w:hAnsi="Times New Roman"/>
          <w:noProof/>
          <w:sz w:val="24"/>
        </w:rPr>
        <w:t>łodzieży NEET wykazuje zmiany roczne znacznie wyższe od średniej UE. Tak jest w przypadku Luksemburga, Austrii, Finlandii i Malty.</w:t>
      </w:r>
    </w:p>
    <w:p w:rsidR="000F2E63" w:rsidRDefault="0010263F">
      <w:pPr>
        <w:autoSpaceDE w:val="0"/>
        <w:autoSpaceDN w:val="0"/>
        <w:adjustRightInd w:val="0"/>
        <w:spacing w:after="0" w:line="240" w:lineRule="auto"/>
        <w:ind w:left="1200" w:hanging="1200"/>
        <w:jc w:val="both"/>
        <w:rPr>
          <w:rFonts w:ascii="Times New Roman" w:eastAsia="MS Mincho" w:hAnsi="Times New Roman"/>
          <w:b/>
          <w:bCs/>
          <w:noProof/>
          <w:sz w:val="24"/>
          <w:szCs w:val="24"/>
        </w:rPr>
      </w:pPr>
      <w:r>
        <w:rPr>
          <w:rFonts w:ascii="Times New Roman" w:hAnsi="Times New Roman"/>
          <w:b/>
          <w:noProof/>
          <w:sz w:val="24"/>
        </w:rPr>
        <w:t>Wykres 5: Odsetek młodzieży NEET i jego roczna zmiana, jak przedstawiono w tablicy wyników zawierającej kluczowe wskaźniki za</w:t>
      </w:r>
      <w:r>
        <w:rPr>
          <w:rFonts w:ascii="Times New Roman" w:hAnsi="Times New Roman"/>
          <w:b/>
          <w:noProof/>
          <w:sz w:val="24"/>
        </w:rPr>
        <w:t>trudnienia i wskaźniki społeczne</w:t>
      </w:r>
    </w:p>
    <w:p w:rsidR="000F2E63" w:rsidRDefault="0010263F">
      <w:pPr>
        <w:spacing w:after="0" w:line="360" w:lineRule="auto"/>
        <w:jc w:val="center"/>
        <w:rPr>
          <w:rFonts w:ascii="Times New Roman" w:eastAsia="MS Mincho" w:hAnsi="Times New Roman"/>
          <w:bCs/>
          <w:i/>
          <w:noProof/>
          <w:sz w:val="24"/>
          <w:szCs w:val="24"/>
        </w:rPr>
      </w:pPr>
      <w:r>
        <w:rPr>
          <w:noProof/>
        </w:rPr>
        <w:drawing>
          <wp:inline distT="0" distB="0" distL="0" distR="0">
            <wp:extent cx="4060190" cy="36233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190" cy="3623310"/>
                    </a:xfrm>
                    <a:prstGeom prst="rect">
                      <a:avLst/>
                    </a:prstGeom>
                    <a:noFill/>
                    <a:ln>
                      <a:noFill/>
                    </a:ln>
                  </pic:spPr>
                </pic:pic>
              </a:graphicData>
            </a:graphic>
          </wp:inline>
        </w:drawing>
      </w:r>
    </w:p>
    <w:p w:rsidR="000F2E63" w:rsidRDefault="0010263F">
      <w:pPr>
        <w:spacing w:after="0" w:line="240" w:lineRule="auto"/>
        <w:jc w:val="both"/>
        <w:rPr>
          <w:rFonts w:ascii="Times New Roman" w:eastAsia="MS Mincho" w:hAnsi="Times New Roman"/>
          <w:noProof/>
          <w:sz w:val="20"/>
          <w:szCs w:val="20"/>
        </w:rPr>
      </w:pPr>
      <w:r>
        <w:rPr>
          <w:rFonts w:ascii="Times New Roman" w:hAnsi="Times New Roman"/>
          <w:noProof/>
          <w:sz w:val="20"/>
        </w:rPr>
        <w:t>Źródło: Eurostat, BAEL (obliczenia DG EMPL). Przerwa w szeregu w FR i ES. Okres: wartości w 2014 r. i zmiany roczne w stosunku do 2013 r. Uwaga: osie krzyżują się na nieważonej średniej dla UE28. UE28 i SE19 odnoszą się d</w:t>
      </w:r>
      <w:r>
        <w:rPr>
          <w:rFonts w:ascii="Times New Roman" w:hAnsi="Times New Roman"/>
          <w:noProof/>
          <w:sz w:val="20"/>
        </w:rPr>
        <w:t>o odpowiednich średnich ważonych. Legenda znajduje się w załączniku.</w:t>
      </w:r>
    </w:p>
    <w:p w:rsidR="000F2E63" w:rsidRDefault="000F2E63">
      <w:pPr>
        <w:spacing w:after="0" w:line="240" w:lineRule="auto"/>
        <w:jc w:val="both"/>
        <w:rPr>
          <w:rFonts w:ascii="Times New Roman" w:eastAsia="MS Mincho" w:hAnsi="Times New Roman"/>
          <w:noProof/>
          <w:sz w:val="20"/>
          <w:szCs w:val="20"/>
        </w:rPr>
      </w:pP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Wskaźniki dotyczące przedwczesnego kończenia nauki szkolnej w większości krajów się poprawiły.</w:t>
      </w:r>
      <w:r>
        <w:rPr>
          <w:rFonts w:ascii="Times New Roman" w:hAnsi="Times New Roman"/>
          <w:noProof/>
          <w:sz w:val="24"/>
        </w:rPr>
        <w:t xml:space="preserve"> W 2014 r. zjawisko przedwczesnego kończenia nauki zmniejszyło się w porównaniu z 2013 r. w </w:t>
      </w:r>
      <w:r>
        <w:rPr>
          <w:rFonts w:ascii="Times New Roman" w:hAnsi="Times New Roman"/>
          <w:noProof/>
          <w:sz w:val="24"/>
        </w:rPr>
        <w:t xml:space="preserve">20 państwach członkowskich, natomiast jego stosunkowo duży wzrost odnotowano w Estonii. Pomimo pozytywnego rozwoju sytuacji w znacznej większości </w:t>
      </w:r>
      <w:r>
        <w:rPr>
          <w:rFonts w:ascii="Times New Roman" w:hAnsi="Times New Roman"/>
          <w:noProof/>
          <w:sz w:val="24"/>
        </w:rPr>
        <w:lastRenderedPageBreak/>
        <w:t xml:space="preserve">państw członkowskich odsetek osób przedwcześnie kończących naukę utrzymuje się w kilku krajach na szczególnie </w:t>
      </w:r>
      <w:r>
        <w:rPr>
          <w:rFonts w:ascii="Times New Roman" w:hAnsi="Times New Roman"/>
          <w:noProof/>
          <w:sz w:val="24"/>
        </w:rPr>
        <w:t>wysokim poziomie (Malta, Włochy, Portugalia i Hiszpania). Ponadto odsetek ten jest w przypadku młodych ludzi urodzonych za granicą średnio o 10 punktów procentowych wyższy niż w przypadku młodzieży rodowitej, a najwyższe różnice wynoszące około 20 p.p. wys</w:t>
      </w:r>
      <w:r>
        <w:rPr>
          <w:rFonts w:ascii="Times New Roman" w:hAnsi="Times New Roman"/>
          <w:noProof/>
          <w:sz w:val="24"/>
        </w:rPr>
        <w:t>tępują w Grecji i we Włoszech.</w:t>
      </w:r>
      <w:r>
        <w:rPr>
          <w:rStyle w:val="Odwoanieprzypisudolnego"/>
          <w:rFonts w:ascii="Times New Roman" w:hAnsi="Times New Roman"/>
          <w:noProof/>
          <w:sz w:val="24"/>
        </w:rPr>
        <w:footnoteReference w:id="9"/>
      </w:r>
    </w:p>
    <w:p w:rsidR="000F2E63" w:rsidRDefault="0010263F">
      <w:pPr>
        <w:autoSpaceDE w:val="0"/>
        <w:autoSpaceDN w:val="0"/>
        <w:adjustRightInd w:val="0"/>
        <w:spacing w:after="0" w:line="360" w:lineRule="auto"/>
        <w:jc w:val="both"/>
        <w:rPr>
          <w:rFonts w:ascii="Times New Roman" w:hAnsi="Times New Roman"/>
          <w:noProof/>
          <w:sz w:val="24"/>
          <w:szCs w:val="24"/>
        </w:rPr>
      </w:pPr>
      <w:r>
        <w:rPr>
          <w:rFonts w:ascii="Times New Roman" w:hAnsi="Times New Roman"/>
          <w:b/>
          <w:noProof/>
          <w:sz w:val="24"/>
        </w:rPr>
        <w:t>Pomimo ogólnej poprawy sytuacji na rynku pracy długoterminowe bezrobocie utrzymuje się w szeregu państw członkowskich na wysokim poziomie.</w:t>
      </w:r>
      <w:r>
        <w:rPr>
          <w:rFonts w:ascii="Times New Roman" w:hAnsi="Times New Roman"/>
          <w:noProof/>
          <w:sz w:val="24"/>
        </w:rPr>
        <w:t xml:space="preserve"> W następstwie kryzysu stopa długotrwałego bezrobocia wzrosła między 2008 a 2014 r. we wszystkich państwach członkowskich z wyjątkiem Niemiec (wykres 6). Ogólnie rzecz biorąc stopa ta jest wciąż stosunkowo wysoka, w szczególności w Grecji i w mniejszym sto</w:t>
      </w:r>
      <w:r>
        <w:rPr>
          <w:rFonts w:ascii="Times New Roman" w:hAnsi="Times New Roman"/>
          <w:noProof/>
          <w:sz w:val="24"/>
        </w:rPr>
        <w:t xml:space="preserve">pniu w Hiszpanii, przy czym jej wartości odnotowane w 2014 r. były w obu przypadkach nadal bardzo zbliżone do najwyższego notowanego poziomu. Bezrobocie długotrwałe dotyka mężczyzn, osoby młode i pracowników nisko wykwalifikowanych stosunkowo bardziej niż </w:t>
      </w:r>
      <w:r>
        <w:rPr>
          <w:rFonts w:ascii="Times New Roman" w:hAnsi="Times New Roman"/>
          <w:noProof/>
          <w:sz w:val="24"/>
        </w:rPr>
        <w:t>inne grupy na rynku pracy, a szczególnie dotkliwie odbija się na osobach, które były zatrudnione w zanikających zawodach i sektorach. Ogólny stan gospodarki jest wciąż ważnym czynnikiem decydującym o zmianach w poziomie bezrobocia długotrwałego i przepływa</w:t>
      </w:r>
      <w:r>
        <w:rPr>
          <w:rFonts w:ascii="Times New Roman" w:hAnsi="Times New Roman"/>
          <w:noProof/>
          <w:sz w:val="24"/>
        </w:rPr>
        <w:t>ch osób w tej kategorii, ale wpływ tego czynnika jest też w dużej mierze uzależniony od warunków krajowych związanych głównie z różnicami instytucjonalnymi.</w:t>
      </w:r>
    </w:p>
    <w:p w:rsidR="000F2E63" w:rsidRDefault="0010263F">
      <w:pPr>
        <w:jc w:val="both"/>
        <w:rPr>
          <w:rFonts w:ascii="Times New Roman" w:hAnsi="Times New Roman"/>
          <w:b/>
          <w:noProof/>
          <w:sz w:val="24"/>
          <w:szCs w:val="24"/>
        </w:rPr>
      </w:pPr>
      <w:r>
        <w:rPr>
          <w:rFonts w:ascii="Times New Roman" w:hAnsi="Times New Roman"/>
          <w:b/>
          <w:noProof/>
          <w:sz w:val="24"/>
        </w:rPr>
        <w:t>Wykres 6: Stopy bezrobocia długotrwałego (2008 r., 2014 r. i poziom najwyższy)</w:t>
      </w:r>
    </w:p>
    <w:p w:rsidR="000F2E63" w:rsidRDefault="0010263F">
      <w:pPr>
        <w:jc w:val="center"/>
        <w:rPr>
          <w:noProof/>
        </w:rPr>
      </w:pPr>
      <w:r>
        <w:rPr>
          <w:noProof/>
        </w:rPr>
        <w:drawing>
          <wp:inline distT="0" distB="0" distL="0" distR="0">
            <wp:extent cx="5438775" cy="2606675"/>
            <wp:effectExtent l="0" t="0" r="9525"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8775" cy="2606675"/>
                    </a:xfrm>
                    <a:prstGeom prst="rect">
                      <a:avLst/>
                    </a:prstGeom>
                    <a:noFill/>
                    <a:ln>
                      <a:noFill/>
                    </a:ln>
                  </pic:spPr>
                </pic:pic>
              </a:graphicData>
            </a:graphic>
          </wp:inline>
        </w:drawing>
      </w:r>
    </w:p>
    <w:p w:rsidR="000F2E63" w:rsidRDefault="0010263F">
      <w:pPr>
        <w:jc w:val="both"/>
        <w:rPr>
          <w:rFonts w:ascii="Times New Roman" w:hAnsi="Times New Roman"/>
          <w:noProof/>
          <w:sz w:val="18"/>
          <w:szCs w:val="18"/>
          <w:lang w:val="en-GB"/>
        </w:rPr>
      </w:pPr>
      <w:r>
        <w:rPr>
          <w:rFonts w:ascii="Times New Roman" w:hAnsi="Times New Roman"/>
          <w:noProof/>
          <w:sz w:val="18"/>
          <w:lang w:val="en-GB"/>
        </w:rPr>
        <w:t xml:space="preserve">Źródło: </w:t>
      </w:r>
      <w:r>
        <w:rPr>
          <w:rFonts w:ascii="Times New Roman" w:hAnsi="Times New Roman"/>
          <w:i/>
          <w:noProof/>
          <w:sz w:val="18"/>
          <w:lang w:val="en-GB"/>
        </w:rPr>
        <w:t>Employment</w:t>
      </w:r>
      <w:r>
        <w:rPr>
          <w:rFonts w:ascii="Times New Roman" w:hAnsi="Times New Roman"/>
          <w:i/>
          <w:noProof/>
          <w:sz w:val="18"/>
          <w:lang w:val="en-GB"/>
        </w:rPr>
        <w:t xml:space="preserve"> and social developments in Europe (ESDE) 2015</w:t>
      </w:r>
      <w:r>
        <w:rPr>
          <w:rFonts w:ascii="Times New Roman" w:hAnsi="Times New Roman"/>
          <w:noProof/>
          <w:sz w:val="18"/>
          <w:lang w:val="en-GB"/>
        </w:rPr>
        <w:t>, Komisja Europejska.</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lastRenderedPageBreak/>
        <w:t>Istnieją różnice między państwami członkowskimi pod względem dynamiki bezrobocia długotrwałego.</w:t>
      </w:r>
      <w:r>
        <w:rPr>
          <w:rFonts w:ascii="Times New Roman" w:hAnsi="Times New Roman"/>
          <w:noProof/>
          <w:sz w:val="24"/>
        </w:rPr>
        <w:t xml:space="preserve"> Wykres 7 przedstawia wskaźniki zmiany sytuacji na rynku pracy osób długotrwale bezrobotnych </w:t>
      </w:r>
      <w:r>
        <w:rPr>
          <w:rFonts w:ascii="Times New Roman" w:hAnsi="Times New Roman"/>
          <w:noProof/>
          <w:sz w:val="24"/>
        </w:rPr>
        <w:t>między 2013 a 2014 r. W przypadku kilku państw członkowskich utrzymujące się stopy długotrwałego bezrobocia (tj. osoby długotrwale bezrobotne, które wciąż pozostają bezrobotne rok później) są znaczne i osiągają poziom przekraczający 50 % na Litwie, w Bułga</w:t>
      </w:r>
      <w:r>
        <w:rPr>
          <w:rFonts w:ascii="Times New Roman" w:hAnsi="Times New Roman"/>
          <w:noProof/>
          <w:sz w:val="24"/>
        </w:rPr>
        <w:t>rii, Grecji i na Słowacji. Na drugim biegunie znajdują się Dania, Szwecja, Estonia i Słowenia, gdzie przechodzenie do zatrudnienia występuje stosunkowo często.  Migracje do bierności zawodowej mogą odzwierciedlać skutki zniechęcenia pracowników i są szczeg</w:t>
      </w:r>
      <w:r>
        <w:rPr>
          <w:rFonts w:ascii="Times New Roman" w:hAnsi="Times New Roman"/>
          <w:noProof/>
          <w:sz w:val="24"/>
        </w:rPr>
        <w:t>ólnie wysokie we Włoszech i w nieco mniejszym stopniu w Finlandii, Estonii i na Łotwie.</w:t>
      </w:r>
    </w:p>
    <w:p w:rsidR="000F2E63" w:rsidRDefault="0010263F">
      <w:pPr>
        <w:pStyle w:val="Legenda"/>
        <w:jc w:val="both"/>
        <w:rPr>
          <w:noProof/>
        </w:rPr>
      </w:pPr>
      <w:r>
        <w:rPr>
          <w:noProof/>
        </w:rPr>
        <w:br/>
        <w:t>Wykres 7: Sytuacja zawodowa w 2014 r. osób długotrwale bezrobotnych w 2013 r.</w:t>
      </w:r>
    </w:p>
    <w:p w:rsidR="000F2E63" w:rsidRDefault="0010263F">
      <w:pPr>
        <w:jc w:val="center"/>
        <w:rPr>
          <w:noProof/>
        </w:rPr>
      </w:pPr>
      <w:r>
        <w:rPr>
          <w:noProof/>
        </w:rPr>
        <w:drawing>
          <wp:inline distT="0" distB="0" distL="0" distR="0">
            <wp:extent cx="5752465" cy="1992630"/>
            <wp:effectExtent l="0" t="0" r="63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1992630"/>
                    </a:xfrm>
                    <a:prstGeom prst="rect">
                      <a:avLst/>
                    </a:prstGeom>
                    <a:noFill/>
                    <a:ln>
                      <a:noFill/>
                    </a:ln>
                  </pic:spPr>
                </pic:pic>
              </a:graphicData>
            </a:graphic>
          </wp:inline>
        </w:drawing>
      </w:r>
    </w:p>
    <w:p w:rsidR="000F2E63" w:rsidRDefault="0010263F">
      <w:pPr>
        <w:pStyle w:val="Source"/>
        <w:rPr>
          <w:rFonts w:ascii="Times New Roman" w:hAnsi="Times New Roman"/>
          <w:noProof/>
          <w:szCs w:val="18"/>
          <w:lang w:val="en-GB"/>
        </w:rPr>
      </w:pPr>
      <w:r>
        <w:rPr>
          <w:rFonts w:ascii="Times New Roman" w:hAnsi="Times New Roman"/>
          <w:noProof/>
          <w:lang w:val="en-GB"/>
        </w:rPr>
        <w:t xml:space="preserve">Źródło: </w:t>
      </w:r>
      <w:r>
        <w:rPr>
          <w:rFonts w:ascii="Times New Roman" w:hAnsi="Times New Roman"/>
          <w:i/>
          <w:noProof/>
          <w:lang w:val="en-GB"/>
        </w:rPr>
        <w:t>Employment and social developments in Europe (ESDE) 2015</w:t>
      </w:r>
      <w:r>
        <w:rPr>
          <w:rFonts w:ascii="Times New Roman" w:hAnsi="Times New Roman"/>
          <w:noProof/>
          <w:lang w:val="en-GB"/>
        </w:rPr>
        <w:t xml:space="preserve">, Komisja Europejska.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Pomimo w dużej mierze niekorzystnej sytuacji osób długotrwale bezrobotnych łączne wydatki na aktywną politykę rynku pracy spadły w szeregu państw członkowskich, co jest wyrazem napiętych budżetów publicznych.</w:t>
      </w:r>
      <w:r>
        <w:rPr>
          <w:rFonts w:ascii="Times New Roman" w:hAnsi="Times New Roman"/>
          <w:noProof/>
          <w:sz w:val="24"/>
        </w:rPr>
        <w:t xml:space="preserve"> W latach 2007–2012 całkowite wydatki (jako proc</w:t>
      </w:r>
      <w:r>
        <w:rPr>
          <w:rFonts w:ascii="Times New Roman" w:hAnsi="Times New Roman"/>
          <w:noProof/>
          <w:sz w:val="24"/>
        </w:rPr>
        <w:t>ent PKB w 2007 r.) zmniejszyły się w 8 państwach członkowskich, natomiast wydatki na osobę poszukującą pracy spadły w 13 państwach (wykres 8). Wzrost zanotowały zaś głównie państwa członkowskie, w których poziomy były w 2007 r. stosunkowo niskie. Mimo że n</w:t>
      </w:r>
      <w:r>
        <w:rPr>
          <w:rFonts w:ascii="Times New Roman" w:hAnsi="Times New Roman"/>
          <w:noProof/>
          <w:sz w:val="24"/>
        </w:rPr>
        <w:t>owsze dane dotyczące wydatków w poszczególnych krajach nie są jeszcze dostępne, jest raczej mało prawdopodobne, by ogólne wydatki znacznie się poprawiły, gdyż budżety w wielu państwach członkowskich pozostały napięte również po roku 2012. Ponadto w znaczne</w:t>
      </w:r>
      <w:r>
        <w:rPr>
          <w:rFonts w:ascii="Times New Roman" w:hAnsi="Times New Roman"/>
          <w:noProof/>
          <w:sz w:val="24"/>
        </w:rPr>
        <w:t>j liczbie krajów wydatki na aktywną politykę rynku pracy nie są wyraźnie ukierunkowane na kwestię długotrwałego bezrobocia, na którą w około połowie państw członkowskich przeznacza się mniej niż 20 % takich wydatków. Wydaje się, że w szeregu państw członko</w:t>
      </w:r>
      <w:r>
        <w:rPr>
          <w:rFonts w:ascii="Times New Roman" w:hAnsi="Times New Roman"/>
          <w:noProof/>
          <w:sz w:val="24"/>
        </w:rPr>
        <w:t xml:space="preserve">wskich z biegiem czasu zmniejszył się również dostęp do publicznych służb </w:t>
      </w:r>
      <w:r>
        <w:rPr>
          <w:rFonts w:ascii="Times New Roman" w:hAnsi="Times New Roman"/>
          <w:noProof/>
          <w:sz w:val="24"/>
        </w:rPr>
        <w:lastRenderedPageBreak/>
        <w:t xml:space="preserve">zatrudnienia, zakres świadczeń i uczestnictwo w kształceniu i szkoleniu dla długotrwale bezrobotnych, co jest być może związane z trudnościami z dotarciem do osób bardzo długotrwale </w:t>
      </w:r>
      <w:r>
        <w:rPr>
          <w:rFonts w:ascii="Times New Roman" w:hAnsi="Times New Roman"/>
          <w:noProof/>
          <w:sz w:val="24"/>
        </w:rPr>
        <w:t xml:space="preserve">bezrobotnych (2 lata i więcej). </w:t>
      </w:r>
      <w:r>
        <w:rPr>
          <w:rStyle w:val="Odwoanieprzypisudolnego"/>
          <w:rFonts w:ascii="Times New Roman" w:hAnsi="Times New Roman"/>
          <w:noProof/>
          <w:sz w:val="24"/>
        </w:rPr>
        <w:footnoteReference w:id="10"/>
      </w:r>
    </w:p>
    <w:p w:rsidR="000F2E63" w:rsidRDefault="0010263F">
      <w:pPr>
        <w:pStyle w:val="Legenda"/>
        <w:jc w:val="both"/>
        <w:rPr>
          <w:noProof/>
        </w:rPr>
      </w:pPr>
      <w:r>
        <w:rPr>
          <w:noProof/>
        </w:rPr>
        <w:t>Wykres 8: Roczny realny wzrost wydatków na aktywną politykę rynku pracy, 2007-2012</w:t>
      </w:r>
    </w:p>
    <w:p w:rsidR="000F2E63" w:rsidRDefault="000F2E63">
      <w:pPr>
        <w:rPr>
          <w:noProof/>
        </w:rPr>
      </w:pPr>
    </w:p>
    <w:p w:rsidR="000F2E63" w:rsidRDefault="0010263F">
      <w:pPr>
        <w:jc w:val="center"/>
        <w:rPr>
          <w:noProof/>
        </w:rPr>
      </w:pPr>
      <w:r>
        <w:rPr>
          <w:noProof/>
        </w:rPr>
        <w:drawing>
          <wp:inline distT="0" distB="0" distL="0" distR="0">
            <wp:extent cx="5752465" cy="2811145"/>
            <wp:effectExtent l="0" t="0" r="635"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465" cy="2811145"/>
                    </a:xfrm>
                    <a:prstGeom prst="rect">
                      <a:avLst/>
                    </a:prstGeom>
                    <a:noFill/>
                    <a:ln>
                      <a:noFill/>
                    </a:ln>
                  </pic:spPr>
                </pic:pic>
              </a:graphicData>
            </a:graphic>
          </wp:inline>
        </w:drawing>
      </w:r>
    </w:p>
    <w:p w:rsidR="000F2E63" w:rsidRDefault="0010263F">
      <w:pPr>
        <w:spacing w:line="240" w:lineRule="auto"/>
        <w:jc w:val="both"/>
        <w:rPr>
          <w:rFonts w:ascii="Times New Roman" w:hAnsi="Times New Roman"/>
          <w:noProof/>
          <w:sz w:val="18"/>
          <w:szCs w:val="18"/>
        </w:rPr>
      </w:pPr>
      <w:r>
        <w:rPr>
          <w:rFonts w:ascii="Times New Roman" w:hAnsi="Times New Roman"/>
          <w:noProof/>
          <w:sz w:val="18"/>
        </w:rPr>
        <w:t xml:space="preserve">Źródło: Eurostat, baza danych dotyczących polityki rynku pracy (LMP). Obliczenia DG EMPL średniej wartości dla UE28. Uwaga: państwa </w:t>
      </w:r>
      <w:r>
        <w:rPr>
          <w:rFonts w:ascii="Times New Roman" w:hAnsi="Times New Roman"/>
          <w:noProof/>
          <w:sz w:val="18"/>
        </w:rPr>
        <w:t>członkowskie zostały pogrupowane według poziomu wydatków na aktywną politykę rynku pracy w 2007 r. – poziom niski/średni/wysoki (kat. 1–7 % PKB). Ze względu na brak niektórych danych wartości zagregowane dla UE28 oszacowano z wykorzystaniem wartości z 2010</w:t>
      </w:r>
      <w:r>
        <w:rPr>
          <w:rFonts w:ascii="Times New Roman" w:hAnsi="Times New Roman"/>
          <w:noProof/>
          <w:sz w:val="18"/>
        </w:rPr>
        <w:t xml:space="preserve"> r. w odniesieniu do Zjednoczonego Królestwa i Grecji dla lat 2011–2013, zaś w przypadku Hiszpanii, Francji, Cypru, Malty i Rumunii z wykorzystaniem wartości z 2012 r. także dla roku 2013, oraz z wyłączeniem Chorwacji. Chorwacja i Portugalia nie zostały uw</w:t>
      </w:r>
      <w:r>
        <w:rPr>
          <w:rFonts w:ascii="Times New Roman" w:hAnsi="Times New Roman"/>
          <w:noProof/>
          <w:sz w:val="18"/>
        </w:rPr>
        <w:t xml:space="preserve">zględnione z uwagi na brak danych i przerwy w szeregu. *Z powodu przerw w szeregu w przypadku Grecji, Francji i Zjednoczonego Królestwa zamiast okresu 2007–2012 wykorzystano wartości średnie za okres 2007–2010, w przypadku Słowacji za okres 2008–2012, zaś </w:t>
      </w:r>
      <w:r>
        <w:rPr>
          <w:rFonts w:ascii="Times New Roman" w:hAnsi="Times New Roman"/>
          <w:noProof/>
          <w:sz w:val="18"/>
        </w:rPr>
        <w:t>w przypadku Cypru za okres 2007–2011.</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Niższy poziom aktywizacji osób (długotrwale) bezrobotnych może dodatkowo zwiększyć istniejące już obecnie niedobory niektórych umiejętności. </w:t>
      </w:r>
      <w:r>
        <w:rPr>
          <w:rFonts w:ascii="Times New Roman" w:hAnsi="Times New Roman"/>
          <w:noProof/>
          <w:sz w:val="24"/>
        </w:rPr>
        <w:t>Mniejsze wydatki na aktywowanie osób (długotrwale) bezrobotnych, w szczególno</w:t>
      </w:r>
      <w:r>
        <w:rPr>
          <w:rFonts w:ascii="Times New Roman" w:hAnsi="Times New Roman"/>
          <w:noProof/>
          <w:sz w:val="24"/>
        </w:rPr>
        <w:t>ści jeżeli dotyczy to szkolenia, może uniemożliwić im zdobywanie umiejętności, których potrzebują w celu znalezienia pracy. Skutkowałoby to nie tylko utrwaleniem się poziomów stóp bezrobocia, lecz także zwiększyłoby istniejące już obecnie niedobory niektór</w:t>
      </w:r>
      <w:r>
        <w:rPr>
          <w:rFonts w:ascii="Times New Roman" w:hAnsi="Times New Roman"/>
          <w:noProof/>
          <w:sz w:val="24"/>
        </w:rPr>
        <w:t>ych umiejętności. Jak przedstawiono na wykresie 9, w szeregu państw członkowskich znaczna liczba pracodawców zgłasza trudności ze znalezieniem pracowników posiadających odpowiednie umiejętności. Stosunkowo duże trudności występują w krajach bałtyckich (któ</w:t>
      </w:r>
      <w:r>
        <w:rPr>
          <w:rFonts w:ascii="Times New Roman" w:hAnsi="Times New Roman"/>
          <w:noProof/>
          <w:sz w:val="24"/>
        </w:rPr>
        <w:t xml:space="preserve">re to trudności mogą być związane ze stosunkowo znacznym odpływem ludności z tych krajów do pozostałych państw </w:t>
      </w:r>
      <w:r>
        <w:rPr>
          <w:rFonts w:ascii="Times New Roman" w:hAnsi="Times New Roman"/>
          <w:noProof/>
          <w:sz w:val="24"/>
        </w:rPr>
        <w:lastRenderedPageBreak/>
        <w:t>członkowskich UE), a także w krajach o niskim poziomie bezrobocia, takich jak Austria, Belgia i Niemcy. Mniejsze trudności występują w takich pań</w:t>
      </w:r>
      <w:r>
        <w:rPr>
          <w:rFonts w:ascii="Times New Roman" w:hAnsi="Times New Roman"/>
          <w:noProof/>
          <w:sz w:val="24"/>
        </w:rPr>
        <w:t>stwach członkowskich, jak Hiszpania, Grecja, Chorwacja i Cypr, gdzie niedobory w podaży siły roboczej nie są czynnikiem ograniczającym zatrudnienie. Lepsza jakość oferty uczenia się przez całe życie i dalsze w nią inwestowanie przyczyniłyby się do zmniejsz</w:t>
      </w:r>
      <w:r>
        <w:rPr>
          <w:rFonts w:ascii="Times New Roman" w:hAnsi="Times New Roman"/>
          <w:noProof/>
          <w:sz w:val="24"/>
        </w:rPr>
        <w:t>enia niedoborów niektórych umiejętności. Według danych Eurostatu w latach 2009–2014 poziom uczenia się przez całe życie wzrósł w większości państw członkowskich (z wyjątkiem Chorwacji, Cypru, Grecji, Polski, Hiszpanii i Słowenii), ale wciąż utrzymują się d</w:t>
      </w:r>
      <w:r>
        <w:rPr>
          <w:rFonts w:ascii="Times New Roman" w:hAnsi="Times New Roman"/>
          <w:noProof/>
          <w:sz w:val="24"/>
        </w:rPr>
        <w:t xml:space="preserve">uże różnice w tym zakresie, gdyż odsetek osób uczestniczących w uczeniu się przez całe życie wynosił w 2014 r. od 1,5 % w Rumunii i 1,8 % w Bułgarii do ponad 25 % w Finlandii, Szwecji i Danii.  </w:t>
      </w: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Wykres 9: Trudności przedsiębiorstw europejskich w znalezieni</w:t>
      </w:r>
      <w:r>
        <w:rPr>
          <w:rFonts w:ascii="Times New Roman" w:hAnsi="Times New Roman"/>
          <w:b/>
          <w:noProof/>
          <w:sz w:val="24"/>
        </w:rPr>
        <w:t>u pracowników posiadających wymagane umiejętności w 2013 r.</w:t>
      </w:r>
    </w:p>
    <w:p w:rsidR="000F2E63" w:rsidRDefault="0010263F">
      <w:pPr>
        <w:spacing w:line="360" w:lineRule="auto"/>
        <w:jc w:val="center"/>
        <w:rPr>
          <w:rFonts w:ascii="Times New Roman" w:hAnsi="Times New Roman"/>
          <w:b/>
          <w:noProof/>
          <w:sz w:val="24"/>
          <w:szCs w:val="24"/>
        </w:rPr>
      </w:pPr>
      <w:r>
        <w:rPr>
          <w:noProof/>
        </w:rPr>
        <w:drawing>
          <wp:inline distT="0" distB="0" distL="0" distR="0">
            <wp:extent cx="5404485" cy="2360930"/>
            <wp:effectExtent l="0" t="0" r="5715"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4485" cy="2360930"/>
                    </a:xfrm>
                    <a:prstGeom prst="rect">
                      <a:avLst/>
                    </a:prstGeom>
                    <a:noFill/>
                    <a:ln>
                      <a:noFill/>
                    </a:ln>
                  </pic:spPr>
                </pic:pic>
              </a:graphicData>
            </a:graphic>
          </wp:inline>
        </w:drawing>
      </w:r>
    </w:p>
    <w:p w:rsidR="000F2E63" w:rsidRDefault="0010263F">
      <w:pPr>
        <w:pStyle w:val="Source"/>
        <w:spacing w:line="240" w:lineRule="auto"/>
        <w:rPr>
          <w:rFonts w:ascii="Times New Roman" w:hAnsi="Times New Roman"/>
          <w:noProof/>
          <w:szCs w:val="18"/>
        </w:rPr>
      </w:pPr>
      <w:r>
        <w:rPr>
          <w:rFonts w:ascii="Times New Roman" w:hAnsi="Times New Roman"/>
          <w:noProof/>
        </w:rPr>
        <w:t>Źródło: Trzecie Europejskie Badanie Przedsiębiorstw (2013 r.), Eurofound (uwaga dotycząca interpretacji: odsetek firm, które udzieliły odpowiedzi twierdzącej na pytanie „Czy Państwa przedsiębior</w:t>
      </w:r>
      <w:r>
        <w:rPr>
          <w:rFonts w:ascii="Times New Roman" w:hAnsi="Times New Roman"/>
          <w:noProof/>
        </w:rPr>
        <w:t>stwo napotkało na trudności w znalezieniu pracowników posiadających wymagane umiejętności?”).</w:t>
      </w:r>
    </w:p>
    <w:p w:rsidR="000F2E63" w:rsidRDefault="0010263F">
      <w:pPr>
        <w:autoSpaceDE w:val="0"/>
        <w:autoSpaceDN w:val="0"/>
        <w:adjustRightInd w:val="0"/>
        <w:spacing w:after="0" w:line="360" w:lineRule="auto"/>
        <w:jc w:val="both"/>
        <w:rPr>
          <w:rFonts w:ascii="Times New Roman" w:hAnsi="Times New Roman"/>
          <w:noProof/>
          <w:sz w:val="24"/>
          <w:szCs w:val="24"/>
        </w:rPr>
      </w:pPr>
      <w:r>
        <w:rPr>
          <w:rFonts w:ascii="Times New Roman" w:hAnsi="Times New Roman"/>
          <w:noProof/>
          <w:sz w:val="24"/>
        </w:rPr>
        <w:t>Trudności w znalezieniu pracowników mogą mieć różne przyczyny, z których jedną jest brak pracowników o odpowiednich umiejętnościach. Najnowsze analizy niedopasowa</w:t>
      </w:r>
      <w:r>
        <w:rPr>
          <w:rFonts w:ascii="Times New Roman" w:hAnsi="Times New Roman"/>
          <w:noProof/>
          <w:sz w:val="24"/>
        </w:rPr>
        <w:t>nia umiejętności wskazują jednak na to, że jedynie w mniej niż połowie przypadków trudności rekrutacyjne polegają na prawdziwym niedoborze wykwalifikowanej siły roboczej, zaś w prawie jednej trzeciej przypadków można to przypisać mało atrakcyjnemu wynagrod</w:t>
      </w:r>
      <w:r>
        <w:rPr>
          <w:rFonts w:ascii="Times New Roman" w:hAnsi="Times New Roman"/>
          <w:noProof/>
          <w:sz w:val="24"/>
        </w:rPr>
        <w:t>zeniu. Nietypowe godziny pracy i brak możliwości szkolenia w miejscu pracy, w połączeniu z mało atrakcyjnymi płacami, to okoliczności, które ograniczają zdolność pracodawców do przyciągnięcia pracowników. Ponadto badania wykazały, że przedsiębiorstwa, któr</w:t>
      </w:r>
      <w:r>
        <w:rPr>
          <w:rFonts w:ascii="Times New Roman" w:hAnsi="Times New Roman"/>
          <w:noProof/>
          <w:sz w:val="24"/>
        </w:rPr>
        <w:t xml:space="preserve">e nie są w </w:t>
      </w:r>
      <w:r>
        <w:rPr>
          <w:rFonts w:ascii="Times New Roman" w:hAnsi="Times New Roman"/>
          <w:noProof/>
          <w:sz w:val="24"/>
        </w:rPr>
        <w:lastRenderedPageBreak/>
        <w:t>stanie znaleźć pracowników z wymaganymi kwalifikacjami, to często te, które niechętnie oferują długoterminowe umowy o pracę</w:t>
      </w:r>
      <w:r>
        <w:rPr>
          <w:rStyle w:val="Odwoanieprzypisudolnego"/>
          <w:rFonts w:ascii="Times New Roman" w:hAnsi="Times New Roman"/>
          <w:noProof/>
          <w:sz w:val="24"/>
        </w:rPr>
        <w:footnoteReference w:id="11"/>
      </w:r>
      <w:r>
        <w:rPr>
          <w:rFonts w:ascii="Times New Roman" w:hAnsi="Times New Roman"/>
          <w:noProof/>
          <w:sz w:val="24"/>
        </w:rPr>
        <w:t>.</w:t>
      </w:r>
      <w:r>
        <w:rPr>
          <w:rStyle w:val="Odwoanieprzypisudolnego"/>
          <w:rFonts w:ascii="Times New Roman" w:hAnsi="Times New Roman"/>
          <w:noProof/>
          <w:sz w:val="24"/>
        </w:rPr>
        <w:t xml:space="preserve"> </w:t>
      </w:r>
      <w:r>
        <w:rPr>
          <w:rFonts w:ascii="Times New Roman" w:hAnsi="Times New Roman"/>
          <w:noProof/>
          <w:sz w:val="24"/>
        </w:rPr>
        <w:t xml:space="preserve"> </w:t>
      </w:r>
    </w:p>
    <w:p w:rsidR="000F2E63" w:rsidRDefault="000F2E63">
      <w:pPr>
        <w:spacing w:before="58" w:after="0" w:line="360" w:lineRule="auto"/>
        <w:jc w:val="both"/>
        <w:rPr>
          <w:rFonts w:ascii="Times New Roman" w:hAnsi="Times New Roman"/>
          <w:b/>
          <w:bCs/>
          <w:noProof/>
          <w:sz w:val="24"/>
          <w:szCs w:val="24"/>
        </w:rPr>
      </w:pPr>
    </w:p>
    <w:p w:rsidR="000F2E63" w:rsidRDefault="0010263F">
      <w:pPr>
        <w:spacing w:before="58" w:after="0" w:line="360" w:lineRule="auto"/>
        <w:jc w:val="both"/>
        <w:rPr>
          <w:rFonts w:ascii="Times New Roman" w:hAnsi="Times New Roman"/>
          <w:noProof/>
          <w:sz w:val="24"/>
          <w:szCs w:val="24"/>
        </w:rPr>
      </w:pPr>
      <w:r>
        <w:rPr>
          <w:rFonts w:ascii="Times New Roman" w:hAnsi="Times New Roman"/>
          <w:b/>
          <w:noProof/>
          <w:sz w:val="24"/>
        </w:rPr>
        <w:t xml:space="preserve">Potencjałowi wzrostu w Europie zagrażają słabości strukturalne występujące w europejskim zasobie umiejętności. </w:t>
      </w:r>
      <w:r>
        <w:rPr>
          <w:rFonts w:ascii="Times New Roman" w:hAnsi="Times New Roman"/>
          <w:noProof/>
          <w:sz w:val="24"/>
        </w:rPr>
        <w:t>Wedłu</w:t>
      </w:r>
      <w:r>
        <w:rPr>
          <w:rFonts w:ascii="Times New Roman" w:hAnsi="Times New Roman"/>
          <w:noProof/>
          <w:sz w:val="24"/>
        </w:rPr>
        <w:t xml:space="preserve">g najnowszych danych z Badania Umiejętności Osób Dorosłych (PIAAC) przeprowadzonego przez OECD i WE około 20 % osób w wieku produkcyjnym ma niski poziom umiejętności (umiejętność czytania, pisania i liczenia), a w niektórych państwach (Francja, Hiszpania, </w:t>
      </w:r>
      <w:r>
        <w:rPr>
          <w:rFonts w:ascii="Times New Roman" w:hAnsi="Times New Roman"/>
          <w:noProof/>
          <w:sz w:val="24"/>
        </w:rPr>
        <w:t>Włochy) odsetek ten jest jeszcze wyższy. Tylko w kilku państwach (Estonia, Dania, Finlandia, Niderlandy i Szwecja) odnotowano duży odsetek osób z bardzo wysokim podstawowym poziomem umiejętności, a większość państw europejskich nawet nie zbliżyła się do cz</w:t>
      </w:r>
      <w:r>
        <w:rPr>
          <w:rFonts w:ascii="Times New Roman" w:hAnsi="Times New Roman"/>
          <w:noProof/>
          <w:sz w:val="24"/>
        </w:rPr>
        <w:t>ołówki państw spoza Europy (takich jak Japonia czy Australia). Jeśli chodzi o umiejętności cyfrowe,</w:t>
      </w:r>
      <w:r>
        <w:rPr>
          <w:rFonts w:ascii="Times New Roman" w:hAnsi="Times New Roman"/>
          <w:noProof/>
          <w:kern w:val="24"/>
          <w:sz w:val="24"/>
        </w:rPr>
        <w:t xml:space="preserve"> w 2014 r. średnio 22 % populacji UE nie posiadała takich umiejętności, a odsetek ten wynosił od 5 % w Luksemburgu do 45 % w Bułgarii i 46 % w Rumunii</w:t>
      </w:r>
      <w:r>
        <w:rPr>
          <w:rFonts w:ascii="Times New Roman" w:hAnsi="Times New Roman"/>
          <w:noProof/>
          <w:kern w:val="24"/>
          <w:sz w:val="24"/>
          <w:vertAlign w:val="superscript"/>
        </w:rPr>
        <w:footnoteReference w:id="12"/>
      </w:r>
      <w:r>
        <w:rPr>
          <w:rFonts w:ascii="Times New Roman" w:hAnsi="Times New Roman"/>
          <w:noProof/>
          <w:kern w:val="24"/>
          <w:sz w:val="24"/>
        </w:rPr>
        <w:t>. Mają</w:t>
      </w:r>
      <w:r>
        <w:rPr>
          <w:rFonts w:ascii="Times New Roman" w:hAnsi="Times New Roman"/>
          <w:noProof/>
          <w:kern w:val="24"/>
          <w:sz w:val="24"/>
        </w:rPr>
        <w:t>c na uwadze to, że aby skutecznie funkcjonować w społeczeństwie cyfrowym, dana osoba potrzebuje więcej niż niskiego poziomu umiejętności (np. niż tylko umiejętności wysłania wiadomości elektronicznych), to za mający niedostateczny poziom umiejętności cyfro</w:t>
      </w:r>
      <w:r>
        <w:rPr>
          <w:rFonts w:ascii="Times New Roman" w:hAnsi="Times New Roman"/>
          <w:noProof/>
          <w:kern w:val="24"/>
          <w:sz w:val="24"/>
        </w:rPr>
        <w:t xml:space="preserve">wych można uznać odsetek 40 % ludności UE. </w:t>
      </w:r>
      <w:r>
        <w:rPr>
          <w:rFonts w:ascii="Times New Roman" w:hAnsi="Times New Roman"/>
          <w:noProof/>
          <w:sz w:val="24"/>
        </w:rPr>
        <w:t>Dane dotyczące wydatków publicznych potwierdzają rosnące ryzyko niedoboru inwestycji w kapitał ludzki, gdyż w wydatkach publicznych na edukację od 2010 r. odnotowano spadek o 3,2 %, a jedenaście państw członkowski</w:t>
      </w:r>
      <w:r>
        <w:rPr>
          <w:rFonts w:ascii="Times New Roman" w:hAnsi="Times New Roman"/>
          <w:noProof/>
          <w:sz w:val="24"/>
        </w:rPr>
        <w:t xml:space="preserve">ch wykazuje spadek w 2013 r. Europa nie inwestuje skutecznie w edukację i umiejętności, co zagraża jej konkurencyjności w perspektywie średniookresowej oraz zmniejsza szanse jej pracowników na rynku pracy. </w:t>
      </w:r>
    </w:p>
    <w:p w:rsidR="000F2E63" w:rsidRDefault="000F2E63">
      <w:pPr>
        <w:autoSpaceDE w:val="0"/>
        <w:autoSpaceDN w:val="0"/>
        <w:adjustRightInd w:val="0"/>
        <w:spacing w:after="0" w:line="360" w:lineRule="auto"/>
        <w:jc w:val="both"/>
        <w:rPr>
          <w:rFonts w:ascii="Times New Roman" w:hAnsi="Times New Roman"/>
          <w:noProof/>
        </w:rPr>
      </w:pP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 xml:space="preserve">Mobilność zawodowa może być ważnym mechanizmem </w:t>
      </w:r>
      <w:r>
        <w:rPr>
          <w:rFonts w:ascii="Times New Roman" w:hAnsi="Times New Roman"/>
          <w:b/>
          <w:noProof/>
          <w:sz w:val="24"/>
        </w:rPr>
        <w:t>korekcyjnym służącym zmniejszaniu różnic między poszczególnymi krajami w zakresie bezrobocia i rozwiązywaniu problemu niedoboru niektórych umiejętności.</w:t>
      </w:r>
      <w:r>
        <w:rPr>
          <w:rFonts w:ascii="Times New Roman" w:hAnsi="Times New Roman"/>
          <w:noProof/>
          <w:sz w:val="24"/>
        </w:rPr>
        <w:t xml:space="preserve"> Wskaźniki wewnątrzunijnej mobilności przedstawione na wykresie 10 dają stosunkowo jasny obraz: odpływ o</w:t>
      </w:r>
      <w:r>
        <w:rPr>
          <w:rFonts w:ascii="Times New Roman" w:hAnsi="Times New Roman"/>
          <w:noProof/>
          <w:sz w:val="24"/>
        </w:rPr>
        <w:t>sób z krajów, które najbardziej odczuły skutki kryzysu, do krajów, które stosunkowo dobrze przetrwały kryzys. Nakładają się one na długofalowe przepływy osób z Europy Środkowo-Wschodniej do bogatszych krajów Europy Północno-Zachodniej. W wartościach bezwzg</w:t>
      </w:r>
      <w:r>
        <w:rPr>
          <w:rFonts w:ascii="Times New Roman" w:hAnsi="Times New Roman"/>
          <w:noProof/>
          <w:sz w:val="24"/>
        </w:rPr>
        <w:t xml:space="preserve">lędnych odpływ netto jest największy w Hiszpanii i Polsce, natomiast napływ netto </w:t>
      </w:r>
      <w:r>
        <w:rPr>
          <w:rFonts w:ascii="Times New Roman" w:hAnsi="Times New Roman"/>
          <w:noProof/>
          <w:sz w:val="24"/>
        </w:rPr>
        <w:lastRenderedPageBreak/>
        <w:t>jest największy w Niemczech i Zjednoczonym Królestwie. Ogólnie rzecz biorąc, mobilność pomiędzy krajami UE jest umiarkowana. Mobilni obywatele to zazwyczaj osoby młode i dobr</w:t>
      </w:r>
      <w:r>
        <w:rPr>
          <w:rFonts w:ascii="Times New Roman" w:hAnsi="Times New Roman"/>
          <w:noProof/>
          <w:sz w:val="24"/>
        </w:rPr>
        <w:t>ze wykształcone, przyczyniające się do rozwiązywania problemu niedostatku umiejętności w krajach przyjmujących, lecz także stwarzające pewne wyzwania dla krajów opuszczanych, nawet jeżeli osoby te przyczyniają się do przepływów pieniężnych.</w:t>
      </w:r>
      <w:r>
        <w:rPr>
          <w:rStyle w:val="Odwoanieprzypisudolnego"/>
          <w:rFonts w:ascii="Times New Roman" w:hAnsi="Times New Roman"/>
          <w:noProof/>
          <w:sz w:val="24"/>
        </w:rPr>
        <w:footnoteReference w:id="13"/>
      </w:r>
      <w:r>
        <w:rPr>
          <w:rFonts w:ascii="Times New Roman" w:hAnsi="Times New Roman"/>
          <w:noProof/>
          <w:sz w:val="24"/>
        </w:rPr>
        <w:t xml:space="preserve"> Pełna przejrzy</w:t>
      </w:r>
      <w:r>
        <w:rPr>
          <w:rFonts w:ascii="Times New Roman" w:hAnsi="Times New Roman"/>
          <w:noProof/>
          <w:sz w:val="24"/>
        </w:rPr>
        <w:t>stość i porównywalność kwalifikacji w całej UE mogłaby ułatwić mobilność pracowników, gdyż pracodawcy mogliby dzięki temu lepiej zrozumieć kwalifikacje uzyskane przez daną osobę w innym państwie członkowskim i takim kwalifikacjom zaufać. W tym celu państwa</w:t>
      </w:r>
      <w:r>
        <w:rPr>
          <w:rFonts w:ascii="Times New Roman" w:hAnsi="Times New Roman"/>
          <w:noProof/>
          <w:sz w:val="24"/>
        </w:rPr>
        <w:t xml:space="preserve"> członkowskie odnoszą swoje kwalifikacje krajowe do europejskich ram kwalifikacji. </w:t>
      </w:r>
    </w:p>
    <w:p w:rsidR="000F2E63" w:rsidRDefault="0010263F">
      <w:pPr>
        <w:spacing w:line="360" w:lineRule="auto"/>
        <w:jc w:val="both"/>
        <w:rPr>
          <w:rFonts w:ascii="Verdana" w:hAnsi="Verdana"/>
          <w:b/>
          <w:noProof/>
          <w:color w:val="263673"/>
        </w:rPr>
      </w:pPr>
      <w:r>
        <w:rPr>
          <w:rFonts w:ascii="Times New Roman" w:hAnsi="Times New Roman"/>
          <w:b/>
          <w:noProof/>
          <w:sz w:val="24"/>
        </w:rPr>
        <w:t>Wykres 10: Wskaźniki wewnątrzunijnej mobilności netto i przepływy netto, 2013 r.</w:t>
      </w:r>
    </w:p>
    <w:p w:rsidR="000F2E63" w:rsidRDefault="0010263F">
      <w:pPr>
        <w:jc w:val="center"/>
        <w:rPr>
          <w:noProof/>
        </w:rPr>
      </w:pPr>
      <w:r>
        <w:rPr>
          <w:noProof/>
        </w:rPr>
        <w:drawing>
          <wp:inline distT="0" distB="0" distL="0" distR="0">
            <wp:extent cx="4264660" cy="244983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4660" cy="2449830"/>
                    </a:xfrm>
                    <a:prstGeom prst="rect">
                      <a:avLst/>
                    </a:prstGeom>
                    <a:noFill/>
                    <a:ln>
                      <a:noFill/>
                    </a:ln>
                  </pic:spPr>
                </pic:pic>
              </a:graphicData>
            </a:graphic>
          </wp:inline>
        </w:drawing>
      </w:r>
    </w:p>
    <w:p w:rsidR="000F2E63" w:rsidRDefault="0010263F">
      <w:pPr>
        <w:spacing w:line="240" w:lineRule="auto"/>
        <w:jc w:val="both"/>
        <w:rPr>
          <w:rFonts w:ascii="Times New Roman" w:hAnsi="Times New Roman"/>
          <w:b/>
          <w:noProof/>
          <w:sz w:val="18"/>
          <w:szCs w:val="18"/>
        </w:rPr>
      </w:pPr>
      <w:r>
        <w:rPr>
          <w:rFonts w:ascii="Times New Roman" w:hAnsi="Times New Roman"/>
          <w:noProof/>
          <w:sz w:val="18"/>
        </w:rPr>
        <w:t xml:space="preserve">Źródło: </w:t>
      </w:r>
      <w:r>
        <w:rPr>
          <w:rFonts w:ascii="Times New Roman" w:hAnsi="Times New Roman"/>
          <w:i/>
          <w:noProof/>
          <w:sz w:val="18"/>
        </w:rPr>
        <w:t>Labour Market Developments in Europe 2015</w:t>
      </w:r>
      <w:r>
        <w:rPr>
          <w:rFonts w:ascii="Times New Roman" w:hAnsi="Times New Roman"/>
          <w:noProof/>
          <w:sz w:val="18"/>
        </w:rPr>
        <w:t xml:space="preserve">, Komisja Europejska. Uwaga: Luksemburg </w:t>
      </w:r>
      <w:r>
        <w:rPr>
          <w:rFonts w:ascii="Times New Roman" w:hAnsi="Times New Roman"/>
          <w:noProof/>
          <w:sz w:val="18"/>
        </w:rPr>
        <w:t>pominięto jako osamotniony przypadek niemieszczący się w skali. Wskaźniki wewnątrzunijnej mobilności netto są obliczane jako różnica między imigracją z innych krajów UE a emigracją do innych krajów UE na początku roku na 1 000 mieszkańców.</w:t>
      </w: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Wydaje się, że z</w:t>
      </w:r>
      <w:r>
        <w:rPr>
          <w:rFonts w:ascii="Times New Roman" w:hAnsi="Times New Roman"/>
          <w:b/>
          <w:noProof/>
          <w:sz w:val="24"/>
        </w:rPr>
        <w:t xml:space="preserve">miany płac w większości państw członkowskich odpowiadają wydajności pracy i przyczyniły się przywrócenia równowagi w strefie euro. </w:t>
      </w:r>
      <w:r>
        <w:rPr>
          <w:rFonts w:ascii="Times New Roman" w:hAnsi="Times New Roman"/>
          <w:noProof/>
          <w:sz w:val="24"/>
        </w:rPr>
        <w:t>Do 2008 r. wzrost jednostkowych kosztów pracy był szybszy w krajach strefy euro notujących deficyt niż w krajach wykazujących</w:t>
      </w:r>
      <w:r>
        <w:rPr>
          <w:rFonts w:ascii="Times New Roman" w:hAnsi="Times New Roman"/>
          <w:noProof/>
          <w:sz w:val="24"/>
        </w:rPr>
        <w:t xml:space="preserve"> nadwyżkę. Tendencja ta następnie się odwróciła, co przyczyniło się do przywrócenia równowagi zewnętrznej państw członkowskich dotkniętych sytuacją kryzysową. Ponadto, jak przedstawiono na wykresie 11, w ostatnich latach wzrost płac realnych wydaje się być</w:t>
      </w:r>
      <w:r>
        <w:rPr>
          <w:rFonts w:ascii="Times New Roman" w:hAnsi="Times New Roman"/>
          <w:noProof/>
          <w:sz w:val="24"/>
        </w:rPr>
        <w:t xml:space="preserve"> mniej więcej zgodny ze wzrostem wydajności (w przeciwieństwie do tego, co obserwowano w kilku krajach w latach poprzednich), a w wielu krajach odnotowuje się jedynie niewielkie odchylenia (z wyjątkiem Cypru, Grecji, Hiszpanii, Estonii, Rumunii i </w:t>
      </w:r>
      <w:r>
        <w:rPr>
          <w:rFonts w:ascii="Times New Roman" w:hAnsi="Times New Roman"/>
          <w:noProof/>
          <w:sz w:val="24"/>
        </w:rPr>
        <w:lastRenderedPageBreak/>
        <w:t>Bułgarii)</w:t>
      </w:r>
      <w:r>
        <w:rPr>
          <w:rFonts w:ascii="Times New Roman" w:hAnsi="Times New Roman"/>
          <w:noProof/>
          <w:sz w:val="24"/>
        </w:rPr>
        <w:t>. Jest to ogólnie pozytywny rozwój, korzystny dla równowagi wewnętrznej i zewnętrznej krajów.</w:t>
      </w:r>
      <w:r>
        <w:rPr>
          <w:rFonts w:ascii="Times New Roman" w:hAnsi="Times New Roman"/>
          <w:b/>
          <w:noProof/>
          <w:sz w:val="24"/>
        </w:rPr>
        <w:t xml:space="preserve"> </w:t>
      </w:r>
    </w:p>
    <w:p w:rsidR="000F2E63" w:rsidRDefault="0010263F">
      <w:pPr>
        <w:spacing w:line="360" w:lineRule="auto"/>
        <w:jc w:val="both"/>
        <w:rPr>
          <w:noProof/>
        </w:rPr>
      </w:pPr>
      <w:r>
        <w:rPr>
          <w:rFonts w:ascii="Times New Roman" w:hAnsi="Times New Roman"/>
          <w:b/>
          <w:noProof/>
          <w:sz w:val="24"/>
        </w:rPr>
        <w:t>Wykres 11: Wynagrodzenia realne i wydajność, średnie stopy wzrostu w latach 2012–2014</w:t>
      </w:r>
    </w:p>
    <w:p w:rsidR="000F2E63" w:rsidRDefault="0010263F">
      <w:pPr>
        <w:jc w:val="center"/>
        <w:rPr>
          <w:noProof/>
        </w:rPr>
      </w:pPr>
      <w:r>
        <w:rPr>
          <w:noProof/>
        </w:rPr>
        <w:drawing>
          <wp:inline distT="0" distB="0" distL="0" distR="0">
            <wp:extent cx="4408170" cy="25793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8170" cy="2579370"/>
                    </a:xfrm>
                    <a:prstGeom prst="rect">
                      <a:avLst/>
                    </a:prstGeom>
                    <a:noFill/>
                    <a:ln>
                      <a:noFill/>
                    </a:ln>
                  </pic:spPr>
                </pic:pic>
              </a:graphicData>
            </a:graphic>
          </wp:inline>
        </w:drawing>
      </w:r>
    </w:p>
    <w:p w:rsidR="000F2E63" w:rsidRDefault="0010263F">
      <w:pPr>
        <w:jc w:val="both"/>
        <w:rPr>
          <w:rFonts w:ascii="Times New Roman" w:hAnsi="Times New Roman"/>
          <w:noProof/>
          <w:sz w:val="18"/>
          <w:szCs w:val="18"/>
        </w:rPr>
      </w:pPr>
      <w:r>
        <w:rPr>
          <w:rFonts w:ascii="Times New Roman" w:hAnsi="Times New Roman"/>
          <w:noProof/>
          <w:sz w:val="18"/>
        </w:rPr>
        <w:t xml:space="preserve">Źródło: </w:t>
      </w:r>
      <w:r>
        <w:rPr>
          <w:rFonts w:ascii="Times New Roman" w:hAnsi="Times New Roman"/>
          <w:i/>
          <w:noProof/>
          <w:sz w:val="18"/>
        </w:rPr>
        <w:t>Labour Market Developments in Europe</w:t>
      </w:r>
      <w:r>
        <w:rPr>
          <w:rFonts w:ascii="Times New Roman" w:hAnsi="Times New Roman"/>
          <w:noProof/>
          <w:sz w:val="18"/>
        </w:rPr>
        <w:t xml:space="preserve"> </w:t>
      </w:r>
      <w:r>
        <w:rPr>
          <w:rFonts w:ascii="Times New Roman" w:hAnsi="Times New Roman"/>
          <w:i/>
          <w:noProof/>
          <w:sz w:val="18"/>
        </w:rPr>
        <w:t>2015</w:t>
      </w:r>
      <w:r>
        <w:rPr>
          <w:rFonts w:ascii="Times New Roman" w:hAnsi="Times New Roman"/>
          <w:noProof/>
          <w:sz w:val="18"/>
        </w:rPr>
        <w:t xml:space="preserve">, Komisja Europejska.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w:t>
      </w:r>
      <w:r>
        <w:rPr>
          <w:rFonts w:ascii="Times New Roman" w:hAnsi="Times New Roman"/>
          <w:b/>
          <w:noProof/>
          <w:sz w:val="24"/>
        </w:rPr>
        <w:t xml:space="preserve"> ostatnich latach w znacznej liczbie państw członkowskich zwiększył się klin podatkowy, szczególnie w przypadku osób o niskich i średnich dochodach, co dopełnia obraz wysokiego już poziomu w kilku krajach.</w:t>
      </w:r>
      <w:r>
        <w:rPr>
          <w:rStyle w:val="Odwoanieprzypisudolnego"/>
          <w:rFonts w:ascii="Times New Roman" w:hAnsi="Times New Roman"/>
          <w:b/>
          <w:noProof/>
          <w:sz w:val="24"/>
        </w:rPr>
        <w:footnoteReference w:id="14"/>
      </w:r>
      <w:r>
        <w:rPr>
          <w:rFonts w:ascii="Times New Roman" w:hAnsi="Times New Roman"/>
          <w:noProof/>
          <w:sz w:val="24"/>
        </w:rPr>
        <w:t xml:space="preserve"> Poziomy klina podatkowego różnią się znacznie w poszczególnych państwach członkowskich i wynosiły w 2014 r. od mniej niż 30 % na Malcie i w Irlandii do ponad 45 % w Belgii, Niemczech, Francji i na Węgrzech (a w Austrii i Włoszech jedynie w odniesieniu do </w:t>
      </w:r>
      <w:r>
        <w:rPr>
          <w:rFonts w:ascii="Times New Roman" w:hAnsi="Times New Roman"/>
          <w:noProof/>
          <w:sz w:val="24"/>
        </w:rPr>
        <w:t>osób o średnich dochodach). Na wykresie 12 przedstawiono zmiany klina podatkowego w latach 2010–2014 (jeden żywiciel, bez dzieci) na poziomie 67 % oraz 100 % średniego wynagrodzenia. Klin podatkowy zmniejszył się na obu poziomach dochodów tylko w 8 krajach</w:t>
      </w:r>
      <w:r>
        <w:rPr>
          <w:rFonts w:ascii="Times New Roman" w:hAnsi="Times New Roman"/>
          <w:noProof/>
          <w:sz w:val="24"/>
        </w:rPr>
        <w:t>, najbardziej zaś w Zjednoczonym Królestwie i we Francji. Natomiast stosunkowo duży wzrost odnotowano na Malcie (dla poziomu 100 %, ale z niskiego pułapu) oraz w Luksemburgu, Portugalii, na Słowacji, na Węgrzech i w Irlandii (dla obu poziomów: 67 % i 100 %</w:t>
      </w:r>
      <w:r>
        <w:rPr>
          <w:rFonts w:ascii="Times New Roman" w:hAnsi="Times New Roman"/>
          <w:noProof/>
          <w:sz w:val="24"/>
        </w:rPr>
        <w:t xml:space="preserve">, ale w Irlandii z niskiego pułapu początkowego). Tendencje te są niepokojące w związku z wciąż wysoką stopą bezrobocia w wielu państwach członkowskich. Zmniejszenie klina podatkowego, odpowiednio finansowane, </w:t>
      </w:r>
      <w:r>
        <w:rPr>
          <w:rFonts w:ascii="Times New Roman" w:hAnsi="Times New Roman"/>
          <w:noProof/>
          <w:sz w:val="24"/>
        </w:rPr>
        <w:lastRenderedPageBreak/>
        <w:t>spowodowałoby zwiększenie popytu, wzrostu gosp</w:t>
      </w:r>
      <w:r>
        <w:rPr>
          <w:rFonts w:ascii="Times New Roman" w:hAnsi="Times New Roman"/>
          <w:noProof/>
          <w:sz w:val="24"/>
        </w:rPr>
        <w:t>odarczego i tworzenia miejsc pracy oraz przyczyniłoby się do sprawnego funkcjonowania UGW</w:t>
      </w:r>
      <w:r>
        <w:rPr>
          <w:rStyle w:val="Odwoanieprzypisudolnego"/>
          <w:rFonts w:ascii="Times New Roman" w:hAnsi="Times New Roman"/>
          <w:noProof/>
          <w:sz w:val="24"/>
        </w:rPr>
        <w:footnoteReference w:id="15"/>
      </w:r>
      <w:r>
        <w:rPr>
          <w:rFonts w:ascii="Times New Roman" w:hAnsi="Times New Roman"/>
          <w:noProof/>
          <w:sz w:val="24"/>
        </w:rPr>
        <w:t>.</w:t>
      </w: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Wykres 12: Zmiany klina podatkowego w latach 2010–2014</w:t>
      </w:r>
    </w:p>
    <w:p w:rsidR="000F2E63" w:rsidRDefault="0010263F">
      <w:pPr>
        <w:spacing w:line="360" w:lineRule="auto"/>
        <w:jc w:val="center"/>
        <w:rPr>
          <w:rFonts w:ascii="Times New Roman" w:hAnsi="Times New Roman"/>
          <w:noProof/>
          <w:sz w:val="24"/>
          <w:szCs w:val="24"/>
        </w:rPr>
      </w:pPr>
      <w:r>
        <w:rPr>
          <w:noProof/>
        </w:rPr>
        <w:drawing>
          <wp:inline distT="0" distB="0" distL="0" distR="0">
            <wp:extent cx="5547995" cy="229298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7995" cy="2292985"/>
                    </a:xfrm>
                    <a:prstGeom prst="rect">
                      <a:avLst/>
                    </a:prstGeom>
                    <a:noFill/>
                    <a:ln>
                      <a:noFill/>
                    </a:ln>
                  </pic:spPr>
                </pic:pic>
              </a:graphicData>
            </a:graphic>
          </wp:inline>
        </w:drawing>
      </w:r>
    </w:p>
    <w:p w:rsidR="000F2E63" w:rsidRDefault="0010263F">
      <w:pPr>
        <w:spacing w:line="240" w:lineRule="auto"/>
        <w:jc w:val="both"/>
        <w:rPr>
          <w:rFonts w:ascii="Times New Roman" w:hAnsi="Times New Roman"/>
          <w:noProof/>
          <w:sz w:val="18"/>
          <w:szCs w:val="18"/>
        </w:rPr>
      </w:pPr>
      <w:r>
        <w:rPr>
          <w:rFonts w:ascii="Times New Roman" w:hAnsi="Times New Roman"/>
          <w:noProof/>
          <w:sz w:val="18"/>
        </w:rPr>
        <w:t xml:space="preserve">Źródło: baza danych dotycząca podatków i świadczeń, OECD/WE. Uwaga: dane dla gospodarstw domowych z jednym </w:t>
      </w:r>
      <w:r>
        <w:rPr>
          <w:rFonts w:ascii="Times New Roman" w:hAnsi="Times New Roman"/>
          <w:noProof/>
          <w:sz w:val="18"/>
        </w:rPr>
        <w:t>żywicielem (bez dzieci); dane z 2013 r. zamiast 2014 r. w przypadku BG, LT, LV, MT i RO.</w:t>
      </w:r>
    </w:p>
    <w:p w:rsidR="000F2E63" w:rsidRDefault="000F2E63">
      <w:pPr>
        <w:spacing w:line="240" w:lineRule="auto"/>
        <w:jc w:val="both"/>
        <w:rPr>
          <w:rFonts w:ascii="Times New Roman" w:hAnsi="Times New Roman"/>
          <w:noProof/>
          <w:sz w:val="18"/>
          <w:szCs w:val="18"/>
        </w:rPr>
      </w:pPr>
    </w:p>
    <w:p w:rsidR="000F2E63" w:rsidRDefault="0010263F">
      <w:pPr>
        <w:spacing w:before="120" w:after="120"/>
        <w:jc w:val="both"/>
        <w:rPr>
          <w:rFonts w:ascii="Times New Roman" w:hAnsi="Times New Roman"/>
          <w:i/>
          <w:noProof/>
          <w:sz w:val="24"/>
          <w:szCs w:val="24"/>
        </w:rPr>
      </w:pPr>
      <w:r>
        <w:rPr>
          <w:rFonts w:ascii="Times New Roman" w:hAnsi="Times New Roman"/>
          <w:i/>
          <w:noProof/>
          <w:sz w:val="24"/>
        </w:rPr>
        <w:t>1.3</w:t>
      </w:r>
      <w:r>
        <w:rPr>
          <w:rFonts w:ascii="Times New Roman" w:hAnsi="Times New Roman"/>
          <w:i/>
          <w:noProof/>
          <w:sz w:val="24"/>
        </w:rPr>
        <w:tab/>
        <w:t>Tendencje i wyzwania społeczne</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b/>
          <w:noProof/>
          <w:sz w:val="24"/>
        </w:rPr>
        <w:t>Dochody gospodarstw domowych w UE ponownie rosną,</w:t>
      </w:r>
      <w:r>
        <w:rPr>
          <w:rFonts w:ascii="Times New Roman" w:hAnsi="Times New Roman"/>
          <w:noProof/>
          <w:sz w:val="24"/>
        </w:rPr>
        <w:t xml:space="preserve"> dzięki większej aktywności gospodarczej i poprawie sytuacji na rynku pracy. Szacu</w:t>
      </w:r>
      <w:r>
        <w:rPr>
          <w:rFonts w:ascii="Times New Roman" w:hAnsi="Times New Roman"/>
          <w:noProof/>
          <w:sz w:val="24"/>
        </w:rPr>
        <w:t>je się, że średnia realnego dochodu brutto do dyspozycji gospodarstwa domowego w UE wzrosła w ciągu roku o 2,2 % w stosunku do trzeciego kwartału 2015 r. (wykres 13). Ten wzrost realnych dochodów gospodarstw domowych był wynikiem wzrostu dochodów osiąganyc</w:t>
      </w:r>
      <w:r>
        <w:rPr>
          <w:rFonts w:ascii="Times New Roman" w:hAnsi="Times New Roman"/>
          <w:noProof/>
          <w:sz w:val="24"/>
        </w:rPr>
        <w:t>h na rynku, głównie wynagrodzeń, a w mniejszym stopniu dochodów osób samozatrudnionych oraz dochodów netto z tytułu własności. Podatki od dochodów i majątku nieco zmniejszyły progresję realnego dochodu brutto do dyspozycji gospodarstwa domowego w 2014 r. i</w:t>
      </w:r>
      <w:r>
        <w:rPr>
          <w:rFonts w:ascii="Times New Roman" w:hAnsi="Times New Roman"/>
          <w:noProof/>
          <w:sz w:val="24"/>
        </w:rPr>
        <w:t xml:space="preserve"> w pierwszym kwartale 2015 r. </w:t>
      </w:r>
    </w:p>
    <w:p w:rsidR="000F2E63" w:rsidRDefault="0010263F">
      <w:pPr>
        <w:rPr>
          <w:rFonts w:ascii="Times New Roman" w:hAnsi="Times New Roman"/>
          <w:b/>
          <w:noProof/>
          <w:sz w:val="24"/>
          <w:szCs w:val="24"/>
        </w:rPr>
      </w:pPr>
      <w:r>
        <w:rPr>
          <w:noProof/>
        </w:rPr>
        <w:br w:type="page"/>
      </w: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Wykres 13: Zmiana realnego dochodu brutto do dyspozycji gospodarstwa domowego oraz jego składowych w UE</w:t>
      </w:r>
    </w:p>
    <w:p w:rsidR="000F2E63" w:rsidRDefault="0010263F">
      <w:pPr>
        <w:spacing w:after="0" w:line="360" w:lineRule="auto"/>
        <w:jc w:val="both"/>
        <w:rPr>
          <w:rFonts w:ascii="Times New Roman" w:hAnsi="Times New Roman"/>
          <w:noProof/>
          <w:sz w:val="24"/>
          <w:szCs w:val="24"/>
        </w:rPr>
      </w:pPr>
      <w:r>
        <w:rPr>
          <w:noProof/>
        </w:rPr>
        <w:drawing>
          <wp:inline distT="0" distB="0" distL="0" distR="0">
            <wp:extent cx="5752465" cy="3446145"/>
            <wp:effectExtent l="0" t="0" r="635"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2465" cy="3446145"/>
                    </a:xfrm>
                    <a:prstGeom prst="rect">
                      <a:avLst/>
                    </a:prstGeom>
                    <a:noFill/>
                    <a:ln>
                      <a:noFill/>
                    </a:ln>
                  </pic:spPr>
                </pic:pic>
              </a:graphicData>
            </a:graphic>
          </wp:inline>
        </w:drawing>
      </w:r>
    </w:p>
    <w:p w:rsidR="000F2E63" w:rsidRDefault="0010263F">
      <w:pPr>
        <w:spacing w:after="0" w:line="360" w:lineRule="auto"/>
        <w:jc w:val="both"/>
        <w:rPr>
          <w:rFonts w:ascii="Times New Roman" w:hAnsi="Times New Roman"/>
          <w:i/>
          <w:noProof/>
          <w:sz w:val="20"/>
          <w:szCs w:val="20"/>
        </w:rPr>
      </w:pPr>
      <w:r>
        <w:rPr>
          <w:rFonts w:ascii="Times New Roman" w:hAnsi="Times New Roman"/>
          <w:noProof/>
          <w:sz w:val="20"/>
        </w:rPr>
        <w:t>Źródło: Eurostat, rachunki narodowe (obliczenia DG EMPL)</w:t>
      </w:r>
    </w:p>
    <w:p w:rsidR="000F2E63" w:rsidRDefault="000F2E63">
      <w:pPr>
        <w:spacing w:before="120" w:after="120" w:line="360" w:lineRule="auto"/>
        <w:jc w:val="both"/>
        <w:rPr>
          <w:rFonts w:ascii="Times New Roman" w:hAnsi="Times New Roman"/>
          <w:b/>
          <w:noProof/>
          <w:sz w:val="24"/>
          <w:szCs w:val="24"/>
          <w:highlight w:val="yellow"/>
        </w:rPr>
      </w:pP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 xml:space="preserve">Dokładniejsza analiza wyników krajowych potwierdza, że większość państw członkowskich skorzystała na zwiększeniu dochodu brutto do dyspozycji gospodarstwa domowego w 2014 r. </w:t>
      </w:r>
      <w:r>
        <w:rPr>
          <w:rFonts w:ascii="Times New Roman" w:hAnsi="Times New Roman"/>
          <w:noProof/>
          <w:sz w:val="24"/>
        </w:rPr>
        <w:t>Dane z tablicy wyników zawierającej kluczowe wskaźniki zatrudnienia i wskaźniki sp</w:t>
      </w:r>
      <w:r>
        <w:rPr>
          <w:rFonts w:ascii="Times New Roman" w:hAnsi="Times New Roman"/>
          <w:noProof/>
          <w:sz w:val="24"/>
        </w:rPr>
        <w:t>ołeczne (wykres 14)</w:t>
      </w:r>
      <w:r>
        <w:rPr>
          <w:rStyle w:val="Odwoanieprzypisudolnego"/>
          <w:rFonts w:ascii="Times New Roman" w:hAnsi="Times New Roman"/>
          <w:noProof/>
          <w:sz w:val="24"/>
        </w:rPr>
        <w:footnoteReference w:id="16"/>
      </w:r>
      <w:r>
        <w:rPr>
          <w:rFonts w:ascii="Times New Roman" w:hAnsi="Times New Roman"/>
          <w:noProof/>
          <w:sz w:val="24"/>
        </w:rPr>
        <w:t xml:space="preserve"> pokazują, że w ciągu 2014 r. realny dochód do dyspozycji gospodarstwa domowego w większości państw członkowskich zwiększył się. Szwecja, Litwa, Węgry, Słowacja i Łotwa osiągnęły największy wzrost dochodów gospodarstw domowych, wynosząc</w:t>
      </w:r>
      <w:r>
        <w:rPr>
          <w:rFonts w:ascii="Times New Roman" w:hAnsi="Times New Roman"/>
          <w:noProof/>
          <w:sz w:val="24"/>
        </w:rPr>
        <w:t>y ponad 2 % w skali roku. Spadek natomiast odnotowano w Zjednoczonym Królestwie, Włoszech i Finlandii, przy czym w przypadku tej ostatniej zjawisko to należy postrzegać w kontekście ogólnego pogorszenia wskaźników bezrobocia. W niektórych krajach, które do</w:t>
      </w:r>
      <w:r>
        <w:rPr>
          <w:rFonts w:ascii="Times New Roman" w:hAnsi="Times New Roman"/>
          <w:noProof/>
          <w:sz w:val="24"/>
        </w:rPr>
        <w:t>tkliwie odczuły kryzys (np. Grecja i Cypr), brak jest jeszcze danych niezbędnych do dokonania oceny najnowszych zmian.</w:t>
      </w:r>
    </w:p>
    <w:p w:rsidR="000F2E63" w:rsidRDefault="0010263F">
      <w:pPr>
        <w:rPr>
          <w:rFonts w:ascii="Times New Roman" w:hAnsi="Times New Roman"/>
          <w:b/>
          <w:noProof/>
          <w:sz w:val="24"/>
          <w:szCs w:val="24"/>
        </w:rPr>
      </w:pPr>
      <w:r>
        <w:rPr>
          <w:noProof/>
        </w:rPr>
        <w:br w:type="page"/>
      </w:r>
    </w:p>
    <w:p w:rsidR="000F2E63" w:rsidRDefault="0010263F">
      <w:pPr>
        <w:spacing w:after="0"/>
        <w:ind w:left="1080" w:hanging="1080"/>
        <w:jc w:val="both"/>
        <w:rPr>
          <w:rFonts w:ascii="Times New Roman" w:hAnsi="Times New Roman"/>
          <w:b/>
          <w:noProof/>
          <w:sz w:val="24"/>
          <w:szCs w:val="24"/>
        </w:rPr>
      </w:pPr>
      <w:r>
        <w:rPr>
          <w:rFonts w:ascii="Times New Roman" w:hAnsi="Times New Roman"/>
          <w:b/>
          <w:noProof/>
          <w:sz w:val="24"/>
        </w:rPr>
        <w:t>Wykres 14: Zmiana dochodu brutto do dyspozycji gospodarstwa domowego w 2014 r., jak przedstawiono w tablicy wyników zawierającej kluczo</w:t>
      </w:r>
      <w:r>
        <w:rPr>
          <w:rFonts w:ascii="Times New Roman" w:hAnsi="Times New Roman"/>
          <w:b/>
          <w:noProof/>
          <w:sz w:val="24"/>
        </w:rPr>
        <w:t>we wskaźniki zatrudnienia i wskaźniki społeczne</w:t>
      </w:r>
    </w:p>
    <w:p w:rsidR="000F2E63" w:rsidRDefault="0010263F">
      <w:pPr>
        <w:spacing w:before="120" w:after="120" w:line="360" w:lineRule="auto"/>
        <w:jc w:val="center"/>
        <w:rPr>
          <w:rFonts w:ascii="Times New Roman" w:hAnsi="Times New Roman"/>
          <w:b/>
          <w:noProof/>
          <w:sz w:val="24"/>
          <w:szCs w:val="24"/>
        </w:rPr>
      </w:pPr>
      <w:r>
        <w:rPr>
          <w:noProof/>
        </w:rPr>
        <w:drawing>
          <wp:inline distT="0" distB="0" distL="0" distR="0">
            <wp:extent cx="5677535" cy="26479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7535" cy="2647950"/>
                    </a:xfrm>
                    <a:prstGeom prst="rect">
                      <a:avLst/>
                    </a:prstGeom>
                    <a:noFill/>
                    <a:ln>
                      <a:noFill/>
                    </a:ln>
                  </pic:spPr>
                </pic:pic>
              </a:graphicData>
            </a:graphic>
          </wp:inline>
        </w:drawing>
      </w:r>
    </w:p>
    <w:p w:rsidR="000F2E63" w:rsidRDefault="0010263F">
      <w:pPr>
        <w:spacing w:before="120" w:after="120" w:line="360" w:lineRule="auto"/>
        <w:jc w:val="both"/>
        <w:rPr>
          <w:rFonts w:ascii="Times New Roman" w:hAnsi="Times New Roman"/>
          <w:b/>
          <w:noProof/>
          <w:sz w:val="24"/>
          <w:szCs w:val="24"/>
        </w:rPr>
      </w:pPr>
      <w:r>
        <w:rPr>
          <w:rFonts w:ascii="Times New Roman" w:hAnsi="Times New Roman"/>
          <w:noProof/>
          <w:sz w:val="20"/>
        </w:rPr>
        <w:t>Źródło: Eurostat, rachunki narodowe (obliczenia DG EMPL).</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b/>
          <w:noProof/>
          <w:sz w:val="24"/>
        </w:rPr>
        <w:t xml:space="preserve">Odsetek osób zagrożonych ubóstwem lub wykluczeniem społecznym (AROPE) ustabilizował się w latach 2013 i 2014 po nieprzerwanym wzroście w latach </w:t>
      </w:r>
      <w:r>
        <w:rPr>
          <w:rFonts w:ascii="Times New Roman" w:hAnsi="Times New Roman"/>
          <w:b/>
          <w:noProof/>
          <w:sz w:val="24"/>
        </w:rPr>
        <w:t>2009–2012.</w:t>
      </w:r>
      <w:r>
        <w:rPr>
          <w:rFonts w:ascii="Times New Roman" w:hAnsi="Times New Roman"/>
          <w:noProof/>
          <w:sz w:val="24"/>
        </w:rPr>
        <w:t xml:space="preserve"> </w:t>
      </w: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 xml:space="preserve">Ustanowiony w strategii „Europa 2020” cel dotyczący ograniczenia ubóstwa jest mierzony za pomocą wskaźnika zagrożenia ubóstwem lub wykluczeniem społecznym (AROPE), podawanego przez Eurostat. Wskaźnik AROPE jest odsetkiem osób: </w:t>
      </w: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w:t>
      </w:r>
      <w:r>
        <w:rPr>
          <w:rFonts w:ascii="Times New Roman" w:hAnsi="Times New Roman"/>
          <w:noProof/>
          <w:sz w:val="24"/>
        </w:rPr>
        <w:tab/>
        <w:t>zagrożonych ub</w:t>
      </w:r>
      <w:r>
        <w:rPr>
          <w:rFonts w:ascii="Times New Roman" w:hAnsi="Times New Roman"/>
          <w:noProof/>
          <w:sz w:val="24"/>
        </w:rPr>
        <w:t>óstwem (AROP), tj. o ekwiwalentnym</w:t>
      </w:r>
      <w:r>
        <w:rPr>
          <w:rStyle w:val="Odwoanieprzypisudolnego"/>
          <w:rFonts w:ascii="Times New Roman" w:hAnsi="Times New Roman"/>
          <w:noProof/>
          <w:sz w:val="24"/>
        </w:rPr>
        <w:footnoteReference w:id="17"/>
      </w:r>
      <w:r>
        <w:rPr>
          <w:rFonts w:ascii="Times New Roman" w:hAnsi="Times New Roman"/>
          <w:noProof/>
          <w:sz w:val="24"/>
        </w:rPr>
        <w:t xml:space="preserve"> dochodzie do dyspozycji gospodarstwa domowego (po uwzględnieniu transferów socjalnych oraz świadczeń emerytalnych i rent) wynoszącym poniżej 60 % krajowej mediany dochodu do dyspozycji gospodarstwa domowego;</w:t>
      </w: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w:t>
      </w:r>
      <w:r>
        <w:rPr>
          <w:rFonts w:ascii="Times New Roman" w:hAnsi="Times New Roman"/>
          <w:noProof/>
          <w:sz w:val="24"/>
        </w:rPr>
        <w:tab/>
        <w:t>LUB doświa</w:t>
      </w:r>
      <w:r>
        <w:rPr>
          <w:rFonts w:ascii="Times New Roman" w:hAnsi="Times New Roman"/>
          <w:noProof/>
          <w:sz w:val="24"/>
        </w:rPr>
        <w:t>dczających pogłębionej deprywacji materialnej (SMD)</w:t>
      </w:r>
      <w:r>
        <w:rPr>
          <w:rStyle w:val="Odwoanieprzypisudolnego"/>
          <w:rFonts w:ascii="Times New Roman" w:hAnsi="Times New Roman"/>
          <w:noProof/>
          <w:sz w:val="24"/>
        </w:rPr>
        <w:footnoteReference w:id="18"/>
      </w:r>
      <w:r>
        <w:rPr>
          <w:rFonts w:ascii="Times New Roman" w:hAnsi="Times New Roman"/>
          <w:noProof/>
          <w:sz w:val="24"/>
        </w:rPr>
        <w:t xml:space="preserve">; </w:t>
      </w: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w:t>
      </w:r>
      <w:r>
        <w:rPr>
          <w:rFonts w:ascii="Times New Roman" w:hAnsi="Times New Roman"/>
          <w:noProof/>
          <w:sz w:val="24"/>
        </w:rPr>
        <w:tab/>
        <w:t>LUB żyjących w gospodarstwach domowych o bardzo małej intensywności pracy</w:t>
      </w:r>
      <w:r>
        <w:rPr>
          <w:rStyle w:val="Odwoanieprzypisudolnego"/>
          <w:rFonts w:ascii="Times New Roman" w:hAnsi="Times New Roman"/>
          <w:noProof/>
          <w:sz w:val="24"/>
        </w:rPr>
        <w:footnoteReference w:id="19"/>
      </w:r>
      <w:r>
        <w:rPr>
          <w:rFonts w:ascii="Times New Roman" w:hAnsi="Times New Roman"/>
          <w:noProof/>
          <w:sz w:val="24"/>
        </w:rPr>
        <w:t>.</w:t>
      </w:r>
    </w:p>
    <w:p w:rsidR="000F2E63" w:rsidRDefault="000F2E63">
      <w:pPr>
        <w:spacing w:after="0" w:line="360" w:lineRule="auto"/>
        <w:jc w:val="both"/>
        <w:rPr>
          <w:rFonts w:ascii="Times New Roman" w:hAnsi="Times New Roman"/>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lastRenderedPageBreak/>
        <w:t>Wskaźnik AROPE w 28 państwach członkowskich (UE28) zmniejszył się nieznacznie w 2014 r. do 24,4 %</w:t>
      </w:r>
      <w:r>
        <w:rPr>
          <w:rStyle w:val="Odwoanieprzypisudolnego"/>
          <w:rFonts w:ascii="Times New Roman" w:hAnsi="Times New Roman"/>
          <w:noProof/>
          <w:sz w:val="24"/>
        </w:rPr>
        <w:footnoteReference w:id="20"/>
      </w:r>
      <w:r>
        <w:rPr>
          <w:rFonts w:ascii="Times New Roman" w:hAnsi="Times New Roman"/>
          <w:noProof/>
          <w:sz w:val="24"/>
        </w:rPr>
        <w:t xml:space="preserve">, tj. do liczby 122 mln </w:t>
      </w:r>
      <w:r>
        <w:rPr>
          <w:rFonts w:ascii="Times New Roman" w:hAnsi="Times New Roman"/>
          <w:noProof/>
          <w:sz w:val="24"/>
        </w:rPr>
        <w:t>osób, w porównaniu z 24,5 % w 2013 r. i 24,7 % w 2012 r. Mimo to wciąż jest on o 1 punkt procentowy wyższy niż w 2009 r. (23,3 %).</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b/>
          <w:noProof/>
          <w:sz w:val="24"/>
        </w:rPr>
        <w:t>Powodem zmian wskaźnika AROPE są w głównej mierze gospodarstwa domowe bez osób pracujących i pogłębiona deprywacja materialna</w:t>
      </w:r>
      <w:r>
        <w:rPr>
          <w:rFonts w:ascii="Times New Roman" w:hAnsi="Times New Roman"/>
          <w:noProof/>
          <w:sz w:val="24"/>
        </w:rPr>
        <w:t>. W 2013 r. wskaźnik pogłębionej deprywacji materialnej spadł nieznacznie do 9,6 % całej populacji. W oparciu o wstępne dane EUROSTATU za 2014 r.</w:t>
      </w:r>
      <w:r>
        <w:rPr>
          <w:rFonts w:ascii="Times New Roman" w:hAnsi="Times New Roman"/>
          <w:noProof/>
          <w:sz w:val="24"/>
          <w:vertAlign w:val="superscript"/>
        </w:rPr>
        <w:footnoteReference w:id="21"/>
      </w:r>
      <w:r>
        <w:rPr>
          <w:rFonts w:ascii="Times New Roman" w:hAnsi="Times New Roman"/>
          <w:noProof/>
          <w:sz w:val="24"/>
        </w:rPr>
        <w:t xml:space="preserve"> należy spodziewać się, że wskaźnik ten w dalszym ciągu spadał, ale pozostał znacznie powyżej poziomu 8,2 % z </w:t>
      </w:r>
      <w:r>
        <w:rPr>
          <w:rFonts w:ascii="Times New Roman" w:hAnsi="Times New Roman"/>
          <w:noProof/>
          <w:sz w:val="24"/>
        </w:rPr>
        <w:t>2009 r. (zob. wykres 15). Ponadto odsetek gospodarstw domowych bez osób pracujących wzrósł w 2013 r. do 10,8 %, czyli znacznie powyżej poziomu sprzed kryzysu, kiedy to wynosił 9,1 %. Odsetek ludności zagrożonej ubóstwem, który odnosi się do grupy osób otrz</w:t>
      </w:r>
      <w:r>
        <w:rPr>
          <w:rFonts w:ascii="Times New Roman" w:hAnsi="Times New Roman"/>
          <w:noProof/>
          <w:sz w:val="24"/>
        </w:rPr>
        <w:t>ymujących mniej niż 60 % mediany dochodu gospodarstw po uwzględnieniu transferów</w:t>
      </w:r>
      <w:r>
        <w:rPr>
          <w:rStyle w:val="Odwoanieprzypisudolnego"/>
          <w:rFonts w:ascii="Times New Roman" w:hAnsi="Times New Roman"/>
          <w:noProof/>
          <w:sz w:val="24"/>
        </w:rPr>
        <w:footnoteReference w:id="22"/>
      </w:r>
      <w:r>
        <w:rPr>
          <w:rFonts w:ascii="Times New Roman" w:hAnsi="Times New Roman"/>
          <w:noProof/>
          <w:sz w:val="24"/>
        </w:rPr>
        <w:t>, utrzymał się na stałym poziomie około 16,6 %, lecz progi ubóstwa, poniżej których osoby uważa się za zagrożone ubóstwem, nadal spadają, co wskazuje na ciągłe pogarszanie się</w:t>
      </w:r>
      <w:r>
        <w:rPr>
          <w:rFonts w:ascii="Times New Roman" w:hAnsi="Times New Roman"/>
          <w:noProof/>
          <w:sz w:val="24"/>
        </w:rPr>
        <w:t xml:space="preserve"> warunków życia. Stopień, w jakim można powstrzymać zagrożenie ubóstwem i wykluczeniem społecznym, jest uzależniony od automatycznych stabilizatorów na szczeblu krajowym.   </w:t>
      </w:r>
    </w:p>
    <w:p w:rsidR="000F2E63" w:rsidRDefault="0010263F">
      <w:pPr>
        <w:keepNext/>
        <w:tabs>
          <w:tab w:val="num" w:pos="720"/>
        </w:tabs>
        <w:spacing w:after="0" w:line="240" w:lineRule="auto"/>
        <w:jc w:val="both"/>
        <w:rPr>
          <w:rFonts w:ascii="Times New Roman" w:hAnsi="Times New Roman"/>
          <w:b/>
          <w:noProof/>
          <w:sz w:val="24"/>
          <w:szCs w:val="24"/>
        </w:rPr>
      </w:pPr>
      <w:r>
        <w:rPr>
          <w:rFonts w:ascii="Times New Roman" w:hAnsi="Times New Roman"/>
          <w:b/>
          <w:noProof/>
          <w:sz w:val="24"/>
        </w:rPr>
        <w:lastRenderedPageBreak/>
        <w:t>Wykres 15: Tendencje dotyczące ubóstwa i wykluczenia społecznego w UE</w:t>
      </w:r>
    </w:p>
    <w:p w:rsidR="000F2E63" w:rsidRDefault="0010263F">
      <w:pPr>
        <w:spacing w:after="0" w:line="240" w:lineRule="auto"/>
        <w:rPr>
          <w:rFonts w:ascii="Times New Roman" w:hAnsi="Times New Roman"/>
          <w:noProof/>
          <w:sz w:val="24"/>
          <w:szCs w:val="24"/>
        </w:rPr>
      </w:pPr>
      <w:r>
        <w:rPr>
          <w:noProof/>
        </w:rPr>
        <w:drawing>
          <wp:inline distT="0" distB="0" distL="0" distR="0">
            <wp:extent cx="5752465" cy="3309620"/>
            <wp:effectExtent l="0" t="0" r="63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2465" cy="3309620"/>
                    </a:xfrm>
                    <a:prstGeom prst="rect">
                      <a:avLst/>
                    </a:prstGeom>
                    <a:noFill/>
                    <a:ln>
                      <a:noFill/>
                    </a:ln>
                  </pic:spPr>
                </pic:pic>
              </a:graphicData>
            </a:graphic>
          </wp:inline>
        </w:drawing>
      </w:r>
    </w:p>
    <w:p w:rsidR="000F2E63" w:rsidRDefault="0010263F">
      <w:pPr>
        <w:pStyle w:val="Source"/>
        <w:rPr>
          <w:rFonts w:ascii="Times New Roman" w:hAnsi="Times New Roman"/>
          <w:noProof/>
          <w:sz w:val="20"/>
          <w:szCs w:val="20"/>
        </w:rPr>
      </w:pPr>
      <w:r>
        <w:rPr>
          <w:rFonts w:ascii="Times New Roman" w:hAnsi="Times New Roman"/>
          <w:noProof/>
          <w:sz w:val="20"/>
        </w:rPr>
        <w:t xml:space="preserve">Źródło: Eurostat, EU-SILC. </w:t>
      </w:r>
    </w:p>
    <w:p w:rsidR="000F2E63" w:rsidRDefault="0010263F">
      <w:pPr>
        <w:pStyle w:val="Source"/>
        <w:spacing w:line="240" w:lineRule="auto"/>
        <w:rPr>
          <w:rFonts w:ascii="Times New Roman" w:hAnsi="Times New Roman"/>
          <w:noProof/>
          <w:sz w:val="20"/>
          <w:szCs w:val="20"/>
        </w:rPr>
      </w:pPr>
      <w:r>
        <w:rPr>
          <w:rFonts w:ascii="Times New Roman" w:hAnsi="Times New Roman"/>
          <w:noProof/>
          <w:sz w:val="20"/>
        </w:rPr>
        <w:t>Uwaga: wstępne dane liczbowe za 2014 r. UE27 do 2009 r.; gospodarstwa domowe bez osób pracujących: % osób w wieku 0–59 lat; AROPE, AROP: dochód z roku poprzedniego; SMD: rok bieżący; gospodarstwa domowe bez osób pracujących: rok</w:t>
      </w:r>
      <w:r>
        <w:rPr>
          <w:rFonts w:ascii="Times New Roman" w:hAnsi="Times New Roman"/>
          <w:noProof/>
          <w:sz w:val="20"/>
        </w:rPr>
        <w:t xml:space="preserve"> poprzedni. </w:t>
      </w:r>
    </w:p>
    <w:p w:rsidR="000F2E63" w:rsidRDefault="000F2E63">
      <w:pPr>
        <w:spacing w:after="0" w:line="360" w:lineRule="auto"/>
        <w:jc w:val="both"/>
        <w:rPr>
          <w:rFonts w:ascii="Times New Roman" w:hAnsi="Times New Roman"/>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Dziewięć państw członkowskich zanotowało w latach 2013 i 2014 wskaźnik AROPE poniżej 20 % (Republika Czeska, Niderlandy, Finlandia, Szwecja, Francja, Austria, Dania, Luksemburg i Słowacja), który w większości pozostał na tym samym poziomie co</w:t>
      </w:r>
      <w:r>
        <w:rPr>
          <w:rFonts w:ascii="Times New Roman" w:hAnsi="Times New Roman"/>
          <w:noProof/>
          <w:sz w:val="24"/>
        </w:rPr>
        <w:t xml:space="preserve"> w roku 2009. Natomiast w sześciu państwach członkowskich krajowy wskaźnik AROPE wyniósł ponad 30 %, przy czym w czterech z nich zanotowano jego spadek w porównaniu z rokiem poprzednim (wykres 16). </w:t>
      </w:r>
    </w:p>
    <w:p w:rsidR="000F2E63" w:rsidRDefault="000F2E63">
      <w:pPr>
        <w:spacing w:after="0" w:line="360" w:lineRule="auto"/>
        <w:jc w:val="both"/>
        <w:rPr>
          <w:rFonts w:ascii="Times New Roman" w:hAnsi="Times New Roman"/>
          <w:noProof/>
          <w:sz w:val="24"/>
          <w:szCs w:val="24"/>
        </w:rPr>
      </w:pPr>
    </w:p>
    <w:p w:rsidR="000F2E63" w:rsidRDefault="0010263F">
      <w:pPr>
        <w:spacing w:after="0" w:line="240" w:lineRule="auto"/>
        <w:ind w:left="1440" w:hanging="1320"/>
        <w:jc w:val="both"/>
        <w:rPr>
          <w:rFonts w:ascii="Times New Roman" w:hAnsi="Times New Roman"/>
          <w:noProof/>
          <w:sz w:val="24"/>
          <w:szCs w:val="24"/>
        </w:rPr>
      </w:pPr>
      <w:r>
        <w:rPr>
          <w:rFonts w:ascii="Times New Roman" w:hAnsi="Times New Roman"/>
          <w:b/>
          <w:noProof/>
          <w:sz w:val="24"/>
        </w:rPr>
        <w:t>Wykres 16: Wskaźnik zagrożenia ubóstwem lub wykluczeniem</w:t>
      </w:r>
      <w:r>
        <w:rPr>
          <w:rFonts w:ascii="Times New Roman" w:hAnsi="Times New Roman"/>
          <w:b/>
          <w:noProof/>
          <w:sz w:val="24"/>
        </w:rPr>
        <w:t xml:space="preserve"> społecznym (AROPE) w % ludności ogółem </w:t>
      </w:r>
    </w:p>
    <w:p w:rsidR="000F2E63" w:rsidRDefault="0010263F">
      <w:pPr>
        <w:spacing w:after="0" w:line="360" w:lineRule="auto"/>
        <w:jc w:val="both"/>
        <w:rPr>
          <w:rFonts w:ascii="Times New Roman" w:hAnsi="Times New Roman"/>
          <w:noProof/>
          <w:sz w:val="24"/>
          <w:szCs w:val="24"/>
        </w:rPr>
      </w:pPr>
      <w:r>
        <w:rPr>
          <w:noProof/>
        </w:rPr>
        <w:lastRenderedPageBreak/>
        <w:drawing>
          <wp:inline distT="0" distB="0" distL="0" distR="0">
            <wp:extent cx="5766435" cy="2914015"/>
            <wp:effectExtent l="0" t="0" r="571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6435" cy="2914015"/>
                    </a:xfrm>
                    <a:prstGeom prst="rect">
                      <a:avLst/>
                    </a:prstGeom>
                    <a:noFill/>
                    <a:ln>
                      <a:noFill/>
                    </a:ln>
                  </pic:spPr>
                </pic:pic>
              </a:graphicData>
            </a:graphic>
          </wp:inline>
        </w:drawing>
      </w:r>
    </w:p>
    <w:p w:rsidR="000F2E63" w:rsidRDefault="0010263F">
      <w:pPr>
        <w:spacing w:after="0" w:line="360" w:lineRule="auto"/>
        <w:jc w:val="both"/>
        <w:rPr>
          <w:rFonts w:ascii="Times New Roman" w:hAnsi="Times New Roman"/>
          <w:noProof/>
          <w:sz w:val="20"/>
          <w:szCs w:val="20"/>
          <w:u w:val="single"/>
        </w:rPr>
      </w:pPr>
      <w:r>
        <w:rPr>
          <w:rFonts w:ascii="Times New Roman" w:hAnsi="Times New Roman"/>
          <w:noProof/>
          <w:sz w:val="20"/>
        </w:rPr>
        <w:t xml:space="preserve">Źródło: Eurostat, EU-SILC. </w:t>
      </w:r>
    </w:p>
    <w:p w:rsidR="000F2E63" w:rsidRDefault="000F2E63">
      <w:pPr>
        <w:spacing w:after="0" w:line="360" w:lineRule="auto"/>
        <w:jc w:val="both"/>
        <w:rPr>
          <w:rFonts w:ascii="Times New Roman" w:hAnsi="Times New Roman"/>
          <w:b/>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Najbardziej zagrożone ubóstwem i wykluczeniem społecznym były osoby w wieku produkcyjnym i ich dzieci</w:t>
      </w:r>
      <w:r>
        <w:rPr>
          <w:rFonts w:ascii="Times New Roman" w:hAnsi="Times New Roman"/>
          <w:noProof/>
          <w:sz w:val="24"/>
        </w:rPr>
        <w:t>, natomiast osoby starsze były lepiej chronione dzięki względnej stabilności emerytur w porównaniu z dochodami z zatrudnienia (wykres 17). Ryzyko ubóstwa i wykluczenia społecznego ludności w wieku produkcyjnym zwiększyło się z 23 % w 2008 r. do 25,3 % w 20</w:t>
      </w:r>
      <w:r>
        <w:rPr>
          <w:rFonts w:ascii="Times New Roman" w:hAnsi="Times New Roman"/>
          <w:noProof/>
          <w:sz w:val="24"/>
        </w:rPr>
        <w:t>13 r. z powodu utraty zatrudnienia oraz rosnącego ubóstwa pracujących.  Mężczyźni nadal są narażeni na nieco niższe ryzyko ubóstwa lub wykluczenia społecznego niż kobiety w 28 państwach członkowskich UE w 2013 r.: wskaźnik AROPE dla mężczyzn wynosił 23,6 %</w:t>
      </w:r>
      <w:r>
        <w:rPr>
          <w:rFonts w:ascii="Times New Roman" w:hAnsi="Times New Roman"/>
          <w:noProof/>
          <w:sz w:val="24"/>
        </w:rPr>
        <w:t xml:space="preserve">, zaś dla kobiet 25,4 %. </w:t>
      </w:r>
    </w:p>
    <w:p w:rsidR="000F2E63" w:rsidRDefault="000F2E63">
      <w:pPr>
        <w:spacing w:after="0" w:line="360" w:lineRule="auto"/>
        <w:jc w:val="both"/>
        <w:rPr>
          <w:rFonts w:ascii="Times New Roman" w:hAnsi="Times New Roman"/>
          <w:noProof/>
          <w:sz w:val="24"/>
          <w:szCs w:val="24"/>
        </w:rPr>
      </w:pPr>
    </w:p>
    <w:p w:rsidR="000F2E63" w:rsidRDefault="0010263F">
      <w:pPr>
        <w:keepNext/>
        <w:tabs>
          <w:tab w:val="num" w:pos="720"/>
        </w:tabs>
        <w:spacing w:after="0" w:line="240" w:lineRule="auto"/>
        <w:ind w:left="1200" w:hanging="1200"/>
        <w:jc w:val="both"/>
        <w:rPr>
          <w:rFonts w:ascii="Times New Roman" w:hAnsi="Times New Roman"/>
          <w:b/>
          <w:noProof/>
          <w:sz w:val="24"/>
          <w:szCs w:val="24"/>
        </w:rPr>
      </w:pPr>
      <w:r>
        <w:rPr>
          <w:rFonts w:ascii="Times New Roman" w:hAnsi="Times New Roman"/>
          <w:b/>
          <w:noProof/>
          <w:sz w:val="24"/>
        </w:rPr>
        <w:lastRenderedPageBreak/>
        <w:t>Wykres 17: Zagrożenie ubóstwem i wykluczeniem społecznym w podziale na grupy wiekowe, sytuację zawodową i poziom umiejętności w 2008 r. i zmiana w latach 2008–2013</w:t>
      </w:r>
    </w:p>
    <w:p w:rsidR="000F2E63" w:rsidRDefault="000F2E63">
      <w:pPr>
        <w:keepNext/>
        <w:tabs>
          <w:tab w:val="num" w:pos="720"/>
        </w:tabs>
        <w:spacing w:after="0" w:line="240" w:lineRule="auto"/>
        <w:jc w:val="both"/>
        <w:rPr>
          <w:rFonts w:ascii="Times New Roman" w:hAnsi="Times New Roman"/>
          <w:b/>
          <w:noProof/>
          <w:sz w:val="24"/>
          <w:szCs w:val="24"/>
        </w:rPr>
      </w:pPr>
    </w:p>
    <w:p w:rsidR="000F2E63" w:rsidRDefault="0010263F">
      <w:pPr>
        <w:spacing w:after="0" w:line="240" w:lineRule="auto"/>
        <w:rPr>
          <w:rFonts w:ascii="Times New Roman" w:hAnsi="Times New Roman"/>
          <w:noProof/>
          <w:sz w:val="24"/>
          <w:szCs w:val="24"/>
        </w:rPr>
      </w:pPr>
      <w:r>
        <w:rPr>
          <w:rFonts w:ascii="Times New Roman" w:hAnsi="Times New Roman"/>
          <w:noProof/>
          <w:sz w:val="24"/>
        </w:rPr>
        <w:t xml:space="preserve">         </w:t>
      </w:r>
      <w:r>
        <w:rPr>
          <w:noProof/>
        </w:rPr>
        <w:drawing>
          <wp:inline distT="0" distB="0" distL="0" distR="0">
            <wp:extent cx="5274945" cy="3541395"/>
            <wp:effectExtent l="0" t="0" r="1905" b="190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945" cy="3541395"/>
                    </a:xfrm>
                    <a:prstGeom prst="rect">
                      <a:avLst/>
                    </a:prstGeom>
                    <a:noFill/>
                    <a:ln>
                      <a:noFill/>
                    </a:ln>
                  </pic:spPr>
                </pic:pic>
              </a:graphicData>
            </a:graphic>
          </wp:inline>
        </w:drawing>
      </w:r>
    </w:p>
    <w:p w:rsidR="000F2E63" w:rsidRDefault="0010263F">
      <w:pPr>
        <w:pStyle w:val="Source"/>
        <w:rPr>
          <w:rFonts w:ascii="Times New Roman" w:hAnsi="Times New Roman"/>
          <w:noProof/>
          <w:sz w:val="20"/>
          <w:szCs w:val="20"/>
        </w:rPr>
      </w:pPr>
      <w:r>
        <w:rPr>
          <w:rFonts w:ascii="Times New Roman" w:hAnsi="Times New Roman"/>
          <w:noProof/>
          <w:sz w:val="20"/>
        </w:rPr>
        <w:t xml:space="preserve">           Źródło: Eurostat, EU-SILC.</w:t>
      </w:r>
    </w:p>
    <w:p w:rsidR="000F2E63" w:rsidRDefault="0010263F">
      <w:pPr>
        <w:autoSpaceDE w:val="0"/>
        <w:autoSpaceDN w:val="0"/>
        <w:adjustRightInd w:val="0"/>
        <w:spacing w:after="0" w:line="360" w:lineRule="auto"/>
        <w:jc w:val="both"/>
        <w:rPr>
          <w:rFonts w:ascii="Times New Roman" w:eastAsia="MS Mincho" w:hAnsi="Times New Roman"/>
          <w:bCs/>
          <w:noProof/>
          <w:sz w:val="24"/>
          <w:szCs w:val="24"/>
        </w:rPr>
      </w:pPr>
      <w:r>
        <w:rPr>
          <w:rFonts w:ascii="Times New Roman" w:hAnsi="Times New Roman"/>
          <w:noProof/>
          <w:sz w:val="24"/>
        </w:rPr>
        <w:t xml:space="preserve">Jeśli chodzi o </w:t>
      </w:r>
      <w:r>
        <w:rPr>
          <w:rFonts w:ascii="Times New Roman" w:hAnsi="Times New Roman"/>
          <w:noProof/>
          <w:sz w:val="24"/>
        </w:rPr>
        <w:t>osoby w wieku produkcyjnym (grupa wiekowa 18–64 lat), dane z tablicy wyników zawierającej kluczowe wskaźniki zatrudnienia i wskaźniki społeczne wskazują, że trzy kraje ze wskaźnikiem zagrożenia ubóstwem (AROP) na poziomie powyżej lub blisko średniej UE (Cy</w:t>
      </w:r>
      <w:r>
        <w:rPr>
          <w:rFonts w:ascii="Times New Roman" w:hAnsi="Times New Roman"/>
          <w:noProof/>
          <w:sz w:val="24"/>
        </w:rPr>
        <w:t>pr, Portugalia i Rumunia) odnotowały dalszy wzrost w roku 2013. Na Cyprze i w Portugalii skala wzrostu była wysoka (odpowiednio 2,2 i 1,5 p.p.). Inne państwa o poziomie ubóstwa znacznie wyższym niż średnia (Grecja, Hiszpania i Litwa) nie odnotowały żadnych</w:t>
      </w:r>
      <w:r>
        <w:rPr>
          <w:rFonts w:ascii="Times New Roman" w:hAnsi="Times New Roman"/>
          <w:noProof/>
          <w:sz w:val="24"/>
        </w:rPr>
        <w:t xml:space="preserve"> statystycznie istotnych tendencji spadkowych; ich sytuacja jest więc nadal krytyczna. Wśród krajów mających stosunkowo niski poziom zagrożenia ubóstwem należało baczniej przyjrzeć się sytuacji Malty i Szwecji, gdyż zanotowano tam wzrost znacznie wyższy ni</w:t>
      </w:r>
      <w:r>
        <w:rPr>
          <w:rFonts w:ascii="Times New Roman" w:hAnsi="Times New Roman"/>
          <w:noProof/>
          <w:sz w:val="24"/>
        </w:rPr>
        <w:t>ż średni. Jak przedstawiono na wykresie 18</w:t>
      </w:r>
      <w:r>
        <w:rPr>
          <w:rStyle w:val="Odwoanieprzypisudolnego"/>
          <w:rFonts w:ascii="Times New Roman" w:hAnsi="Times New Roman"/>
          <w:noProof/>
          <w:sz w:val="24"/>
        </w:rPr>
        <w:footnoteReference w:id="23"/>
      </w:r>
      <w:r>
        <w:rPr>
          <w:rFonts w:ascii="Times New Roman" w:hAnsi="Times New Roman"/>
          <w:noProof/>
          <w:sz w:val="24"/>
        </w:rPr>
        <w:t>, dodatnie nachylenie linii spadku wskazuje na rozbieżne tendencje w państwach członkowskich.</w:t>
      </w:r>
    </w:p>
    <w:p w:rsidR="000F2E63" w:rsidRDefault="000F2E63">
      <w:pPr>
        <w:autoSpaceDE w:val="0"/>
        <w:autoSpaceDN w:val="0"/>
        <w:adjustRightInd w:val="0"/>
        <w:spacing w:after="0" w:line="360" w:lineRule="auto"/>
        <w:jc w:val="both"/>
        <w:rPr>
          <w:rFonts w:ascii="Times New Roman" w:eastAsia="MS Mincho" w:hAnsi="Times New Roman"/>
          <w:b/>
          <w:bCs/>
          <w:noProof/>
          <w:sz w:val="24"/>
          <w:szCs w:val="24"/>
        </w:rPr>
      </w:pPr>
    </w:p>
    <w:p w:rsidR="000F2E63" w:rsidRDefault="0010263F">
      <w:pPr>
        <w:rPr>
          <w:rFonts w:ascii="Times New Roman" w:eastAsia="MS Mincho" w:hAnsi="Times New Roman"/>
          <w:b/>
          <w:bCs/>
          <w:noProof/>
          <w:sz w:val="24"/>
          <w:szCs w:val="24"/>
        </w:rPr>
      </w:pPr>
      <w:r>
        <w:rPr>
          <w:noProof/>
        </w:rPr>
        <w:br w:type="page"/>
      </w:r>
    </w:p>
    <w:p w:rsidR="000F2E63" w:rsidRDefault="0010263F">
      <w:pPr>
        <w:autoSpaceDE w:val="0"/>
        <w:autoSpaceDN w:val="0"/>
        <w:adjustRightInd w:val="0"/>
        <w:spacing w:after="0" w:line="240" w:lineRule="auto"/>
        <w:ind w:left="1200" w:hanging="1200"/>
        <w:jc w:val="both"/>
        <w:rPr>
          <w:rFonts w:ascii="Times New Roman" w:eastAsia="MS Mincho" w:hAnsi="Times New Roman"/>
          <w:b/>
          <w:bCs/>
          <w:noProof/>
          <w:sz w:val="24"/>
          <w:szCs w:val="24"/>
        </w:rPr>
      </w:pPr>
      <w:r>
        <w:rPr>
          <w:rFonts w:ascii="Times New Roman" w:hAnsi="Times New Roman"/>
          <w:b/>
          <w:noProof/>
          <w:sz w:val="24"/>
        </w:rPr>
        <w:t xml:space="preserve">Wykres 18: Wskaźnik zagrożenia ubóstwem ludności w wieku produkcyjnym (18–64 lata), jak przedstawiono w tablicy </w:t>
      </w:r>
      <w:r>
        <w:rPr>
          <w:rFonts w:ascii="Times New Roman" w:hAnsi="Times New Roman"/>
          <w:b/>
          <w:noProof/>
          <w:sz w:val="24"/>
        </w:rPr>
        <w:t>wyników zawierającej kluczowe wskaźniki zatrudnienia i wskaźniki społeczne</w:t>
      </w:r>
    </w:p>
    <w:p w:rsidR="000F2E63" w:rsidRDefault="0010263F">
      <w:pPr>
        <w:spacing w:after="0" w:line="360" w:lineRule="auto"/>
        <w:jc w:val="center"/>
        <w:rPr>
          <w:rFonts w:ascii="Times New Roman" w:eastAsia="MS Mincho" w:hAnsi="Times New Roman"/>
          <w:bCs/>
          <w:i/>
          <w:noProof/>
          <w:sz w:val="24"/>
          <w:szCs w:val="24"/>
        </w:rPr>
      </w:pPr>
      <w:r>
        <w:rPr>
          <w:noProof/>
        </w:rPr>
        <w:drawing>
          <wp:inline distT="0" distB="0" distL="0" distR="0">
            <wp:extent cx="4592320" cy="4087495"/>
            <wp:effectExtent l="0" t="0" r="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2320" cy="4087495"/>
                    </a:xfrm>
                    <a:prstGeom prst="rect">
                      <a:avLst/>
                    </a:prstGeom>
                    <a:noFill/>
                    <a:ln>
                      <a:noFill/>
                    </a:ln>
                  </pic:spPr>
                </pic:pic>
              </a:graphicData>
            </a:graphic>
          </wp:inline>
        </w:drawing>
      </w:r>
    </w:p>
    <w:p w:rsidR="000F2E63" w:rsidRDefault="0010263F">
      <w:pPr>
        <w:spacing w:after="0" w:line="240" w:lineRule="auto"/>
        <w:rPr>
          <w:rFonts w:ascii="Times New Roman" w:eastAsia="MS Mincho" w:hAnsi="Times New Roman"/>
          <w:noProof/>
          <w:sz w:val="20"/>
          <w:szCs w:val="20"/>
        </w:rPr>
      </w:pPr>
      <w:r>
        <w:rPr>
          <w:rFonts w:ascii="Times New Roman" w:hAnsi="Times New Roman"/>
          <w:noProof/>
          <w:sz w:val="20"/>
        </w:rPr>
        <w:t>Źródło: Eurostat, EU-SILC (obliczenia DG EMPL). Okres: poziom w 2013 r. i zmiany w okresie 2012–2013.</w:t>
      </w:r>
    </w:p>
    <w:p w:rsidR="000F2E63" w:rsidRDefault="0010263F">
      <w:pPr>
        <w:spacing w:after="0" w:line="240" w:lineRule="auto"/>
        <w:jc w:val="both"/>
        <w:rPr>
          <w:rFonts w:ascii="Times New Roman" w:eastAsia="MS Mincho" w:hAnsi="Times New Roman"/>
          <w:noProof/>
          <w:sz w:val="20"/>
          <w:szCs w:val="20"/>
        </w:rPr>
      </w:pPr>
      <w:r>
        <w:rPr>
          <w:rFonts w:ascii="Times New Roman" w:hAnsi="Times New Roman"/>
          <w:noProof/>
          <w:sz w:val="20"/>
        </w:rPr>
        <w:t>Uwaga: osie krzyżują się na nieważonej średniej dla UE28. UE28 i SE19 odnoszą</w:t>
      </w:r>
      <w:r>
        <w:rPr>
          <w:rFonts w:ascii="Times New Roman" w:hAnsi="Times New Roman"/>
          <w:noProof/>
          <w:sz w:val="20"/>
        </w:rPr>
        <w:t xml:space="preserve"> się do odpowiednich średnich ważonych. Legenda znajduje się w załączniku. Statystycznie nieistotne zmiany i różnice w stosunku do (nieważonej) średniej UE wyrażono jako zero. Informacje dotyczące metodyki można znaleźć w załączniku. </w:t>
      </w:r>
    </w:p>
    <w:p w:rsidR="000F2E63" w:rsidRDefault="000F2E63">
      <w:pPr>
        <w:spacing w:after="0" w:line="240" w:lineRule="auto"/>
        <w:jc w:val="both"/>
        <w:rPr>
          <w:rFonts w:ascii="Times New Roman" w:hAnsi="Times New Roman"/>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Bezrobotni są najbar</w:t>
      </w:r>
      <w:r>
        <w:rPr>
          <w:rFonts w:ascii="Times New Roman" w:hAnsi="Times New Roman"/>
          <w:b/>
          <w:noProof/>
          <w:sz w:val="24"/>
        </w:rPr>
        <w:t xml:space="preserve">dziej zagrożeni ubóstwem i wykluczeniem, ale podczas kryzysu wzrosło również ubóstwo pracujących, nawet jeśli wskaźnik zagrożenia ubóstwem pracujących średni dla 28 państw członkowskich UE ustabilizował się w 2013 r. na poziomie 8,9 % w porównaniu z 9,0 % </w:t>
      </w:r>
      <w:r>
        <w:rPr>
          <w:rFonts w:ascii="Times New Roman" w:hAnsi="Times New Roman"/>
          <w:b/>
          <w:noProof/>
          <w:sz w:val="24"/>
        </w:rPr>
        <w:t>w 2012 r.</w:t>
      </w:r>
      <w:r>
        <w:rPr>
          <w:rFonts w:ascii="Times New Roman" w:hAnsi="Times New Roman"/>
          <w:noProof/>
          <w:sz w:val="24"/>
        </w:rPr>
        <w:t xml:space="preserve"> Wskaźnik ubóstwa pracujących wahał się od 3,7 % w Finlandii do 18 % w Rumunii. Spadek bezrobocia przyczyni się do ograniczenia poziomu ubóstwa, ale tylko połowa ludzi ubogich, którzy znajdą pracę, zdoła rzeczywiście wydostać się z ubóstwa</w:t>
      </w:r>
      <w:r>
        <w:rPr>
          <w:rStyle w:val="Odwoanieprzypisudolnego"/>
          <w:rFonts w:ascii="Times New Roman" w:hAnsi="Times New Roman"/>
          <w:noProof/>
          <w:sz w:val="24"/>
        </w:rPr>
        <w:footnoteReference w:id="24"/>
      </w:r>
      <w:r>
        <w:rPr>
          <w:rFonts w:ascii="Times New Roman" w:hAnsi="Times New Roman"/>
          <w:noProof/>
          <w:sz w:val="24"/>
        </w:rPr>
        <w:t>. Wpływ</w:t>
      </w:r>
      <w:r>
        <w:rPr>
          <w:rFonts w:ascii="Times New Roman" w:hAnsi="Times New Roman"/>
          <w:noProof/>
          <w:sz w:val="24"/>
        </w:rPr>
        <w:t xml:space="preserve"> tworzenia miejsc pracy i wzrostu zatrudnienia na poziom ubóstwa zależy w rzeczywistości od tego, czy nowe miejsca pracy oferują płacę zapewniającą utrzymanie na minimalnym poziomie (zarówno pod względem liczby godzin pracy, jak i </w:t>
      </w:r>
      <w:r>
        <w:rPr>
          <w:rFonts w:ascii="Times New Roman" w:hAnsi="Times New Roman"/>
          <w:noProof/>
          <w:sz w:val="24"/>
        </w:rPr>
        <w:lastRenderedPageBreak/>
        <w:t>wynagrodzenia za godzinę)</w:t>
      </w:r>
      <w:r>
        <w:rPr>
          <w:rFonts w:ascii="Times New Roman" w:hAnsi="Times New Roman"/>
          <w:noProof/>
          <w:sz w:val="24"/>
        </w:rPr>
        <w:t>, oraz od tego, czy skorzystają z nich gospodarstwa domowe, gdzie pracy jest pod dostatkiem, czy te, gdzie jest jej mało.</w:t>
      </w:r>
    </w:p>
    <w:p w:rsidR="000F2E63" w:rsidRDefault="000F2E63">
      <w:pPr>
        <w:spacing w:after="0" w:line="360" w:lineRule="auto"/>
        <w:jc w:val="both"/>
        <w:rPr>
          <w:rFonts w:ascii="Times New Roman" w:hAnsi="Times New Roman"/>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noProof/>
          <w:sz w:val="24"/>
        </w:rPr>
        <w:t>Wskaźnik zagrożenia ubóstwem lub wykluczeniem społecznym dzieci ustabilizował się w 2013 r. w większości krajów, ale nadal jest on bardzo wysoki i wynosi 27,7 %, zaś odsetek dzieci w gospodarstwach domowych bez osób pracujących nadal rośnie (9,7 % w UE w 2</w:t>
      </w:r>
      <w:r>
        <w:rPr>
          <w:rFonts w:ascii="Times New Roman" w:hAnsi="Times New Roman"/>
          <w:noProof/>
          <w:sz w:val="24"/>
        </w:rPr>
        <w:t>013 r.). Poziom życia dzieci zależy w dużej mierze od sytuacji zawodowej rodziców. Dzieci mieszkające w gospodarstwach domowych bez osób pracujących, w rodzinach niepełnych lub z tylko jednym rodzicem pracującym są w znacznie większym stopniu zagrożone ubó</w:t>
      </w:r>
      <w:r>
        <w:rPr>
          <w:rFonts w:ascii="Times New Roman" w:hAnsi="Times New Roman"/>
          <w:noProof/>
          <w:sz w:val="24"/>
        </w:rPr>
        <w:t>stwem. W wielu krajach do zmniejszenia ryzyka ubóstwa dzieci przyczyniają się świadczenia pieniężne, które w różnym stopniu kompensują brak dochodów z zatrudnienia (od mniej niż 20 % w Grecji i Rumunii do ponad 50 % w Szwecji, Niemczech, Austrii, Zjednoczo</w:t>
      </w:r>
      <w:r>
        <w:rPr>
          <w:rFonts w:ascii="Times New Roman" w:hAnsi="Times New Roman"/>
          <w:noProof/>
          <w:sz w:val="24"/>
        </w:rPr>
        <w:t xml:space="preserve">nym Królestwie i Irlandii). </w:t>
      </w:r>
    </w:p>
    <w:p w:rsidR="000F2E63" w:rsidRDefault="000F2E63">
      <w:pPr>
        <w:spacing w:after="0" w:line="360" w:lineRule="auto"/>
        <w:jc w:val="both"/>
        <w:rPr>
          <w:rFonts w:ascii="Times New Roman" w:hAnsi="Times New Roman"/>
          <w:b/>
          <w:noProof/>
          <w:sz w:val="24"/>
          <w:szCs w:val="24"/>
        </w:rPr>
      </w:pP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 xml:space="preserve">Osoby niepełnosprawne często dotknięte są wyższym wskaźnikiem AROPE </w:t>
      </w:r>
      <w:r>
        <w:rPr>
          <w:rFonts w:ascii="Times New Roman" w:hAnsi="Times New Roman"/>
          <w:noProof/>
          <w:sz w:val="24"/>
        </w:rPr>
        <w:t>(30% w 2013), a ryzyko wzrasta wraz ze stopniem niepełnosprawności (ciężka – umiarkowana). Różnica między wskaźnikami AROPE dla osób sprawnych i niepełnospraw</w:t>
      </w:r>
      <w:r>
        <w:rPr>
          <w:rFonts w:ascii="Times New Roman" w:hAnsi="Times New Roman"/>
          <w:noProof/>
          <w:sz w:val="24"/>
        </w:rPr>
        <w:t xml:space="preserve">nych nie maleje (8,5 p.p. w UE). </w:t>
      </w:r>
      <w:r>
        <w:rPr>
          <w:rFonts w:ascii="Times New Roman" w:hAnsi="Times New Roman"/>
          <w:b/>
          <w:noProof/>
          <w:sz w:val="24"/>
        </w:rPr>
        <w:t xml:space="preserve">Poziom wykształcenia jest nadal głównym czynnikiem napędowym różnic w stopniu ubóstwa dochodowego. </w:t>
      </w:r>
      <w:r>
        <w:rPr>
          <w:rFonts w:ascii="Times New Roman" w:hAnsi="Times New Roman"/>
          <w:noProof/>
          <w:sz w:val="24"/>
        </w:rPr>
        <w:t>Wskaźniki AROP dla osób z wykształceniem wyższym (poziomy 5 i 6) były na poziomie poniżej jednej trzeciej wartości wskaźnikó</w:t>
      </w:r>
      <w:r>
        <w:rPr>
          <w:rFonts w:ascii="Times New Roman" w:hAnsi="Times New Roman"/>
          <w:noProof/>
          <w:sz w:val="24"/>
        </w:rPr>
        <w:t>w AROP dla osób z wykształceniem podstawowym lub średnim I stopnia. W 2013 r. wynosiły one odpowiednio 7,5 % oraz 23,7 % (ogółem 13,0 %). Dla osób z wykształceniem średnim II stopnia odnośny wskaźnik wyniósł 14,5 %.</w:t>
      </w:r>
    </w:p>
    <w:p w:rsidR="000F2E63" w:rsidRDefault="000F2E63">
      <w:pPr>
        <w:spacing w:after="0" w:line="360" w:lineRule="auto"/>
        <w:jc w:val="both"/>
        <w:rPr>
          <w:rFonts w:ascii="Times New Roman" w:hAnsi="Times New Roman"/>
          <w:noProof/>
          <w:sz w:val="24"/>
          <w:szCs w:val="24"/>
        </w:rPr>
      </w:pPr>
    </w:p>
    <w:p w:rsidR="000F2E63" w:rsidRDefault="0010263F">
      <w:pPr>
        <w:widowControl w:val="0"/>
        <w:autoSpaceDE w:val="0"/>
        <w:autoSpaceDN w:val="0"/>
        <w:adjustRightInd w:val="0"/>
        <w:spacing w:after="0" w:line="360" w:lineRule="auto"/>
        <w:jc w:val="both"/>
        <w:rPr>
          <w:rFonts w:ascii="Times New Roman" w:eastAsia="MS Mincho" w:hAnsi="Times New Roman"/>
          <w:bCs/>
          <w:noProof/>
          <w:sz w:val="24"/>
          <w:szCs w:val="24"/>
        </w:rPr>
      </w:pPr>
      <w:r>
        <w:rPr>
          <w:rFonts w:ascii="Times New Roman" w:hAnsi="Times New Roman"/>
          <w:b/>
          <w:noProof/>
          <w:sz w:val="24"/>
        </w:rPr>
        <w:t>Nierówności w dochodach utrzymały się w</w:t>
      </w:r>
      <w:r>
        <w:rPr>
          <w:rFonts w:ascii="Times New Roman" w:hAnsi="Times New Roman"/>
          <w:b/>
          <w:noProof/>
          <w:sz w:val="24"/>
        </w:rPr>
        <w:t xml:space="preserve"> 2013 r. w większości na stabilnym poziomie.</w:t>
      </w:r>
      <w:r>
        <w:rPr>
          <w:rFonts w:ascii="Times New Roman" w:hAnsi="Times New Roman"/>
          <w:noProof/>
          <w:sz w:val="24"/>
        </w:rPr>
        <w:t xml:space="preserve"> Wskaźnik S80/S20</w:t>
      </w:r>
      <w:r>
        <w:rPr>
          <w:rStyle w:val="Odwoanieprzypisudolnego"/>
          <w:rFonts w:ascii="Times New Roman" w:hAnsi="Times New Roman"/>
          <w:noProof/>
          <w:sz w:val="24"/>
        </w:rPr>
        <w:footnoteReference w:id="25"/>
      </w:r>
      <w:r>
        <w:rPr>
          <w:rFonts w:ascii="Times New Roman" w:hAnsi="Times New Roman"/>
          <w:noProof/>
          <w:sz w:val="24"/>
        </w:rPr>
        <w:t xml:space="preserve"> uwzględniony w tablicy wyników zawierającej kluczowe wskaźniki zatrudnienia i wskaźniki społeczne w strefie euro nieznacznie się zwiększył (o 0,1 p.p.), natomiast w UE28 pozostał niemalże na ty</w:t>
      </w:r>
      <w:r>
        <w:rPr>
          <w:rFonts w:ascii="Times New Roman" w:hAnsi="Times New Roman"/>
          <w:noProof/>
          <w:sz w:val="24"/>
        </w:rPr>
        <w:t xml:space="preserve">m samym poziomie (wykres 19). Odnotowano jednak szerokie i rosnące rozproszenie wartości nierówności między poszczególnymi krajami, między innymi na skutek różnego wpływu kryzysu na zatrudnienie i dochody do dyspozycji gospodarstw domowych, różnic funkcji </w:t>
      </w:r>
      <w:r>
        <w:rPr>
          <w:rFonts w:ascii="Times New Roman" w:hAnsi="Times New Roman"/>
          <w:noProof/>
          <w:sz w:val="24"/>
        </w:rPr>
        <w:t xml:space="preserve">redystrybucyjnej systemów podatkowych i systemów </w:t>
      </w:r>
      <w:r>
        <w:rPr>
          <w:rFonts w:ascii="Times New Roman" w:hAnsi="Times New Roman"/>
          <w:noProof/>
          <w:sz w:val="24"/>
        </w:rPr>
        <w:lastRenderedPageBreak/>
        <w:t>świadczeń, a także różnic między krajowymi systemami zabezpieczenia społecznego. Najwyższe wartości nierówności odnotowano w Portugalii, na Litwie, w Hiszpanii, na Łotwie, w Grecji, Bułgarii i Rumunii, które</w:t>
      </w:r>
      <w:r>
        <w:rPr>
          <w:rFonts w:ascii="Times New Roman" w:hAnsi="Times New Roman"/>
          <w:noProof/>
          <w:sz w:val="24"/>
        </w:rPr>
        <w:t xml:space="preserve"> to kraje wykazują wskaźnik S80/S20 wyższy niż sześć. Istotny wzrost wśród tych krajów odnotowano na Litwie i w Bułgarii. Również w Luksemburgu miał w 2013 r. miejsce wzrost nierówności w dochodach znacznie wyższy niż średni, aczkolwiek ich poziom utrzymał</w:t>
      </w:r>
      <w:r>
        <w:rPr>
          <w:rFonts w:ascii="Times New Roman" w:hAnsi="Times New Roman"/>
          <w:noProof/>
          <w:sz w:val="24"/>
        </w:rPr>
        <w:t xml:space="preserve"> się na stosunkowo niskim poziomie.</w:t>
      </w:r>
    </w:p>
    <w:p w:rsidR="000F2E63" w:rsidRDefault="000F2E63">
      <w:pPr>
        <w:widowControl w:val="0"/>
        <w:autoSpaceDE w:val="0"/>
        <w:autoSpaceDN w:val="0"/>
        <w:adjustRightInd w:val="0"/>
        <w:spacing w:after="0" w:line="360" w:lineRule="auto"/>
        <w:jc w:val="both"/>
        <w:rPr>
          <w:rFonts w:ascii="Times New Roman" w:eastAsia="MS Mincho" w:hAnsi="Times New Roman"/>
          <w:bCs/>
          <w:noProof/>
          <w:sz w:val="24"/>
          <w:szCs w:val="24"/>
        </w:rPr>
      </w:pPr>
    </w:p>
    <w:p w:rsidR="000F2E63" w:rsidRDefault="000F2E63">
      <w:pPr>
        <w:widowControl w:val="0"/>
        <w:autoSpaceDE w:val="0"/>
        <w:autoSpaceDN w:val="0"/>
        <w:adjustRightInd w:val="0"/>
        <w:spacing w:after="0" w:line="360" w:lineRule="auto"/>
        <w:jc w:val="both"/>
        <w:rPr>
          <w:rFonts w:ascii="Times New Roman" w:eastAsia="MS Mincho" w:hAnsi="Times New Roman"/>
          <w:b/>
          <w:bCs/>
          <w:noProof/>
          <w:sz w:val="24"/>
          <w:szCs w:val="24"/>
        </w:rPr>
      </w:pPr>
    </w:p>
    <w:p w:rsidR="000F2E63" w:rsidRDefault="000F2E63">
      <w:pPr>
        <w:widowControl w:val="0"/>
        <w:autoSpaceDE w:val="0"/>
        <w:autoSpaceDN w:val="0"/>
        <w:adjustRightInd w:val="0"/>
        <w:spacing w:after="0" w:line="360" w:lineRule="auto"/>
        <w:jc w:val="both"/>
        <w:rPr>
          <w:rFonts w:ascii="Times New Roman" w:eastAsia="MS Mincho" w:hAnsi="Times New Roman"/>
          <w:b/>
          <w:bCs/>
          <w:noProof/>
          <w:sz w:val="24"/>
          <w:szCs w:val="24"/>
        </w:rPr>
      </w:pPr>
    </w:p>
    <w:p w:rsidR="000F2E63" w:rsidRDefault="000F2E63">
      <w:pPr>
        <w:widowControl w:val="0"/>
        <w:autoSpaceDE w:val="0"/>
        <w:autoSpaceDN w:val="0"/>
        <w:adjustRightInd w:val="0"/>
        <w:spacing w:after="0" w:line="360" w:lineRule="auto"/>
        <w:jc w:val="both"/>
        <w:rPr>
          <w:rFonts w:ascii="Times New Roman" w:eastAsia="MS Mincho" w:hAnsi="Times New Roman"/>
          <w:b/>
          <w:bCs/>
          <w:noProof/>
          <w:sz w:val="24"/>
          <w:szCs w:val="24"/>
        </w:rPr>
      </w:pPr>
    </w:p>
    <w:p w:rsidR="000F2E63" w:rsidRDefault="000F2E63">
      <w:pPr>
        <w:widowControl w:val="0"/>
        <w:autoSpaceDE w:val="0"/>
        <w:autoSpaceDN w:val="0"/>
        <w:adjustRightInd w:val="0"/>
        <w:spacing w:after="0" w:line="360" w:lineRule="auto"/>
        <w:jc w:val="both"/>
        <w:rPr>
          <w:rFonts w:ascii="Times New Roman" w:eastAsia="MS Mincho" w:hAnsi="Times New Roman"/>
          <w:b/>
          <w:bCs/>
          <w:noProof/>
          <w:sz w:val="24"/>
          <w:szCs w:val="24"/>
        </w:rPr>
      </w:pPr>
    </w:p>
    <w:p w:rsidR="000F2E63" w:rsidRDefault="0010263F">
      <w:pPr>
        <w:rPr>
          <w:rFonts w:ascii="Times New Roman" w:eastAsia="MS Mincho" w:hAnsi="Times New Roman"/>
          <w:b/>
          <w:bCs/>
          <w:noProof/>
          <w:sz w:val="24"/>
          <w:szCs w:val="24"/>
        </w:rPr>
      </w:pPr>
      <w:r>
        <w:rPr>
          <w:noProof/>
        </w:rPr>
        <w:br w:type="page"/>
      </w:r>
    </w:p>
    <w:p w:rsidR="000F2E63" w:rsidRDefault="0010263F">
      <w:pPr>
        <w:widowControl w:val="0"/>
        <w:autoSpaceDE w:val="0"/>
        <w:autoSpaceDN w:val="0"/>
        <w:adjustRightInd w:val="0"/>
        <w:spacing w:after="0" w:line="240" w:lineRule="auto"/>
        <w:ind w:left="1440" w:hanging="1320"/>
        <w:jc w:val="both"/>
        <w:rPr>
          <w:rFonts w:ascii="Times New Roman" w:eastAsia="MS Mincho" w:hAnsi="Times New Roman"/>
          <w:b/>
          <w:bCs/>
          <w:noProof/>
          <w:sz w:val="24"/>
          <w:szCs w:val="24"/>
        </w:rPr>
      </w:pPr>
      <w:r>
        <w:rPr>
          <w:rFonts w:ascii="Times New Roman" w:hAnsi="Times New Roman"/>
          <w:b/>
          <w:noProof/>
          <w:sz w:val="24"/>
        </w:rPr>
        <w:t xml:space="preserve">Wykres 19: Nierówności (wskaźnik S80/S20), jak przedstawiono to w tablicy wyników zawierającej kluczowe wskaźniki zatrudnienia i wskaźniki społeczne </w:t>
      </w:r>
    </w:p>
    <w:p w:rsidR="000F2E63" w:rsidRDefault="0010263F">
      <w:pPr>
        <w:widowControl w:val="0"/>
        <w:autoSpaceDE w:val="0"/>
        <w:autoSpaceDN w:val="0"/>
        <w:adjustRightInd w:val="0"/>
        <w:spacing w:after="0" w:line="360" w:lineRule="auto"/>
        <w:jc w:val="center"/>
        <w:rPr>
          <w:rFonts w:ascii="Times New Roman" w:eastAsia="MS Mincho" w:hAnsi="Times New Roman"/>
          <w:noProof/>
          <w:sz w:val="24"/>
          <w:szCs w:val="24"/>
        </w:rPr>
      </w:pPr>
      <w:r>
        <w:rPr>
          <w:noProof/>
        </w:rPr>
        <w:drawing>
          <wp:inline distT="0" distB="0" distL="0" distR="0">
            <wp:extent cx="4210050" cy="373951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0050" cy="3739515"/>
                    </a:xfrm>
                    <a:prstGeom prst="rect">
                      <a:avLst/>
                    </a:prstGeom>
                    <a:noFill/>
                    <a:ln>
                      <a:noFill/>
                    </a:ln>
                  </pic:spPr>
                </pic:pic>
              </a:graphicData>
            </a:graphic>
          </wp:inline>
        </w:drawing>
      </w:r>
    </w:p>
    <w:p w:rsidR="000F2E63" w:rsidRDefault="0010263F">
      <w:pPr>
        <w:spacing w:after="0" w:line="240" w:lineRule="auto"/>
        <w:rPr>
          <w:rFonts w:ascii="Times New Roman" w:eastAsia="MS Mincho" w:hAnsi="Times New Roman"/>
          <w:noProof/>
          <w:sz w:val="20"/>
          <w:szCs w:val="20"/>
        </w:rPr>
      </w:pPr>
      <w:r>
        <w:rPr>
          <w:rFonts w:ascii="Times New Roman" w:hAnsi="Times New Roman"/>
          <w:noProof/>
          <w:sz w:val="20"/>
        </w:rPr>
        <w:t>Źródło: Eurostat, EU-SILC (obliczenia DG EMPL). Okres: poziom</w:t>
      </w:r>
      <w:r>
        <w:rPr>
          <w:rFonts w:ascii="Times New Roman" w:hAnsi="Times New Roman"/>
          <w:noProof/>
          <w:sz w:val="20"/>
        </w:rPr>
        <w:t xml:space="preserve"> w 2013 r. i zmiany w okresie 2012–2013.</w:t>
      </w:r>
    </w:p>
    <w:p w:rsidR="000F2E63" w:rsidRDefault="0010263F">
      <w:pPr>
        <w:spacing w:line="240" w:lineRule="auto"/>
        <w:jc w:val="both"/>
        <w:rPr>
          <w:rFonts w:ascii="Times New Roman" w:eastAsia="MS Mincho" w:hAnsi="Times New Roman"/>
          <w:noProof/>
          <w:sz w:val="20"/>
          <w:szCs w:val="20"/>
        </w:rPr>
      </w:pPr>
      <w:r>
        <w:rPr>
          <w:rFonts w:ascii="Times New Roman" w:hAnsi="Times New Roman"/>
          <w:noProof/>
          <w:sz w:val="20"/>
        </w:rPr>
        <w:t xml:space="preserve">Uwaga: osie krzyżują się na nieważonej średniej dla UE28. UE28 i SE19 odnoszą się do odpowiednich średnich ważonych. Legenda znajduje się w załączniku. Statystycznie nieistotne zmiany wyrażono jako zero. Informacje </w:t>
      </w:r>
      <w:r>
        <w:rPr>
          <w:rFonts w:ascii="Times New Roman" w:hAnsi="Times New Roman"/>
          <w:noProof/>
          <w:sz w:val="20"/>
        </w:rPr>
        <w:t xml:space="preserve">dotyczące metodyki można znaleźć w załączniku. </w:t>
      </w:r>
    </w:p>
    <w:p w:rsidR="000F2E63" w:rsidRDefault="0010263F">
      <w:pPr>
        <w:spacing w:after="0" w:line="360" w:lineRule="auto"/>
        <w:jc w:val="both"/>
        <w:rPr>
          <w:rFonts w:ascii="Times New Roman" w:hAnsi="Times New Roman"/>
          <w:noProof/>
          <w:sz w:val="24"/>
          <w:szCs w:val="24"/>
        </w:rPr>
      </w:pPr>
      <w:r>
        <w:rPr>
          <w:rFonts w:ascii="Times New Roman" w:hAnsi="Times New Roman"/>
          <w:b/>
          <w:noProof/>
          <w:sz w:val="24"/>
        </w:rPr>
        <w:t>Wydatki na zabezpieczenie społeczne wyrażone jako procent PKB średnio nieznacznie wzrosły w 28 państwach członkowskich UE</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Wzrosły one z 29,0 % PKB UE28 w 2011 r. do 29,4 % PKB w 2012 r. W 2012 r. dziesięć pa</w:t>
      </w:r>
      <w:r>
        <w:rPr>
          <w:rFonts w:ascii="Times New Roman" w:hAnsi="Times New Roman"/>
          <w:noProof/>
          <w:sz w:val="24"/>
        </w:rPr>
        <w:t>ństw członkowskich przeznaczyło na wydatki na ochronę socjalną ponad 30 % PKB (Dania, Francja, Niderlandy, Irlandia, Grecja, Finlandia, Belgia, Szwecja, Włochy i Austria), zaś w ośmiu krajach udział ten wyniósł mniej niż 20 % (Łotwa, Estonia, Rumunia, Litw</w:t>
      </w:r>
      <w:r>
        <w:rPr>
          <w:rFonts w:ascii="Times New Roman" w:hAnsi="Times New Roman"/>
          <w:noProof/>
          <w:sz w:val="24"/>
        </w:rPr>
        <w:t>a, Bułgaria, Polska, Słowacja i Malta).  Jeśli chodzi o podział tych wydatków, to w 2013 r. ponad ich połowa dotyczyła wydatków związanych ze starszym wiekiem (emerytury; wykres 20).</w:t>
      </w:r>
    </w:p>
    <w:p w:rsidR="000F2E63" w:rsidRDefault="0010263F">
      <w:pPr>
        <w:spacing w:after="0" w:line="240" w:lineRule="auto"/>
        <w:jc w:val="both"/>
        <w:rPr>
          <w:rFonts w:ascii="Times New Roman" w:hAnsi="Times New Roman"/>
          <w:b/>
          <w:noProof/>
          <w:sz w:val="24"/>
          <w:szCs w:val="24"/>
        </w:rPr>
      </w:pPr>
      <w:r>
        <w:rPr>
          <w:rFonts w:ascii="Times New Roman" w:hAnsi="Times New Roman"/>
          <w:b/>
          <w:noProof/>
          <w:sz w:val="24"/>
        </w:rPr>
        <w:t>Wykres 20: Komponenty wydatków socjalnych w 2013 r. w UE28, wyrażone jako</w:t>
      </w:r>
      <w:r>
        <w:rPr>
          <w:rFonts w:ascii="Times New Roman" w:hAnsi="Times New Roman"/>
          <w:b/>
          <w:noProof/>
          <w:sz w:val="24"/>
        </w:rPr>
        <w:t xml:space="preserve"> odsetek całkowitych wydatków na ochronę socjalną</w:t>
      </w:r>
    </w:p>
    <w:p w:rsidR="000F2E63" w:rsidRDefault="0010263F">
      <w:pPr>
        <w:spacing w:after="0" w:line="360" w:lineRule="auto"/>
        <w:jc w:val="center"/>
        <w:rPr>
          <w:rFonts w:ascii="Times New Roman" w:hAnsi="Times New Roman"/>
          <w:noProof/>
          <w:sz w:val="24"/>
          <w:szCs w:val="24"/>
        </w:rPr>
      </w:pPr>
      <w:r>
        <w:rPr>
          <w:noProof/>
        </w:rPr>
        <w:lastRenderedPageBreak/>
        <w:drawing>
          <wp:inline distT="0" distB="0" distL="0" distR="0">
            <wp:extent cx="4483100" cy="193103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83100" cy="1931035"/>
                    </a:xfrm>
                    <a:prstGeom prst="rect">
                      <a:avLst/>
                    </a:prstGeom>
                    <a:noFill/>
                    <a:ln>
                      <a:noFill/>
                    </a:ln>
                  </pic:spPr>
                </pic:pic>
              </a:graphicData>
            </a:graphic>
          </wp:inline>
        </w:drawing>
      </w:r>
    </w:p>
    <w:p w:rsidR="000F2E63" w:rsidRDefault="0010263F">
      <w:pPr>
        <w:spacing w:after="0" w:line="360" w:lineRule="auto"/>
        <w:jc w:val="both"/>
        <w:rPr>
          <w:rFonts w:ascii="Times New Roman" w:hAnsi="Times New Roman"/>
          <w:noProof/>
          <w:sz w:val="20"/>
          <w:szCs w:val="20"/>
        </w:rPr>
      </w:pPr>
      <w:r>
        <w:rPr>
          <w:rFonts w:ascii="Times New Roman" w:hAnsi="Times New Roman"/>
          <w:noProof/>
          <w:sz w:val="20"/>
        </w:rPr>
        <w:t xml:space="preserve">Źródło: Eurostat, ESSPROS. </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noProof/>
          <w:sz w:val="24"/>
        </w:rPr>
        <w:t xml:space="preserve">Wraz z poprawą otoczenia gospodarczego w 2014 r. w szybszym tempie niż w 2013 r. wzrosły również realne wydatki pieniężne i rzeczowe w UE i w strefie euro (wykres 21). Wzrost </w:t>
      </w:r>
      <w:r>
        <w:rPr>
          <w:rFonts w:ascii="Times New Roman" w:hAnsi="Times New Roman"/>
          <w:noProof/>
          <w:sz w:val="24"/>
        </w:rPr>
        <w:t>świadczeń rzeczowych w 2014 r. skompensował jednak tylko częściowo spadki odnotowane w latach 2010–2012. Większość państw członkowskich odnotowało podobny wzrost, z wyjątkiem Irlandii, Grecji, Hiszpanii, Cypru, Chorwacji i Słowenii, gdzie w przypadku świad</w:t>
      </w:r>
      <w:r>
        <w:rPr>
          <w:rFonts w:ascii="Times New Roman" w:hAnsi="Times New Roman"/>
          <w:noProof/>
          <w:sz w:val="24"/>
        </w:rPr>
        <w:t>czeń rzeczowych nadal obserwowano spadek.</w:t>
      </w:r>
    </w:p>
    <w:p w:rsidR="000F2E63" w:rsidRDefault="000F2E63">
      <w:pPr>
        <w:keepNext/>
        <w:tabs>
          <w:tab w:val="num" w:pos="720"/>
        </w:tabs>
        <w:spacing w:after="0" w:line="240" w:lineRule="auto"/>
        <w:jc w:val="both"/>
        <w:rPr>
          <w:rFonts w:ascii="Times New Roman" w:hAnsi="Times New Roman"/>
          <w:b/>
          <w:noProof/>
          <w:sz w:val="24"/>
          <w:szCs w:val="24"/>
        </w:rPr>
      </w:pPr>
    </w:p>
    <w:p w:rsidR="000F2E63" w:rsidRDefault="0010263F">
      <w:pPr>
        <w:keepNext/>
        <w:tabs>
          <w:tab w:val="num" w:pos="720"/>
        </w:tabs>
        <w:spacing w:after="0" w:line="240" w:lineRule="auto"/>
        <w:ind w:left="720" w:hanging="720"/>
        <w:jc w:val="both"/>
        <w:rPr>
          <w:rFonts w:ascii="Times New Roman" w:hAnsi="Times New Roman"/>
          <w:b/>
          <w:noProof/>
          <w:sz w:val="24"/>
          <w:szCs w:val="24"/>
        </w:rPr>
      </w:pPr>
      <w:r>
        <w:rPr>
          <w:rFonts w:ascii="Times New Roman" w:hAnsi="Times New Roman"/>
          <w:b/>
          <w:noProof/>
          <w:sz w:val="24"/>
        </w:rPr>
        <w:t>Wykres 21: Roczna zmiana realnych publicznych wydatków socjalnych w podziale na świadczenia pieniężne i świadczenia rzeczowe (2001–2014) w UE28 i SE19</w:t>
      </w:r>
    </w:p>
    <w:p w:rsidR="000F2E63" w:rsidRDefault="000F2E63">
      <w:pPr>
        <w:keepNext/>
        <w:tabs>
          <w:tab w:val="num" w:pos="720"/>
        </w:tabs>
        <w:spacing w:after="0" w:line="240" w:lineRule="auto"/>
        <w:jc w:val="both"/>
        <w:rPr>
          <w:rFonts w:ascii="Times New Roman" w:hAnsi="Times New Roman"/>
          <w:b/>
          <w:noProof/>
          <w:sz w:val="24"/>
          <w:szCs w:val="24"/>
        </w:rPr>
      </w:pPr>
    </w:p>
    <w:p w:rsidR="000F2E63" w:rsidRDefault="0010263F">
      <w:pPr>
        <w:spacing w:after="0" w:line="240" w:lineRule="auto"/>
        <w:ind w:right="-144"/>
        <w:jc w:val="both"/>
        <w:rPr>
          <w:rFonts w:ascii="Times New Roman" w:hAnsi="Times New Roman"/>
          <w:noProof/>
          <w:sz w:val="24"/>
          <w:szCs w:val="24"/>
        </w:rPr>
      </w:pPr>
      <w:r>
        <w:rPr>
          <w:noProof/>
        </w:rPr>
        <w:drawing>
          <wp:inline distT="0" distB="0" distL="0" distR="0">
            <wp:extent cx="2886710" cy="1890395"/>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710" cy="1890395"/>
                    </a:xfrm>
                    <a:prstGeom prst="rect">
                      <a:avLst/>
                    </a:prstGeom>
                    <a:noFill/>
                    <a:ln>
                      <a:noFill/>
                    </a:ln>
                  </pic:spPr>
                </pic:pic>
              </a:graphicData>
            </a:graphic>
          </wp:inline>
        </w:drawing>
      </w:r>
      <w:r>
        <w:rPr>
          <w:noProof/>
        </w:rPr>
        <w:t xml:space="preserve"> </w:t>
      </w:r>
      <w:r>
        <w:rPr>
          <w:noProof/>
        </w:rPr>
        <w:drawing>
          <wp:inline distT="0" distB="0" distL="0" distR="0">
            <wp:extent cx="2886710" cy="1890395"/>
            <wp:effectExtent l="0" t="0" r="889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710" cy="1890395"/>
                    </a:xfrm>
                    <a:prstGeom prst="rect">
                      <a:avLst/>
                    </a:prstGeom>
                    <a:noFill/>
                    <a:ln>
                      <a:noFill/>
                    </a:ln>
                  </pic:spPr>
                </pic:pic>
              </a:graphicData>
            </a:graphic>
          </wp:inline>
        </w:drawing>
      </w:r>
    </w:p>
    <w:p w:rsidR="000F2E63" w:rsidRDefault="0010263F">
      <w:pPr>
        <w:pStyle w:val="Source"/>
        <w:spacing w:line="240" w:lineRule="auto"/>
        <w:rPr>
          <w:rFonts w:ascii="Times New Roman" w:hAnsi="Times New Roman"/>
          <w:noProof/>
          <w:sz w:val="20"/>
          <w:szCs w:val="20"/>
        </w:rPr>
      </w:pPr>
      <w:r>
        <w:rPr>
          <w:rFonts w:ascii="Times New Roman" w:hAnsi="Times New Roman"/>
          <w:noProof/>
          <w:sz w:val="20"/>
        </w:rPr>
        <w:t>Źródło: Eurostat, rachunki narodowe (obliczenia DG EMPL).</w:t>
      </w:r>
      <w:r>
        <w:rPr>
          <w:rFonts w:ascii="Times New Roman" w:hAnsi="Times New Roman"/>
          <w:noProof/>
          <w:sz w:val="20"/>
        </w:rPr>
        <w:t xml:space="preserve"> Uwaga: wartości za 2014 r. są wartościami szacunkowymi opartymi na rachunkach narodowych. Uwaga: w przypadku gdy brak jest danych z rocznych rachunków narodowych, dane są oparte na kwartalnych rachunkach narodowych lub bazie danych AMECO (w tym ostatnim p</w:t>
      </w:r>
      <w:r>
        <w:rPr>
          <w:rFonts w:ascii="Times New Roman" w:hAnsi="Times New Roman"/>
          <w:noProof/>
          <w:sz w:val="20"/>
        </w:rPr>
        <w:t>rzypadku zwykle poprzez zastosowanie obliczonych stóp wzrostu do danych z rocznych rachunków narodowych).</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noProof/>
          <w:sz w:val="24"/>
        </w:rPr>
        <w:t xml:space="preserve">Zmiany w systemach podatkowych i systemach świadczeń socjalnych w okresie 2008–2014 miały duży wpływ na dochody gospodarstw domowych w poszczególnych </w:t>
      </w:r>
      <w:r>
        <w:rPr>
          <w:rFonts w:ascii="Times New Roman" w:hAnsi="Times New Roman"/>
          <w:noProof/>
          <w:sz w:val="24"/>
        </w:rPr>
        <w:t>państwach członkowskich</w:t>
      </w:r>
      <w:r>
        <w:rPr>
          <w:rStyle w:val="Odwoanieprzypisudolnego"/>
          <w:rFonts w:ascii="Times New Roman" w:hAnsi="Times New Roman"/>
          <w:noProof/>
          <w:sz w:val="24"/>
        </w:rPr>
        <w:footnoteReference w:id="26"/>
      </w:r>
      <w:r>
        <w:rPr>
          <w:rFonts w:ascii="Times New Roman" w:hAnsi="Times New Roman"/>
          <w:noProof/>
          <w:sz w:val="24"/>
        </w:rPr>
        <w:t xml:space="preserve">. W niektórych państwach środki przyjęte od 2008 r. doprowadziły do znacznego obniżenia dochodów gospodarstw domowych (-17 % w Grecji, -4,5 % na Łotwie </w:t>
      </w:r>
      <w:r>
        <w:rPr>
          <w:rFonts w:ascii="Times New Roman" w:hAnsi="Times New Roman"/>
          <w:noProof/>
          <w:sz w:val="24"/>
        </w:rPr>
        <w:lastRenderedPageBreak/>
        <w:t>oraz około -4 % we Włoszech i Estonii), nawet jeśli ich wpływ był zasadniczo wię</w:t>
      </w:r>
      <w:r>
        <w:rPr>
          <w:rFonts w:ascii="Times New Roman" w:hAnsi="Times New Roman"/>
          <w:noProof/>
          <w:sz w:val="24"/>
        </w:rPr>
        <w:t>kszy w przypadku wyższych dochodów niż dochodów niskich. W większości ocenianych państw członkowskich środki przyjęte w latach 2013–14 miały natomiast ostatnio ogólnie pozytywny wpływ na dochody, a w większości przypadków były one bardziej korzystne dla go</w:t>
      </w:r>
      <w:r>
        <w:rPr>
          <w:rFonts w:ascii="Times New Roman" w:hAnsi="Times New Roman"/>
          <w:noProof/>
          <w:sz w:val="24"/>
        </w:rPr>
        <w:t xml:space="preserve">rzej uposażonych grup. Można zauważyć, że w krajach, które odnotowywały podobny średni wpływ na dochody gospodarstw domowych, dystrybucyjny efekt środków w latach 2008–2014 różnił się między grupą o niższych i grupą o wyższych dochodach, co podkreśla, jak </w:t>
      </w:r>
      <w:r>
        <w:rPr>
          <w:rFonts w:ascii="Times New Roman" w:hAnsi="Times New Roman"/>
          <w:noProof/>
          <w:sz w:val="24"/>
        </w:rPr>
        <w:t>duże znaczenie ma opracowywanie środków pod kątem wyników strategii politycznej.</w:t>
      </w:r>
    </w:p>
    <w:p w:rsidR="000F2E63" w:rsidRDefault="0010263F">
      <w:pPr>
        <w:spacing w:before="120" w:after="120" w:line="360" w:lineRule="auto"/>
        <w:jc w:val="both"/>
        <w:rPr>
          <w:rFonts w:ascii="Times New Roman" w:hAnsi="Times New Roman"/>
          <w:noProof/>
          <w:sz w:val="24"/>
          <w:szCs w:val="24"/>
        </w:rPr>
      </w:pPr>
      <w:r>
        <w:rPr>
          <w:rFonts w:ascii="Times New Roman" w:hAnsi="Times New Roman"/>
          <w:noProof/>
          <w:sz w:val="24"/>
        </w:rPr>
        <w:t>W niektórych krajach dostęp gospodarstw o niskich dochodach do opieki zdrowotnej stał się trudniejszy. Średnio w UE 6,4 % osób mieszkających w gospodarstwach domowych o niskic</w:t>
      </w:r>
      <w:r>
        <w:rPr>
          <w:rFonts w:ascii="Times New Roman" w:hAnsi="Times New Roman"/>
          <w:noProof/>
          <w:sz w:val="24"/>
        </w:rPr>
        <w:t>h dochodach (najniższa grupa kwintylowa) zgłaszało, że nie jest w stanie zaspokoić swoich potrzeb w zakresie opieki zdrowotnej</w:t>
      </w:r>
      <w:r>
        <w:rPr>
          <w:rStyle w:val="Odwoanieprzypisudolnego"/>
          <w:rFonts w:ascii="Times New Roman" w:hAnsi="Times New Roman"/>
          <w:noProof/>
          <w:sz w:val="24"/>
        </w:rPr>
        <w:footnoteReference w:id="27"/>
      </w:r>
      <w:r>
        <w:rPr>
          <w:rFonts w:ascii="Times New Roman" w:hAnsi="Times New Roman"/>
          <w:noProof/>
          <w:sz w:val="24"/>
        </w:rPr>
        <w:t>, podczas gdy odsetek ten w przypadku osób mieszkających w bogatszych gospodarstwach domowych (najwyższa grupa kwintylowa) wyniós</w:t>
      </w:r>
      <w:r>
        <w:rPr>
          <w:rFonts w:ascii="Times New Roman" w:hAnsi="Times New Roman"/>
          <w:noProof/>
          <w:sz w:val="24"/>
        </w:rPr>
        <w:t xml:space="preserve">ł 1,5 %. Przepaść między bogatymi a biednymi w dostępie do opieki zdrowotnej podczas kryzysu w państwach członkowskich pogłębiła się (wykres 22). </w:t>
      </w:r>
    </w:p>
    <w:p w:rsidR="000F2E63" w:rsidRDefault="0010263F">
      <w:pPr>
        <w:spacing w:before="120" w:after="120"/>
        <w:ind w:left="1440" w:hanging="1320"/>
        <w:jc w:val="both"/>
        <w:rPr>
          <w:rFonts w:ascii="Times New Roman" w:hAnsi="Times New Roman"/>
          <w:b/>
          <w:noProof/>
          <w:sz w:val="24"/>
          <w:szCs w:val="24"/>
        </w:rPr>
      </w:pPr>
      <w:r>
        <w:rPr>
          <w:rFonts w:ascii="Times New Roman" w:hAnsi="Times New Roman"/>
          <w:b/>
          <w:noProof/>
          <w:sz w:val="24"/>
        </w:rPr>
        <w:t>Wykres 22: Niemożliwość zaspokojenia potrzeb w zakresie opieki zdrowotnej według subiektywnej oceny (najniższ</w:t>
      </w:r>
      <w:r>
        <w:rPr>
          <w:rFonts w:ascii="Times New Roman" w:hAnsi="Times New Roman"/>
          <w:b/>
          <w:noProof/>
          <w:sz w:val="24"/>
        </w:rPr>
        <w:t>a i najwyższa grupa kwintylowa)</w:t>
      </w:r>
    </w:p>
    <w:p w:rsidR="000F2E63" w:rsidRDefault="0010263F">
      <w:pPr>
        <w:spacing w:before="120" w:after="120"/>
        <w:jc w:val="both"/>
        <w:rPr>
          <w:rFonts w:ascii="Times New Roman" w:hAnsi="Times New Roman"/>
          <w:noProof/>
          <w:sz w:val="24"/>
          <w:szCs w:val="24"/>
        </w:rPr>
      </w:pPr>
      <w:r>
        <w:rPr>
          <w:noProof/>
        </w:rPr>
        <w:drawing>
          <wp:inline distT="0" distB="0" distL="0" distR="0">
            <wp:extent cx="5766435" cy="2790825"/>
            <wp:effectExtent l="0" t="0" r="571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6435" cy="2790825"/>
                    </a:xfrm>
                    <a:prstGeom prst="rect">
                      <a:avLst/>
                    </a:prstGeom>
                    <a:noFill/>
                    <a:ln>
                      <a:noFill/>
                    </a:ln>
                  </pic:spPr>
                </pic:pic>
              </a:graphicData>
            </a:graphic>
          </wp:inline>
        </w:drawing>
      </w:r>
    </w:p>
    <w:p w:rsidR="000F2E63" w:rsidRDefault="0010263F">
      <w:pPr>
        <w:spacing w:after="0" w:line="360" w:lineRule="auto"/>
        <w:jc w:val="both"/>
        <w:rPr>
          <w:rFonts w:ascii="Times New Roman" w:hAnsi="Times New Roman"/>
          <w:noProof/>
          <w:sz w:val="20"/>
          <w:szCs w:val="20"/>
        </w:rPr>
      </w:pPr>
      <w:r>
        <w:rPr>
          <w:rFonts w:ascii="Times New Roman" w:hAnsi="Times New Roman"/>
          <w:noProof/>
          <w:sz w:val="20"/>
        </w:rPr>
        <w:t xml:space="preserve">Źródło: Eurostat, EU-SILC. Uwagi: powód: zbyt drogo lub zbyt duża odległość lub zbyt długa kolejka oczekujących. (Dla SI brak danych opublikowanych przez Eurostat). </w:t>
      </w:r>
    </w:p>
    <w:p w:rsidR="000F2E63" w:rsidRDefault="000F2E63">
      <w:pPr>
        <w:spacing w:line="360" w:lineRule="auto"/>
        <w:jc w:val="both"/>
        <w:rPr>
          <w:rFonts w:ascii="Times New Roman" w:hAnsi="Times New Roman"/>
          <w:noProof/>
        </w:rPr>
      </w:pPr>
    </w:p>
    <w:p w:rsidR="000F2E63" w:rsidRDefault="000F2E63">
      <w:pPr>
        <w:spacing w:line="360" w:lineRule="auto"/>
        <w:jc w:val="both"/>
        <w:rPr>
          <w:rFonts w:ascii="Times New Roman" w:hAnsi="Times New Roman"/>
          <w:noProof/>
        </w:rPr>
      </w:pPr>
    </w:p>
    <w:p w:rsidR="000F2E63" w:rsidRDefault="000F2E63">
      <w:pPr>
        <w:autoSpaceDE w:val="0"/>
        <w:autoSpaceDN w:val="0"/>
        <w:adjustRightInd w:val="0"/>
        <w:spacing w:after="0" w:line="360" w:lineRule="auto"/>
        <w:jc w:val="both"/>
        <w:rPr>
          <w:rFonts w:ascii="Times New Roman" w:hAnsi="Times New Roman"/>
          <w:b/>
          <w:noProof/>
          <w:sz w:val="24"/>
          <w:szCs w:val="24"/>
        </w:rPr>
      </w:pPr>
    </w:p>
    <w:p w:rsidR="000F2E63" w:rsidRDefault="000F2E63">
      <w:pPr>
        <w:autoSpaceDE w:val="0"/>
        <w:autoSpaceDN w:val="0"/>
        <w:adjustRightInd w:val="0"/>
        <w:spacing w:after="0" w:line="360" w:lineRule="auto"/>
        <w:jc w:val="both"/>
        <w:rPr>
          <w:rFonts w:ascii="Times New Roman" w:hAnsi="Times New Roman"/>
          <w:b/>
          <w:noProof/>
          <w:sz w:val="24"/>
          <w:szCs w:val="24"/>
        </w:rPr>
      </w:pPr>
    </w:p>
    <w:p w:rsidR="000F2E63" w:rsidRDefault="000F2E63">
      <w:pPr>
        <w:autoSpaceDE w:val="0"/>
        <w:autoSpaceDN w:val="0"/>
        <w:adjustRightInd w:val="0"/>
        <w:spacing w:after="0" w:line="240" w:lineRule="auto"/>
        <w:jc w:val="both"/>
        <w:rPr>
          <w:rFonts w:ascii="Times New Roman" w:hAnsi="Times New Roman"/>
          <w:b/>
          <w:noProof/>
          <w:sz w:val="24"/>
          <w:szCs w:val="24"/>
        </w:rPr>
      </w:pPr>
    </w:p>
    <w:p w:rsidR="000F2E63" w:rsidRDefault="0010263F">
      <w:pPr>
        <w:rPr>
          <w:rFonts w:ascii="Times New Roman" w:eastAsia="MS Mincho" w:hAnsi="Times New Roman"/>
          <w:noProof/>
          <w:sz w:val="20"/>
          <w:szCs w:val="20"/>
        </w:rPr>
      </w:pPr>
      <w:r>
        <w:rPr>
          <w:noProof/>
        </w:rPr>
        <w:br w:type="page"/>
      </w:r>
    </w:p>
    <w:p w:rsidR="000F2E63" w:rsidRDefault="0010263F">
      <w:pPr>
        <w:rPr>
          <w:rFonts w:ascii="Times New Roman" w:hAnsi="Times New Roman"/>
          <w:noProof/>
          <w:sz w:val="24"/>
          <w:szCs w:val="24"/>
        </w:rPr>
      </w:pPr>
      <w:r>
        <w:rPr>
          <w:rFonts w:ascii="Times New Roman" w:hAnsi="Times New Roman"/>
          <w:b/>
          <w:noProof/>
          <w:sz w:val="24"/>
        </w:rPr>
        <w:t xml:space="preserve">2. </w:t>
      </w:r>
      <w:r>
        <w:rPr>
          <w:rFonts w:ascii="Times New Roman" w:hAnsi="Times New Roman"/>
          <w:b/>
          <w:noProof/>
          <w:sz w:val="24"/>
        </w:rPr>
        <w:tab/>
      </w:r>
      <w:r>
        <w:rPr>
          <w:rFonts w:ascii="Times New Roman" w:hAnsi="Times New Roman"/>
          <w:b/>
          <w:noProof/>
          <w:sz w:val="24"/>
        </w:rPr>
        <w:t xml:space="preserve">REFORMY W OBSZARZE ZATRUDNIENIA I POLITYKI SPOŁECZNEJ – DZIAŁANIA PODEJMOWANE PRZEZ PAŃSTWA CZŁONKOWSKIE </w:t>
      </w:r>
      <w:r>
        <w:rPr>
          <w:noProof/>
        </w:rPr>
        <w:br/>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W niniejszym rozdziale przedstawiony jest ogólny zarys kluczowych reform i środków w obszarze zatrudnienia i polityki społecznej pojętych przez państ</w:t>
      </w:r>
      <w:r>
        <w:rPr>
          <w:rFonts w:ascii="Times New Roman" w:hAnsi="Times New Roman"/>
          <w:noProof/>
          <w:sz w:val="24"/>
        </w:rPr>
        <w:t>wa członkowskie w obszarach priorytetowych określonych w nowych unijnych wytycznych dotyczących zatrudnienia.</w:t>
      </w:r>
      <w:r>
        <w:rPr>
          <w:rStyle w:val="Odwoanieprzypisudolnego"/>
          <w:rFonts w:ascii="Times New Roman" w:hAnsi="Times New Roman"/>
          <w:noProof/>
          <w:sz w:val="24"/>
        </w:rPr>
        <w:footnoteReference w:id="28"/>
      </w:r>
      <w:r>
        <w:rPr>
          <w:rFonts w:ascii="Times New Roman" w:hAnsi="Times New Roman"/>
          <w:noProof/>
          <w:sz w:val="24"/>
        </w:rPr>
        <w:t xml:space="preserve"> Wytyczne dla polityk zatrudnienia państw członkowskich łączą aspekty popytu i podaży i – chociaż są skierowane do państw członkowskich – powinny </w:t>
      </w:r>
      <w:r>
        <w:rPr>
          <w:rFonts w:ascii="Times New Roman" w:hAnsi="Times New Roman"/>
          <w:noProof/>
          <w:sz w:val="24"/>
        </w:rPr>
        <w:t>być wdrażane w ścisłej współpracy z partnerami społecznymi i zainteresowanymi stronami. Niniejszy rozdział opiera się na bazie danych LABREF 2014, a także na krajowych programach reform państw członkowskich z 2015 r. i na źródłach Komisji Europejskiej.</w:t>
      </w:r>
      <w:r>
        <w:rPr>
          <w:rStyle w:val="Odwoanieprzypisudolnego"/>
          <w:rFonts w:ascii="Times New Roman" w:hAnsi="Times New Roman"/>
          <w:noProof/>
          <w:sz w:val="24"/>
        </w:rPr>
        <w:footnoteReference w:id="29"/>
      </w:r>
    </w:p>
    <w:p w:rsidR="000F2E63" w:rsidRDefault="000F2E63">
      <w:pPr>
        <w:spacing w:line="360" w:lineRule="auto"/>
        <w:rPr>
          <w:rFonts w:ascii="Times New Roman" w:hAnsi="Times New Roman"/>
          <w:b/>
          <w:noProof/>
          <w:sz w:val="24"/>
          <w:szCs w:val="24"/>
        </w:rPr>
      </w:pPr>
    </w:p>
    <w:p w:rsidR="000F2E63" w:rsidRDefault="0010263F">
      <w:pPr>
        <w:spacing w:line="360" w:lineRule="auto"/>
        <w:rPr>
          <w:rFonts w:ascii="Times New Roman" w:hAnsi="Times New Roman"/>
          <w:noProof/>
          <w:sz w:val="24"/>
          <w:szCs w:val="24"/>
        </w:rPr>
      </w:pPr>
      <w:r>
        <w:rPr>
          <w:rFonts w:ascii="Times New Roman" w:hAnsi="Times New Roman"/>
          <w:b/>
          <w:noProof/>
          <w:sz w:val="24"/>
        </w:rPr>
        <w:t>2</w:t>
      </w:r>
      <w:r>
        <w:rPr>
          <w:rFonts w:ascii="Times New Roman" w:hAnsi="Times New Roman"/>
          <w:b/>
          <w:noProof/>
          <w:sz w:val="24"/>
        </w:rPr>
        <w:t xml:space="preserve">.1 </w:t>
      </w:r>
      <w:r>
        <w:rPr>
          <w:rFonts w:ascii="Times New Roman" w:hAnsi="Times New Roman"/>
          <w:b/>
          <w:noProof/>
          <w:sz w:val="24"/>
        </w:rPr>
        <w:tab/>
        <w:t>Pobudzanie zapotrzebowania na pracę</w:t>
      </w:r>
      <w:r>
        <w:rPr>
          <w:rFonts w:ascii="Times New Roman" w:hAnsi="Times New Roman"/>
          <w:noProof/>
          <w:sz w:val="24"/>
        </w:rPr>
        <w:t xml:space="preserve">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Dotacje na zatrudnienie są w dalszym ciągu szeroko stosowanym instrumentem wspierania zatrudnienia i tworzenia miejsc pracy</w:t>
      </w:r>
      <w:r>
        <w:rPr>
          <w:rFonts w:ascii="Times New Roman" w:hAnsi="Times New Roman"/>
          <w:noProof/>
          <w:sz w:val="24"/>
        </w:rPr>
        <w:t>, przy czym niektóre kraje rozszerzyły lub dopracowały programy już istniejące (Litwa, Szwec</w:t>
      </w:r>
      <w:r>
        <w:rPr>
          <w:rFonts w:ascii="Times New Roman" w:hAnsi="Times New Roman"/>
          <w:noProof/>
          <w:sz w:val="24"/>
        </w:rPr>
        <w:t xml:space="preserve">ja, Irlandia), a inne wprowadziły nowe programy (Cypr, Francja, Rumunia i Włochy). W Hiszpanii, na Cyprze, w Portugalii i na Słowacji zdecydowano o wprowadzeniu zachęt do podejmowania działalności gospodarczej, w tym środków promujących przedsiębiorczość.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podejściu państw członkowskich do opodatkowania pracy widać było od początku kryzysu związek między saldem finansów publicznych a kierunkiem reform opodatkowania pracy.</w:t>
      </w:r>
      <w:r>
        <w:rPr>
          <w:rFonts w:ascii="Times New Roman" w:hAnsi="Times New Roman"/>
          <w:noProof/>
          <w:sz w:val="24"/>
        </w:rPr>
        <w:t xml:space="preserve"> Przeciętnie kraje o utrzymującym się ujemnym saldzie budżetowym wprowadziły więcej r</w:t>
      </w:r>
      <w:r>
        <w:rPr>
          <w:rFonts w:ascii="Times New Roman" w:hAnsi="Times New Roman"/>
          <w:noProof/>
          <w:sz w:val="24"/>
        </w:rPr>
        <w:t xml:space="preserve">eform, które zwiększyły opodatkowanie pracy. Dążenie do stopniowego zmniejszania wysokiego klina podatkowego pozostaje nadal wyzwaniem, niemniej jednak kilka państw wprowadziło niedawno środki służące jego obniżeniu.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lastRenderedPageBreak/>
        <w:t>Francja, Grecja, Łotwa, Belgia, Włochy</w:t>
      </w:r>
      <w:r>
        <w:rPr>
          <w:rFonts w:ascii="Times New Roman" w:hAnsi="Times New Roman"/>
          <w:noProof/>
          <w:sz w:val="24"/>
        </w:rPr>
        <w:t>, Rumunia i Szwecja wprowadziły lub zwiększyły strukturalne obniżenie składek na ubezpieczenie społeczne, by w ten sposób zwiększyć popyt na pracę. Specjalne obniżki dla grup społecznych znajdujących się w trudnej sytuacji wprowadzono w Chorwacji, Słowenii</w:t>
      </w:r>
      <w:r>
        <w:rPr>
          <w:rFonts w:ascii="Times New Roman" w:hAnsi="Times New Roman"/>
          <w:noProof/>
          <w:sz w:val="24"/>
        </w:rPr>
        <w:t>, Portugalii, na Słowacji, w Belgii i Zjednoczonym Królestwie. Hiszpania wprowadziła w 2015 r. obniżone stawki składek na ubezpieczenie społeczne przy zatrudnianiu na czas nieokreślony. Finlandia obniżyła składki na ubezpieczenie społeczne pracowników, aby</w:t>
      </w:r>
      <w:r>
        <w:rPr>
          <w:rFonts w:ascii="Times New Roman" w:hAnsi="Times New Roman"/>
          <w:noProof/>
          <w:sz w:val="24"/>
        </w:rPr>
        <w:t xml:space="preserve"> zrównoważyć niski wzrost płac. We Włoszech przyjęto w 2015 r. </w:t>
      </w:r>
      <w:r>
        <w:rPr>
          <w:rFonts w:ascii="Times New Roman" w:hAnsi="Times New Roman"/>
          <w:i/>
          <w:noProof/>
          <w:sz w:val="24"/>
        </w:rPr>
        <w:t>ustawę o stabilności</w:t>
      </w:r>
      <w:r>
        <w:rPr>
          <w:rFonts w:ascii="Times New Roman" w:hAnsi="Times New Roman"/>
          <w:noProof/>
          <w:sz w:val="24"/>
        </w:rPr>
        <w:t>, którą wprowadzono kilka środków mających na celu zmniejszenie klina podatkowego, w tym obniżenie kosztów pracy dla pracodawców, ulgi podatkowe dla osób nisko uposażonych i</w:t>
      </w:r>
      <w:r>
        <w:rPr>
          <w:rFonts w:ascii="Times New Roman" w:hAnsi="Times New Roman"/>
          <w:noProof/>
          <w:sz w:val="24"/>
        </w:rPr>
        <w:t xml:space="preserve"> trzyletnie obniżenie składek na ubezpieczenie społeczne przy zatrudnianiu na czas nieokreślony w roku 2015. We Francji „Paktem na rzecz odpowiedzialności i solidarności” w 2014 r. wprowadzono dalsze obniżenie składek na ubezpieczenie społeczne dla osób ni</w:t>
      </w:r>
      <w:r>
        <w:rPr>
          <w:rFonts w:ascii="Times New Roman" w:hAnsi="Times New Roman"/>
          <w:noProof/>
          <w:sz w:val="24"/>
        </w:rPr>
        <w:t>sko i średnio uposażonych, jako uzupełnienie istniejących już ogólnych ulg podatkowych w celu wspierania konkurencyjności i zatrudnienia.  Grecja wprowadziła nową skalę podatkową, zniosła progi kwot wolnych od podatku i zastąpiła je specjalnymi ulgami poda</w:t>
      </w:r>
      <w:r>
        <w:rPr>
          <w:rFonts w:ascii="Times New Roman" w:hAnsi="Times New Roman"/>
          <w:noProof/>
          <w:sz w:val="24"/>
        </w:rPr>
        <w:t>tkowymi.</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Dzięki daleko idącym działaniom w ostatnich latach polityka płacowa odzwierciedla ogólnie rozwój płac realnych i odpowiada zmianom w wydajności, a w niektórych krajach podjęto niedawno środki mające na celu wprowadzenie wynagrodzenia minimalnego.</w:t>
      </w:r>
      <w:r>
        <w:rPr>
          <w:rFonts w:ascii="Times New Roman" w:hAnsi="Times New Roman"/>
          <w:noProof/>
          <w:sz w:val="24"/>
        </w:rPr>
        <w:t xml:space="preserve"> </w:t>
      </w:r>
      <w:r>
        <w:rPr>
          <w:rFonts w:ascii="Times New Roman" w:hAnsi="Times New Roman"/>
          <w:noProof/>
          <w:sz w:val="24"/>
        </w:rPr>
        <w:t>Ponadsektorowe porozumienia dotyczące umiarkowanej polityki płacowej zawarto w Finlandii na lata 2014–2015, a w Hiszpanii na lata 2015–2016. W Słowenii zawarto w 2015 r. porozumienie społeczne, zgodnie z którym za podstawę do ustalania płac w sektorze pryw</w:t>
      </w:r>
      <w:r>
        <w:rPr>
          <w:rFonts w:ascii="Times New Roman" w:hAnsi="Times New Roman"/>
          <w:noProof/>
          <w:sz w:val="24"/>
        </w:rPr>
        <w:t>atnym mają służyć układy zbiorowe, inflacja i wydajność w danym sektorze. Aby zapewnić spójność między wzrostem wynagrodzeń a zmianami wydajności, rząd belgijski zawiesił tymczasowo automatyczną indeksację płac do 2016 r., zaś na Cyprze zawieszenie indeksa</w:t>
      </w:r>
      <w:r>
        <w:rPr>
          <w:rFonts w:ascii="Times New Roman" w:hAnsi="Times New Roman"/>
          <w:noProof/>
          <w:sz w:val="24"/>
        </w:rPr>
        <w:t>cji płac przedłużono do 2016 r. również w odniesieniu do sektora prywatnego. Nowe mechanizmy określania płacy minimalnej pojawiły się w Grecji (począwszy od 2017 r.), Irlandii i Chorwacji, a w Niemczech od 2015 r. obowiązuje w całym kraju ustawowe wynagrod</w:t>
      </w:r>
      <w:r>
        <w:rPr>
          <w:rFonts w:ascii="Times New Roman" w:hAnsi="Times New Roman"/>
          <w:noProof/>
          <w:sz w:val="24"/>
        </w:rPr>
        <w:t>zenie minimalne. W Portugalii po orzeczeniu Trybunału Konstytucyjnego przywrócono wypłacanie trzynastek i czternastek w sektorze publicznym. W Zjednoczonym Królestwie rząd wprowadza krajową płacę zapewniającą utrzymanie na minimalnym poziomie, która oblicz</w:t>
      </w:r>
      <w:r>
        <w:rPr>
          <w:rFonts w:ascii="Times New Roman" w:hAnsi="Times New Roman"/>
          <w:noProof/>
          <w:sz w:val="24"/>
        </w:rPr>
        <w:t>ana jest przy użyciu innych kryteriów niż te, który były stosowane do istniejącej krajowej płacy minimalnej.</w:t>
      </w:r>
    </w:p>
    <w:p w:rsidR="000F2E63" w:rsidRDefault="0010263F">
      <w:pPr>
        <w:spacing w:line="360" w:lineRule="auto"/>
        <w:rPr>
          <w:rFonts w:ascii="Times New Roman" w:hAnsi="Times New Roman"/>
          <w:b/>
          <w:noProof/>
          <w:sz w:val="24"/>
          <w:szCs w:val="24"/>
        </w:rPr>
      </w:pPr>
      <w:r>
        <w:rPr>
          <w:noProof/>
        </w:rPr>
        <w:lastRenderedPageBreak/>
        <w:br/>
      </w:r>
      <w:r>
        <w:rPr>
          <w:rFonts w:ascii="Times New Roman" w:hAnsi="Times New Roman"/>
          <w:b/>
          <w:noProof/>
          <w:sz w:val="24"/>
        </w:rPr>
        <w:t xml:space="preserve">2.2 </w:t>
      </w:r>
      <w:r>
        <w:rPr>
          <w:rFonts w:ascii="Times New Roman" w:hAnsi="Times New Roman"/>
          <w:b/>
          <w:noProof/>
          <w:sz w:val="24"/>
        </w:rPr>
        <w:tab/>
        <w:t>Zwiększenie podaży siły roboczej, umiejętności i kompetencji</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szeregu państw członkowskich obniżenie stawek podatku dochodowego od osób fizy</w:t>
      </w:r>
      <w:r>
        <w:rPr>
          <w:rFonts w:ascii="Times New Roman" w:hAnsi="Times New Roman"/>
          <w:b/>
          <w:noProof/>
          <w:sz w:val="24"/>
        </w:rPr>
        <w:t>cznych miało korzystny wpływ na wskaźnik aktywności zawodowej.</w:t>
      </w:r>
      <w:r>
        <w:rPr>
          <w:rFonts w:ascii="Times New Roman" w:hAnsi="Times New Roman"/>
          <w:i/>
          <w:noProof/>
          <w:sz w:val="24"/>
        </w:rPr>
        <w:t xml:space="preserve"> </w:t>
      </w:r>
      <w:r>
        <w:rPr>
          <w:rFonts w:ascii="Times New Roman" w:hAnsi="Times New Roman"/>
          <w:noProof/>
          <w:sz w:val="24"/>
        </w:rPr>
        <w:t>Obniżenie stawki podatku dochodowego od osób fizycznych, przede wszystkim w celu poprawy złej sytuacji finansowej grup o najniższych dochodach oraz zlikwidowania czynników zniechęcających do pr</w:t>
      </w:r>
      <w:r>
        <w:rPr>
          <w:rFonts w:ascii="Times New Roman" w:hAnsi="Times New Roman"/>
          <w:noProof/>
          <w:sz w:val="24"/>
        </w:rPr>
        <w:t>acy, przeprowadzono w Hiszpanii i na Łotwie. Inne kraje podniosły progi kwot niepodlegających opodatkowaniu podatkiem dochodowym lub zwiększyły ulgi podatkowe (Szwecja, Łotwa, Litwa, Niderlandy i Niemcy). Austria wprowadziła w 2015 r. znaczące zmiany w zak</w:t>
      </w:r>
      <w:r>
        <w:rPr>
          <w:rFonts w:ascii="Times New Roman" w:hAnsi="Times New Roman"/>
          <w:noProof/>
          <w:sz w:val="24"/>
        </w:rPr>
        <w:t xml:space="preserve">resie podatku dochodowego od osób fizycznych, między innymi poprzez obniżenie początkowej stawki podatku dochodowego od osób fizycznych.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Reformy emerytalne nadal koncentrują się na wytworzeniu zrównoważonego stosunku między czasem trwania życia zawodoweg</w:t>
      </w:r>
      <w:r>
        <w:rPr>
          <w:rFonts w:ascii="Times New Roman" w:hAnsi="Times New Roman"/>
          <w:b/>
          <w:noProof/>
          <w:sz w:val="24"/>
        </w:rPr>
        <w:t>o a czasem spędzonym na emeryturze, głównie poprzez podniesienie wieku emerytalnego, zaostrzenie warunków kwalifikowalności i ograniczenie możliwości wcześniejszego przejścia na emeryturę.</w:t>
      </w:r>
      <w:r>
        <w:rPr>
          <w:rFonts w:ascii="Times New Roman" w:hAnsi="Times New Roman"/>
          <w:noProof/>
          <w:sz w:val="24"/>
        </w:rPr>
        <w:t xml:space="preserve"> W ciągu ubiegłego roku kilka państw członkowskich (Belgia, Bułgaria</w:t>
      </w:r>
      <w:r>
        <w:rPr>
          <w:rFonts w:ascii="Times New Roman" w:hAnsi="Times New Roman"/>
          <w:noProof/>
          <w:sz w:val="24"/>
        </w:rPr>
        <w:t>, Niderlandy, Portugalia i Zjednoczone Królestwo) przyjęło nowe przepisy dotyczące podniesienia wieku emerytalnego lub przyspieszyły planowane już wcześniej działania w tym względzie. Ogółem 25 państw członkowskich (z 28) wprowadziło do ustawodawstwa przep</w:t>
      </w:r>
      <w:r>
        <w:rPr>
          <w:rFonts w:ascii="Times New Roman" w:hAnsi="Times New Roman"/>
          <w:noProof/>
          <w:sz w:val="24"/>
        </w:rPr>
        <w:t>isy dotyczące aktualnego lub przyszłego podniesienia wieku emerytalnego. Siedem spośród nich (Cypr, Dania, Grecja, Włochy, Niderlandy, Portugalia i Słowacja) jednoznacznie powiązało wiek emerytalny z przyszłym wzrostem oczekiwanej długości życia, a kilka i</w:t>
      </w:r>
      <w:r>
        <w:rPr>
          <w:rFonts w:ascii="Times New Roman" w:hAnsi="Times New Roman"/>
          <w:noProof/>
          <w:sz w:val="24"/>
        </w:rPr>
        <w:t>nnych krajów (Belgia, Finlandia, Słowenia) rozważa wprowadzenie takich przepisów.</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Coraz więcej państw członkowskich podejmuje działania, które mają ograniczać opuszczanie rynku pracy przez przechodzenie na wcześniejszą emeryturę, na przykład poprzez podnie</w:t>
      </w:r>
      <w:r>
        <w:rPr>
          <w:rFonts w:ascii="Times New Roman" w:hAnsi="Times New Roman"/>
          <w:noProof/>
          <w:sz w:val="24"/>
        </w:rPr>
        <w:t>sienie wieku uprawniającego do wcześniejszej emerytury lub wydłużenie minimalnego stażu pracy (Belgia, Łotwa) lub stopniowe wycofywanie specjalnych świadczeń lub programów przedemerytalnych (Luksemburg, Polska). Kilka państw członkowskich (Bułgaria, Dania,</w:t>
      </w:r>
      <w:r>
        <w:rPr>
          <w:rFonts w:ascii="Times New Roman" w:hAnsi="Times New Roman"/>
          <w:noProof/>
          <w:sz w:val="24"/>
        </w:rPr>
        <w:t xml:space="preserve"> Chorwacja) wprowadziło bardziej rygorystyczne kryteria i procedury regulujące dostęp do świadczeń dla niepełnosprawnych, aby zadbać o to, by korzystały z nich osoby, które rzeczywiście ich potrzebują, a nie były one wykorzystywane jako substytut wcześniej</w:t>
      </w:r>
      <w:r>
        <w:rPr>
          <w:rFonts w:ascii="Times New Roman" w:hAnsi="Times New Roman"/>
          <w:noProof/>
          <w:sz w:val="24"/>
        </w:rPr>
        <w:t xml:space="preserve">szej emerytury.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lastRenderedPageBreak/>
        <w:t>Niektóre państwa członkowskie przeprowadziły w latach 2014–2015 reformy w celu poprawy polityki godzenia życia zawodowego z prywatnym, by zwiększyć poziom udziału w rynku pracy.</w:t>
      </w:r>
      <w:r>
        <w:rPr>
          <w:rFonts w:ascii="Times New Roman" w:hAnsi="Times New Roman"/>
          <w:noProof/>
          <w:sz w:val="24"/>
        </w:rPr>
        <w:t xml:space="preserve"> Austria zapowiedziała inwestycje w łącznej wysokości 800 mln </w:t>
      </w:r>
      <w:r>
        <w:rPr>
          <w:rFonts w:ascii="Times New Roman" w:hAnsi="Times New Roman"/>
          <w:noProof/>
          <w:sz w:val="24"/>
        </w:rPr>
        <w:t>EUR do 2018/2019 r. mające na celu zwiększenie liczby i dostępności miejsc w szkołach całodziennych oraz poprawę jakości oferowanych przez nie usług. Zjednoczone Królestwo wprowadziło wspólny urlop rodzicielski, który daje rodzicom po urodzeniu lub przyspo</w:t>
      </w:r>
      <w:r>
        <w:rPr>
          <w:rFonts w:ascii="Times New Roman" w:hAnsi="Times New Roman"/>
          <w:noProof/>
          <w:sz w:val="24"/>
        </w:rPr>
        <w:t xml:space="preserve">sobieniu dziecka prawo do dzielenia 52 tygodni między płatnym urlopem i pracą za wynagrodzeniem.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 xml:space="preserve">Zwiększenie udziału kobiet w rynku pracy może przyczynić się do zmniejszenia większego ryzyka ubóstwa i wykluczenia społecznego, na które kobiety – zwłaszcza </w:t>
      </w:r>
      <w:r>
        <w:rPr>
          <w:rFonts w:ascii="Times New Roman" w:hAnsi="Times New Roman"/>
          <w:noProof/>
          <w:sz w:val="24"/>
        </w:rPr>
        <w:t xml:space="preserve">samotnie wychowujące dzieci – są narażone, jak również zapobiegać doświadczaniu ubóstwa w starszym wieku ze względu na niższe prawa emerytalne.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Zachęcanie większej liczby kobiet do wchodzenia na rynek pracy i pozostawania na nim może również – dzięki zwię</w:t>
      </w:r>
      <w:r>
        <w:rPr>
          <w:rFonts w:ascii="Times New Roman" w:hAnsi="Times New Roman"/>
          <w:noProof/>
          <w:sz w:val="24"/>
        </w:rPr>
        <w:t>kszeniu podaży siły roboczej – pomóc zrównoważyć negatywne skutki kurczenia się liczby ludności w wieku produkcyjnym prognozowane dla większości państw członkowskich UE. Pomogłoby to zatem zmniejszyć obciążenie dla finansów publicznych i systemów zabezpiec</w:t>
      </w:r>
      <w:r>
        <w:rPr>
          <w:rFonts w:ascii="Times New Roman" w:hAnsi="Times New Roman"/>
          <w:noProof/>
          <w:sz w:val="24"/>
        </w:rPr>
        <w:t xml:space="preserve">zenia społecznego, lepiej wykorzystać umiejętności i kompetencje kobiet i zwiększyć potencjał wzrostu i konkurencyjność.  </w:t>
      </w: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 xml:space="preserve">Strukturalne słabości w systemach edukacji i szkoleń zawodowych mają w dalszym ciągu wpływ na poziom umiejętności. </w:t>
      </w:r>
      <w:r>
        <w:rPr>
          <w:rFonts w:ascii="Times New Roman" w:hAnsi="Times New Roman"/>
          <w:noProof/>
          <w:sz w:val="24"/>
        </w:rPr>
        <w:t>Niedawne reformy p</w:t>
      </w:r>
      <w:r>
        <w:rPr>
          <w:rFonts w:ascii="Times New Roman" w:hAnsi="Times New Roman"/>
          <w:noProof/>
          <w:sz w:val="24"/>
        </w:rPr>
        <w:t>rzeprowadzone we Włoszech miały na celu ustabilizowanie publicznego systemu edukacji poprzez wprowadzenie umów na czas nieokreślony dla osób pracujących w tym sektorze. W 2015 r. Hiszpania zreformowała organizację i zarządzanie swojego tzw. „podsystemu szk</w:t>
      </w:r>
      <w:r>
        <w:rPr>
          <w:rFonts w:ascii="Times New Roman" w:hAnsi="Times New Roman"/>
          <w:noProof/>
          <w:sz w:val="24"/>
        </w:rPr>
        <w:t>oleń na rzecz zatrudnienia”, aby dostosować treści szkoleń do potrzeb rynku pracy, zaś w Szwecji nowa inicjatywa na rzecz edukacji dorosłych ma zwiększyć liczbę miejsc w komunalnym systemie edukacji dorosłych. Poprawa gromadzenia informacji na temat umieję</w:t>
      </w:r>
      <w:r>
        <w:rPr>
          <w:rFonts w:ascii="Times New Roman" w:hAnsi="Times New Roman"/>
          <w:noProof/>
          <w:sz w:val="24"/>
        </w:rPr>
        <w:t>tności (ocena, przewidywanie i prognozowanie potrzeb w zakresie umiejętności) i ich wykorzystania do kształtowania oferty edukacyjnej i szkoleniowej może przyczynić się do osiągnięcia lepszej równowagi między popytem na umiejętności a ich podażą.</w:t>
      </w:r>
      <w:r>
        <w:rPr>
          <w:rFonts w:ascii="Times New Roman" w:hAnsi="Times New Roman"/>
          <w:b/>
          <w:noProof/>
          <w:sz w:val="24"/>
        </w:rPr>
        <w:t xml:space="preserve"> </w:t>
      </w:r>
      <w:r>
        <w:rPr>
          <w:rFonts w:ascii="Times New Roman" w:hAnsi="Times New Roman"/>
          <w:noProof/>
          <w:sz w:val="24"/>
        </w:rPr>
        <w:t xml:space="preserve">Niektóre </w:t>
      </w:r>
      <w:r>
        <w:rPr>
          <w:rFonts w:ascii="Times New Roman" w:hAnsi="Times New Roman"/>
          <w:noProof/>
          <w:sz w:val="24"/>
        </w:rPr>
        <w:t>państwa członkowskie mają ugruntowaną tradycję ilościowego i jakościowego prognozowania oraz jasne mechanizmy współpracy między instytucjami edukacyjnymi i szkoleniowymi a podmiotami rynku pracy (np. Dania, Szwecja), inne natomiast mają mniej spójny system</w:t>
      </w:r>
      <w:r>
        <w:rPr>
          <w:rFonts w:ascii="Times New Roman" w:hAnsi="Times New Roman"/>
          <w:noProof/>
          <w:sz w:val="24"/>
        </w:rPr>
        <w:t xml:space="preserve">. Niektóre państwa członkowskie są w </w:t>
      </w:r>
      <w:r>
        <w:rPr>
          <w:rFonts w:ascii="Times New Roman" w:hAnsi="Times New Roman"/>
          <w:noProof/>
          <w:sz w:val="24"/>
        </w:rPr>
        <w:lastRenderedPageBreak/>
        <w:t>trakcie opracowywania strategii dotyczącej gromadzenia informacji na temat umiejętności (np. Estonia, Rumunia), często przy wsparciu z Europejskiego Funduszu Społecznego (EFS)</w:t>
      </w:r>
      <w:r>
        <w:rPr>
          <w:rStyle w:val="Odwoanieprzypisudolnego"/>
          <w:rFonts w:ascii="Times New Roman" w:hAnsi="Times New Roman"/>
          <w:noProof/>
          <w:sz w:val="24"/>
        </w:rPr>
        <w:footnoteReference w:id="30"/>
      </w:r>
      <w:r>
        <w:rPr>
          <w:rFonts w:ascii="Times New Roman" w:hAnsi="Times New Roman"/>
          <w:noProof/>
          <w:sz w:val="24"/>
        </w:rPr>
        <w:t>. Wydatki publiczne na edukację zmniejszyły</w:t>
      </w:r>
      <w:r>
        <w:rPr>
          <w:rFonts w:ascii="Times New Roman" w:hAnsi="Times New Roman"/>
          <w:noProof/>
          <w:sz w:val="24"/>
        </w:rPr>
        <w:t xml:space="preserve"> się jednak w niemal połowie państw członkowskich, a w całej UE spadły o 3,2 % w porównaniu z rokiem 2010</w:t>
      </w:r>
      <w:r>
        <w:rPr>
          <w:rStyle w:val="Odwoanieprzypisudolnego"/>
          <w:rFonts w:ascii="Times New Roman" w:hAnsi="Times New Roman"/>
          <w:noProof/>
          <w:sz w:val="24"/>
        </w:rPr>
        <w:footnoteReference w:id="31"/>
      </w:r>
      <w:r>
        <w:rPr>
          <w:rFonts w:ascii="Times New Roman" w:hAnsi="Times New Roman"/>
          <w:noProof/>
          <w:sz w:val="24"/>
        </w:rPr>
        <w:t>.</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Państwa członkowskie podejmują nieustające wysiłki na rzecz wspierania zatrudnienia ludzi młodych i walki z wysokim poziomem młodzieży NEET. Szeroko</w:t>
      </w:r>
      <w:r>
        <w:rPr>
          <w:rFonts w:ascii="Times New Roman" w:hAnsi="Times New Roman"/>
          <w:b/>
          <w:noProof/>
          <w:sz w:val="24"/>
        </w:rPr>
        <w:t xml:space="preserve"> zakrojone działania państw członkowskich koncentrowały się na poprawie jakości oferty edukacyjnej i szkoleniowej na rzecz łatwiejszego przechodzenia od kształcenia do zatrudnienia. </w:t>
      </w:r>
      <w:r>
        <w:rPr>
          <w:rFonts w:ascii="Times New Roman" w:hAnsi="Times New Roman"/>
          <w:noProof/>
          <w:sz w:val="24"/>
        </w:rPr>
        <w:t>Niemcy zmieniły przepisy w celu wdrożenia „wspieranego kształcenia zawodow</w:t>
      </w:r>
      <w:r>
        <w:rPr>
          <w:rFonts w:ascii="Times New Roman" w:hAnsi="Times New Roman"/>
          <w:noProof/>
          <w:sz w:val="24"/>
        </w:rPr>
        <w:t xml:space="preserve">ego”, co pozwoli na lepsze przygotowanie i monitorowanie młodych ludzi znajdujących się w niekorzystnym położeniu oraz będzie obejmować również świadczenie usług dla przedsiębiorstw zaangażowanych w szkolenie młodych ludzi znajdujących się w niekorzystnym </w:t>
      </w:r>
      <w:r>
        <w:rPr>
          <w:rFonts w:ascii="Times New Roman" w:hAnsi="Times New Roman"/>
          <w:noProof/>
          <w:sz w:val="24"/>
        </w:rPr>
        <w:t xml:space="preserve">położeniu. We Francji od końca 2014 r. realizowany jest kompleksowy plan na rzecz ograniczenia zjawiska przedwczesnego kończenia nauki. Testowany jest obecnie program, w którym zagrożonym uczniom w wieku 15 lat lub więcej oferuje się „indywidualną ścieżkę </w:t>
      </w:r>
      <w:r>
        <w:rPr>
          <w:rFonts w:ascii="Times New Roman" w:hAnsi="Times New Roman"/>
          <w:noProof/>
          <w:sz w:val="24"/>
        </w:rPr>
        <w:t>kształcenia zawodowego” łączącą normalną naukę szkolną z aktywnościami pozaszkolnymi. Ponadto osobom przedwcześnie kończącym naukę w wieku między 16 a 25 lat przyznano prawo do ponownego podjęcia nauki szkolnej lub kształcenia zawodowego.</w:t>
      </w:r>
    </w:p>
    <w:p w:rsidR="000F2E63" w:rsidRDefault="0010263F">
      <w:pPr>
        <w:spacing w:before="120" w:after="120" w:line="360" w:lineRule="auto"/>
        <w:contextualSpacing/>
        <w:jc w:val="both"/>
        <w:rPr>
          <w:rFonts w:ascii="Times New Roman" w:hAnsi="Times New Roman"/>
          <w:noProof/>
          <w:sz w:val="24"/>
          <w:szCs w:val="24"/>
        </w:rPr>
      </w:pPr>
      <w:r>
        <w:rPr>
          <w:rFonts w:ascii="Times New Roman" w:hAnsi="Times New Roman"/>
          <w:noProof/>
          <w:sz w:val="24"/>
        </w:rPr>
        <w:t>Polska podjęła śr</w:t>
      </w:r>
      <w:r>
        <w:rPr>
          <w:rFonts w:ascii="Times New Roman" w:hAnsi="Times New Roman"/>
          <w:noProof/>
          <w:sz w:val="24"/>
        </w:rPr>
        <w:t>odki zmierzające do zapewnienia praktyk dla studentów w dużych przedsiębiorstwach oraz w administracji publicznej. Dania realizuje od 2015 r. kompleksową reformę systemu szkolenia zawodowego, między innymi w celu ograniczenia zjawiska przedwczesnego kończe</w:t>
      </w:r>
      <w:r>
        <w:rPr>
          <w:rFonts w:ascii="Times New Roman" w:hAnsi="Times New Roman"/>
          <w:noProof/>
          <w:sz w:val="24"/>
        </w:rPr>
        <w:t>nia nauki, promowania popularności kształcenia zawodowego oraz tworzenia dodatkowych możliwości przyuczania do zawodu. W Bułgarii wprowadzono zmiany do ustawodawstwa dotyczącego oferowania staży; trwają też prace nad lepszym dostosowaniem programów nauczan</w:t>
      </w:r>
      <w:r>
        <w:rPr>
          <w:rFonts w:ascii="Times New Roman" w:hAnsi="Times New Roman"/>
          <w:noProof/>
          <w:sz w:val="24"/>
        </w:rPr>
        <w:t>ia do potrzeb rynku pracy. W Austrii główny nacisk w polityce ds. młodzieży położono również w dużym stopniu na edukację, w tym na reformy szkolenia zawodowego i szkolnictwa wyższego, aby ułatwić przechodzenie od kształcenia do życia zawodowego. Reforma us</w:t>
      </w:r>
      <w:r>
        <w:rPr>
          <w:rFonts w:ascii="Times New Roman" w:hAnsi="Times New Roman"/>
          <w:noProof/>
          <w:sz w:val="24"/>
        </w:rPr>
        <w:t xml:space="preserve">tawy o szkoleniu zawodowym ma na celu dalszą poprawę systemu przyuczania do zawodu oraz podniesienie jego jakości. Włochy zatwierdziły reformę </w:t>
      </w:r>
      <w:r>
        <w:rPr>
          <w:rFonts w:ascii="Times New Roman" w:hAnsi="Times New Roman"/>
          <w:noProof/>
          <w:sz w:val="24"/>
        </w:rPr>
        <w:lastRenderedPageBreak/>
        <w:t xml:space="preserve">szkolnictwa, która promuje korzystanie z praktyk i koncentruje się na współpracy z przedsiębiorstwami. </w:t>
      </w:r>
    </w:p>
    <w:p w:rsidR="000F2E63" w:rsidRDefault="0010263F">
      <w:pPr>
        <w:spacing w:before="120" w:after="120" w:line="360" w:lineRule="auto"/>
        <w:jc w:val="both"/>
        <w:rPr>
          <w:rFonts w:ascii="Times New Roman" w:hAnsi="Times New Roman"/>
          <w:noProof/>
          <w:spacing w:val="-3"/>
          <w:sz w:val="24"/>
          <w:szCs w:val="24"/>
        </w:rPr>
      </w:pPr>
      <w:r>
        <w:rPr>
          <w:rFonts w:ascii="Times New Roman" w:hAnsi="Times New Roman"/>
          <w:b/>
          <w:noProof/>
          <w:spacing w:val="-3"/>
          <w:sz w:val="24"/>
        </w:rPr>
        <w:t xml:space="preserve">Wiele państw członkowskich zintensyfikowało swoje wysiłki na rzecz wspierania wczesnej aktywizacji młodzieży NEET i dotarcia do młodych ludzi najbardziej oddalonych od rynku pracy. </w:t>
      </w:r>
      <w:r>
        <w:rPr>
          <w:rFonts w:ascii="Times New Roman" w:hAnsi="Times New Roman"/>
          <w:noProof/>
          <w:spacing w:val="-3"/>
          <w:sz w:val="24"/>
        </w:rPr>
        <w:t>Na początku 2015 r. Łotwa, Finlandia, Portugalia i Rumunia przeprowadziły w</w:t>
      </w:r>
      <w:r>
        <w:rPr>
          <w:rFonts w:ascii="Times New Roman" w:hAnsi="Times New Roman"/>
          <w:noProof/>
          <w:spacing w:val="-3"/>
          <w:sz w:val="24"/>
        </w:rPr>
        <w:t>spólnie z Komisją Europejską działania mające na celu zwiększenie świadomości młodzieży NEET na temat możliwości oferowanych przez program gwarancji dla młodzieży i zachęcanie tej młodzieży do zgłaszania się do uczestniczących podmiotów w celu skorzystania</w:t>
      </w:r>
      <w:r>
        <w:rPr>
          <w:rFonts w:ascii="Times New Roman" w:hAnsi="Times New Roman"/>
          <w:noProof/>
          <w:spacing w:val="-3"/>
          <w:sz w:val="24"/>
        </w:rPr>
        <w:t xml:space="preserve"> ze wsparcia. Portugalia utworzyła szeroką sieć partnerów, by zwiększyć skuteczność dotarcia do młodzieży NEET. Ponadto uruchomiono platformę internetową dotyczącą gwarancji dla młodzieży, na której młodzież NEET może się indywidualnie zarejestrować i być </w:t>
      </w:r>
      <w:r>
        <w:rPr>
          <w:rFonts w:ascii="Times New Roman" w:hAnsi="Times New Roman"/>
          <w:noProof/>
          <w:spacing w:val="-3"/>
          <w:sz w:val="24"/>
        </w:rPr>
        <w:t>automatycznie przekierowywana do publicznych służb zatrudnienia, do sieci EURES lub ośrodków kwalifikacji i szkoleń zawodowych.  W Szwecji na gminy nałożono od stycznia 2015 r. znacznie większą odpowiedzialność za interwencje w dziedzinie młodzieży NEET. B</w:t>
      </w:r>
      <w:r>
        <w:rPr>
          <w:rFonts w:ascii="Times New Roman" w:hAnsi="Times New Roman"/>
          <w:noProof/>
          <w:spacing w:val="-3"/>
          <w:sz w:val="24"/>
        </w:rPr>
        <w:t>ułgaria zainicjowała ogólnokrajowy program „Aktywizacja osób nieaktywnych zawodowo”, aby skłonić zniechęconą młodzież NEET do zarejestrowania się w urzędach pracy i objąć ją szkoleniem lub pomóc jej ponownie podjąć naukę; program ten obejmuje również wyzna</w:t>
      </w:r>
      <w:r>
        <w:rPr>
          <w:rFonts w:ascii="Times New Roman" w:hAnsi="Times New Roman"/>
          <w:noProof/>
          <w:spacing w:val="-3"/>
          <w:sz w:val="24"/>
        </w:rPr>
        <w:t>czenie romskich mediatorów.  Jako jeden z elementów kompleksowego rejestru zasobów ludzkich Chorwacja opracowuje w 2015 r. system śledzenia młodzieży NEET, by w ten sposób zapanować nad zwiększającą się liczebnością młodzieży NEET.</w:t>
      </w:r>
    </w:p>
    <w:p w:rsidR="000F2E63" w:rsidRDefault="0010263F">
      <w:pPr>
        <w:spacing w:before="120" w:after="120" w:line="360" w:lineRule="auto"/>
        <w:jc w:val="both"/>
        <w:rPr>
          <w:rFonts w:ascii="Times New Roman" w:hAnsi="Times New Roman"/>
          <w:noProof/>
          <w:spacing w:val="-3"/>
          <w:sz w:val="24"/>
        </w:rPr>
      </w:pPr>
      <w:r>
        <w:rPr>
          <w:rFonts w:ascii="Times New Roman" w:hAnsi="Times New Roman"/>
          <w:b/>
          <w:noProof/>
          <w:spacing w:val="-8"/>
          <w:position w:val="2"/>
          <w:sz w:val="24"/>
        </w:rPr>
        <w:t>Kolejnym priorytetem był</w:t>
      </w:r>
      <w:r>
        <w:rPr>
          <w:rFonts w:ascii="Times New Roman" w:hAnsi="Times New Roman"/>
          <w:b/>
          <w:noProof/>
          <w:spacing w:val="-8"/>
          <w:position w:val="2"/>
          <w:sz w:val="24"/>
        </w:rPr>
        <w:t xml:space="preserve">o przełamywanie barier między najważniejszymi podmiotami uczestniczącymi w procesie przechodzenia od kształcenia do zatrudnienia (placówki edukacyjne, publiczne służby zatrudnienia, pracodawcy). </w:t>
      </w:r>
      <w:r>
        <w:rPr>
          <w:rFonts w:ascii="Times New Roman" w:hAnsi="Times New Roman"/>
          <w:noProof/>
          <w:spacing w:val="-8"/>
          <w:position w:val="2"/>
          <w:sz w:val="24"/>
        </w:rPr>
        <w:t xml:space="preserve">W Belgii wspieranie zatrudnienia młodzieży oraz </w:t>
      </w:r>
      <w:r>
        <w:rPr>
          <w:rFonts w:ascii="Times New Roman" w:hAnsi="Times New Roman"/>
          <w:noProof/>
          <w:spacing w:val="-8"/>
          <w:position w:val="2"/>
          <w:sz w:val="24"/>
        </w:rPr>
        <w:t>intensyfikacja wdrażania gwarancji dla młodzieży są najważniejszym priorytetem w ramach „Strategii 2025 dla Brukseli”, przyjętej w czerwcu 2015 r. W strategię tę, wspieraną przez EFS, włączeni są wszyscy właściwi ministrowie, a realizowana jest ona na zasa</w:t>
      </w:r>
      <w:r>
        <w:rPr>
          <w:rFonts w:ascii="Times New Roman" w:hAnsi="Times New Roman"/>
          <w:noProof/>
          <w:spacing w:val="-8"/>
          <w:position w:val="2"/>
          <w:sz w:val="24"/>
        </w:rPr>
        <w:t>dzie partnerstwa między najważniejszymi szczeblami rządowymi, aby budować mosty między sektorami zatrudnienia, edukacji i młodzieży. Niemcy, zainspirowane po części gwarancją dla młodzieży, tworzyły kolejne agencje pracy ds. młodzieży/lokalne sojusze, mają</w:t>
      </w:r>
      <w:r>
        <w:rPr>
          <w:rFonts w:ascii="Times New Roman" w:hAnsi="Times New Roman"/>
          <w:noProof/>
          <w:spacing w:val="-8"/>
          <w:position w:val="2"/>
          <w:sz w:val="24"/>
        </w:rPr>
        <w:t>ce wspierać młodych ludzi w przechodzeniu od kształcenia do zatrudnienia. Do września 2014 r. istniało już co najmniej 186 takich inicjatyw. Propagują one ścisłą współpracę między różnymi podmiotami na szczeblu lokalnym, w tym między publicznymi służbami z</w:t>
      </w:r>
      <w:r>
        <w:rPr>
          <w:rFonts w:ascii="Times New Roman" w:hAnsi="Times New Roman"/>
          <w:noProof/>
          <w:spacing w:val="-8"/>
          <w:position w:val="2"/>
          <w:sz w:val="24"/>
        </w:rPr>
        <w:t>atrudnienia, szkołami i służbami opieki społecznej. Począwszy od 2015 r. planowane są kolejne projekty modelowe współfinansowane z EFS,</w:t>
      </w:r>
      <w:r>
        <w:rPr>
          <w:rFonts w:ascii="Times New Roman" w:hAnsi="Times New Roman"/>
          <w:noProof/>
          <w:spacing w:val="-3"/>
          <w:sz w:val="24"/>
        </w:rPr>
        <w:t xml:space="preserve"> których celem ma być również </w:t>
      </w:r>
      <w:r>
        <w:rPr>
          <w:rFonts w:ascii="Times New Roman" w:hAnsi="Times New Roman"/>
          <w:noProof/>
          <w:spacing w:val="-3"/>
          <w:sz w:val="24"/>
        </w:rPr>
        <w:lastRenderedPageBreak/>
        <w:t>upowszechnienie pomocy socjopedagogicznej i rozszerzenie możliwości zatrudnienia dla młodzi</w:t>
      </w:r>
      <w:r>
        <w:rPr>
          <w:rFonts w:ascii="Times New Roman" w:hAnsi="Times New Roman"/>
          <w:noProof/>
          <w:spacing w:val="-3"/>
          <w:sz w:val="24"/>
        </w:rPr>
        <w:t>eży znajdującej się w niekorzystnym położeniu.</w:t>
      </w:r>
    </w:p>
    <w:p w:rsidR="000F2E63" w:rsidRDefault="0010263F">
      <w:pPr>
        <w:spacing w:before="120" w:after="120" w:line="360" w:lineRule="auto"/>
        <w:jc w:val="both"/>
        <w:rPr>
          <w:rFonts w:ascii="Times New Roman" w:eastAsia="EC Square Sans Pro Medium" w:hAnsi="Times New Roman"/>
          <w:noProof/>
          <w:spacing w:val="-3"/>
          <w:sz w:val="24"/>
          <w:szCs w:val="24"/>
        </w:rPr>
      </w:pPr>
      <w:r>
        <w:rPr>
          <w:rFonts w:ascii="Times New Roman" w:hAnsi="Times New Roman"/>
          <w:b/>
          <w:noProof/>
          <w:sz w:val="24"/>
        </w:rPr>
        <w:t xml:space="preserve">Niektóre państwa członkowskie skupiły swoje wysiłki na wspieraniu tworzenia miejsc pracy i </w:t>
      </w:r>
      <w:r>
        <w:rPr>
          <w:rFonts w:ascii="Times New Roman" w:hAnsi="Times New Roman"/>
          <w:b/>
          <w:noProof/>
          <w:spacing w:val="-3"/>
          <w:sz w:val="24"/>
        </w:rPr>
        <w:t xml:space="preserve">zwiększaniu szans młodych ludzi na zatrudnienie. </w:t>
      </w:r>
      <w:r>
        <w:rPr>
          <w:rFonts w:ascii="Times New Roman" w:hAnsi="Times New Roman"/>
          <w:noProof/>
          <w:spacing w:val="-3"/>
          <w:sz w:val="24"/>
        </w:rPr>
        <w:t>W Chorwacji wprowadzono 11 nowych instrumentów aktywnej polityki rynk</w:t>
      </w:r>
      <w:r>
        <w:rPr>
          <w:rFonts w:ascii="Times New Roman" w:hAnsi="Times New Roman"/>
          <w:noProof/>
          <w:spacing w:val="-3"/>
          <w:sz w:val="24"/>
        </w:rPr>
        <w:t xml:space="preserve">u pracy należących do pakietu </w:t>
      </w:r>
      <w:r>
        <w:rPr>
          <w:rFonts w:ascii="Times New Roman" w:hAnsi="Times New Roman"/>
          <w:i/>
          <w:noProof/>
          <w:spacing w:val="-3"/>
          <w:sz w:val="24"/>
        </w:rPr>
        <w:t>Young and Creative</w:t>
      </w:r>
      <w:r>
        <w:rPr>
          <w:rFonts w:ascii="Times New Roman" w:hAnsi="Times New Roman"/>
          <w:noProof/>
          <w:spacing w:val="-3"/>
          <w:sz w:val="24"/>
        </w:rPr>
        <w:t>, który obejmuje obecnie dofinansowanie zatrudnienia i samozatrudnienia, dofinansowanie szkolenia i specjalizacji, praktyki zawodowe w celu zatrudnienia, służbę na rzecz społeczności i ochronę miejsc pracy. S</w:t>
      </w:r>
      <w:r>
        <w:rPr>
          <w:rFonts w:ascii="Times New Roman" w:hAnsi="Times New Roman"/>
          <w:noProof/>
          <w:spacing w:val="-3"/>
          <w:sz w:val="24"/>
        </w:rPr>
        <w:t xml:space="preserve">łoweńskie służby zatrudnienia zainicjowały w 2015 r. program </w:t>
      </w:r>
      <w:r>
        <w:rPr>
          <w:rFonts w:ascii="Times New Roman" w:hAnsi="Times New Roman"/>
          <w:i/>
          <w:noProof/>
          <w:spacing w:val="-3"/>
          <w:sz w:val="24"/>
        </w:rPr>
        <w:t>Work Trials</w:t>
      </w:r>
      <w:r>
        <w:rPr>
          <w:rFonts w:ascii="Times New Roman" w:hAnsi="Times New Roman"/>
          <w:noProof/>
          <w:spacing w:val="-3"/>
          <w:sz w:val="24"/>
        </w:rPr>
        <w:t xml:space="preserve">, którego celem jest umożliwienie wszystkim osobom bezrobotnym do 29 roku życia sprawdzenie swoich umiejętności, wiedzy i zwyczajów w konkretnym miejscu pracy. </w:t>
      </w:r>
    </w:p>
    <w:p w:rsidR="000F2E63" w:rsidRDefault="0010263F">
      <w:pPr>
        <w:spacing w:before="120" w:after="120" w:line="360" w:lineRule="auto"/>
        <w:jc w:val="both"/>
        <w:rPr>
          <w:rFonts w:ascii="Times New Roman" w:eastAsia="EC Square Sans Pro Medium" w:hAnsi="Times New Roman"/>
          <w:noProof/>
          <w:spacing w:val="-3"/>
          <w:sz w:val="24"/>
          <w:szCs w:val="24"/>
        </w:rPr>
      </w:pPr>
      <w:r>
        <w:rPr>
          <w:rFonts w:ascii="Times New Roman" w:hAnsi="Times New Roman"/>
          <w:b/>
          <w:noProof/>
          <w:spacing w:val="-3"/>
          <w:sz w:val="24"/>
        </w:rPr>
        <w:t xml:space="preserve">Rehabilitacja zawodowa </w:t>
      </w:r>
      <w:r>
        <w:rPr>
          <w:rFonts w:ascii="Times New Roman" w:hAnsi="Times New Roman"/>
          <w:b/>
          <w:noProof/>
          <w:spacing w:val="-3"/>
          <w:sz w:val="24"/>
        </w:rPr>
        <w:t>ma kluczowe znaczenie dla zatrudnienia osób niepełnosprawnych</w:t>
      </w:r>
      <w:r>
        <w:rPr>
          <w:rFonts w:ascii="Times New Roman" w:hAnsi="Times New Roman"/>
          <w:noProof/>
          <w:spacing w:val="-3"/>
          <w:sz w:val="24"/>
        </w:rPr>
        <w:t xml:space="preserve"> W Finlandii wprowadzono zmiany mające umożliwić jak najwcześniejsze rozpoczęcie rehabilitacji zawodowej, aby zapobiegać przechodzeniu na rentę inwalidzką. Od października 2015 r. osoba uczestnic</w:t>
      </w:r>
      <w:r>
        <w:rPr>
          <w:rFonts w:ascii="Times New Roman" w:hAnsi="Times New Roman"/>
          <w:noProof/>
          <w:spacing w:val="-3"/>
          <w:sz w:val="24"/>
        </w:rPr>
        <w:t>ząca w rehabilitacji zawodowej powinna móc otrzymywać od instytucji ubezpieczenia społecznego częściowy dodatek na rehabilitację zawodową za dni, w które pracuje w niepełnym wymiarze czasu. W Chorwacji wprowadzono w grudniu 2014 r. poprawki do ustawy o reh</w:t>
      </w:r>
      <w:r>
        <w:rPr>
          <w:rFonts w:ascii="Times New Roman" w:hAnsi="Times New Roman"/>
          <w:noProof/>
          <w:spacing w:val="-3"/>
          <w:sz w:val="24"/>
        </w:rPr>
        <w:t xml:space="preserve">abilitacji zawodowej i zatrudnieniu osób niepełnosprawnych, aby poprawić ich sytuację pod tym kątem; w ustawie tej powołano także regionalne ośrodki rehabilitacji zawodowej. </w:t>
      </w:r>
    </w:p>
    <w:p w:rsidR="000F2E63" w:rsidRDefault="000F2E63">
      <w:pPr>
        <w:spacing w:before="120" w:after="120" w:line="360" w:lineRule="auto"/>
        <w:jc w:val="both"/>
        <w:rPr>
          <w:rFonts w:ascii="Times New Roman" w:eastAsia="EC Square Sans Pro Medium" w:hAnsi="Times New Roman"/>
          <w:noProof/>
          <w:spacing w:val="-3"/>
          <w:sz w:val="24"/>
          <w:szCs w:val="24"/>
        </w:rPr>
      </w:pPr>
    </w:p>
    <w:p w:rsidR="000F2E63" w:rsidRDefault="0010263F">
      <w:pPr>
        <w:spacing w:after="240" w:line="360" w:lineRule="auto"/>
        <w:jc w:val="both"/>
        <w:rPr>
          <w:rFonts w:ascii="Times New Roman" w:hAnsi="Times New Roman"/>
          <w:noProof/>
          <w:sz w:val="24"/>
          <w:szCs w:val="24"/>
        </w:rPr>
      </w:pPr>
      <w:r>
        <w:rPr>
          <w:rFonts w:ascii="Times New Roman" w:hAnsi="Times New Roman"/>
          <w:b/>
          <w:noProof/>
          <w:sz w:val="24"/>
        </w:rPr>
        <w:t>W wielu państwach członkowskich i w przypadku konkretnych grup ludności istnieje</w:t>
      </w:r>
      <w:r>
        <w:rPr>
          <w:rFonts w:ascii="Times New Roman" w:hAnsi="Times New Roman"/>
          <w:b/>
          <w:noProof/>
          <w:sz w:val="24"/>
        </w:rPr>
        <w:t xml:space="preserve"> znaczne ryzyko, że długotrwałe bezrobocie utrwali się i przełoży na wyższe bezrobocie strukturalne.</w:t>
      </w:r>
      <w:r>
        <w:rPr>
          <w:rFonts w:ascii="Times New Roman" w:hAnsi="Times New Roman"/>
          <w:noProof/>
          <w:sz w:val="24"/>
        </w:rPr>
        <w:t xml:space="preserve"> W niektórych państwach członkowskich wprowadzono nowe aktywne instrumenty służące przeciwdziałaniu długotrwałemu bezrobociu. W Portugalii uruchomiono w 201</w:t>
      </w:r>
      <w:r>
        <w:rPr>
          <w:rFonts w:ascii="Times New Roman" w:hAnsi="Times New Roman"/>
          <w:noProof/>
          <w:sz w:val="24"/>
        </w:rPr>
        <w:t xml:space="preserve">5 r. program sześciomiesięcznych staży dla długotrwale bezrobotnych powyżej 30 roku życia. W Hiszpanii w ramach narodowego programu aktywizacji uruchomionego pod koniec 2014 r. udziela się wsparcia finansowego długotrwale bezrobotnym, którzy nie otrzymują </w:t>
      </w:r>
      <w:r>
        <w:rPr>
          <w:rFonts w:ascii="Times New Roman" w:hAnsi="Times New Roman"/>
          <w:noProof/>
          <w:sz w:val="24"/>
        </w:rPr>
        <w:t>żadnych świadczeń; osoby te wspiera się przy poszukiwaniu pracy, jednocześnie zaostrzając wymogi dotyczące akceptowania ofert zatrudnienia i przydzielając każdemu z 400 000 beneficjentów wsparcia urzędnika zajmującego się ich konkretnym przypadkiem.</w:t>
      </w:r>
    </w:p>
    <w:p w:rsidR="000F2E63" w:rsidRDefault="0010263F">
      <w:pPr>
        <w:spacing w:after="240" w:line="360" w:lineRule="auto"/>
        <w:jc w:val="both"/>
        <w:rPr>
          <w:rFonts w:ascii="Times New Roman" w:hAnsi="Times New Roman"/>
          <w:noProof/>
          <w:sz w:val="24"/>
          <w:szCs w:val="24"/>
        </w:rPr>
      </w:pPr>
      <w:r>
        <w:rPr>
          <w:rFonts w:ascii="Times New Roman" w:hAnsi="Times New Roman"/>
          <w:noProof/>
          <w:sz w:val="24"/>
        </w:rPr>
        <w:t>W Finl</w:t>
      </w:r>
      <w:r>
        <w:rPr>
          <w:rFonts w:ascii="Times New Roman" w:hAnsi="Times New Roman"/>
          <w:noProof/>
          <w:sz w:val="24"/>
        </w:rPr>
        <w:t xml:space="preserve">andii rozpoczęto w 2015 r. reformy systemu wsparcia długotrwale bezrobotnych, polegające na utworzeniu punktu kompleksowej obsługi w celu lepszej koordynacji służb </w:t>
      </w:r>
      <w:r>
        <w:rPr>
          <w:rFonts w:ascii="Times New Roman" w:hAnsi="Times New Roman"/>
          <w:noProof/>
          <w:sz w:val="24"/>
        </w:rPr>
        <w:lastRenderedPageBreak/>
        <w:t>zatrudnienia, świadczeń i usług społecznych dla długotrwale bezrobotnych na szczeblu gminnym</w:t>
      </w:r>
      <w:r>
        <w:rPr>
          <w:rFonts w:ascii="Times New Roman" w:hAnsi="Times New Roman"/>
          <w:noProof/>
          <w:sz w:val="24"/>
        </w:rPr>
        <w:t xml:space="preserve">. Przyjęty we Francji w 2015 r. narodowy plan przeciwdziałania długotrwałemu bezrobociu przewiduje ulepszony system zindywidualizowanego, intensywnego doradztwa, z którego ma skorzystać 460 000 beneficjentów w 2017 r., szerszą ofertę subsydiowanych miejsc </w:t>
      </w:r>
      <w:r>
        <w:rPr>
          <w:rFonts w:ascii="Times New Roman" w:hAnsi="Times New Roman"/>
          <w:noProof/>
          <w:sz w:val="24"/>
        </w:rPr>
        <w:t xml:space="preserve">pracy i możliwości szkolenia zawodowego oraz nowy program szkolenia w miejscu pracy adresowany do pracowników starszych lub gorzej wykwalifikowanych, a także łatwiejszy dostęp do opieki nad dziećmi i wsparcia na potrzeby mieszkaniowe.  </w:t>
      </w:r>
    </w:p>
    <w:p w:rsidR="000F2E63" w:rsidRDefault="000F2E63">
      <w:pPr>
        <w:spacing w:after="240" w:line="360" w:lineRule="auto"/>
        <w:jc w:val="both"/>
        <w:rPr>
          <w:rFonts w:ascii="Times New Roman" w:hAnsi="Times New Roman"/>
          <w:noProof/>
          <w:sz w:val="24"/>
          <w:szCs w:val="24"/>
        </w:rPr>
      </w:pPr>
    </w:p>
    <w:p w:rsidR="000F2E63" w:rsidRDefault="0010263F">
      <w:pPr>
        <w:spacing w:after="240" w:line="360" w:lineRule="auto"/>
        <w:jc w:val="both"/>
        <w:rPr>
          <w:rFonts w:ascii="Times New Roman" w:hAnsi="Times New Roman"/>
          <w:noProof/>
          <w:sz w:val="24"/>
          <w:szCs w:val="24"/>
        </w:rPr>
      </w:pPr>
      <w:r>
        <w:rPr>
          <w:rFonts w:ascii="Times New Roman" w:hAnsi="Times New Roman"/>
          <w:noProof/>
          <w:sz w:val="24"/>
        </w:rPr>
        <w:t>Ożywienie gospodar</w:t>
      </w:r>
      <w:r>
        <w:rPr>
          <w:rFonts w:ascii="Times New Roman" w:hAnsi="Times New Roman"/>
          <w:noProof/>
          <w:sz w:val="24"/>
        </w:rPr>
        <w:t>cze i spadek liczby osób dołączających do grupy długotrwale bezrobotnych, a także polepszająca się sytuacja budżetowa umożliwiają podejmowanie dodatkowych działań. Długotrwałe bezrobocie jest jednak przedmiotem refom w zaledwie połowie państw członkowskich</w:t>
      </w:r>
      <w:r>
        <w:rPr>
          <w:rFonts w:ascii="Times New Roman" w:hAnsi="Times New Roman"/>
          <w:noProof/>
          <w:sz w:val="24"/>
        </w:rPr>
        <w:t xml:space="preserve">. Projekt Komisji dotyczący zalecenia Rady w sprawie integracji osób długotrwale bezrobotnych na rynku pracy jest obecnie przedmiotem dyskusji państw członkowskich. </w:t>
      </w:r>
    </w:p>
    <w:p w:rsidR="000F2E63" w:rsidRDefault="0010263F">
      <w:pPr>
        <w:spacing w:line="360" w:lineRule="auto"/>
        <w:jc w:val="both"/>
        <w:rPr>
          <w:rFonts w:ascii="Times New Roman" w:hAnsi="Times New Roman"/>
          <w:b/>
          <w:noProof/>
          <w:sz w:val="24"/>
          <w:szCs w:val="24"/>
        </w:rPr>
      </w:pPr>
      <w:r>
        <w:rPr>
          <w:rFonts w:ascii="Times New Roman" w:hAnsi="Times New Roman"/>
          <w:b/>
          <w:noProof/>
          <w:sz w:val="24"/>
        </w:rPr>
        <w:t xml:space="preserve">2.3 </w:t>
      </w:r>
      <w:r>
        <w:rPr>
          <w:rFonts w:ascii="Times New Roman" w:hAnsi="Times New Roman"/>
          <w:b/>
          <w:noProof/>
          <w:sz w:val="24"/>
        </w:rPr>
        <w:tab/>
        <w:t>Poprawa funkcjonowania rynków pracy</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Działania państw członkowskich w kierunku moderni</w:t>
      </w:r>
      <w:r>
        <w:rPr>
          <w:rFonts w:ascii="Times New Roman" w:hAnsi="Times New Roman"/>
          <w:b/>
          <w:noProof/>
          <w:sz w:val="24"/>
        </w:rPr>
        <w:t>zacji przepisów w dziedzinie ochrony zatrudnienia kontynuowano zwłaszcza w państwach, w których występują znaczna nierównowaga i segmentacja na rynku pracy. Tylko jednak w niektórych przypadkach reformy te zmierzają do zwiększenia zatrudnienia i ograniczen</w:t>
      </w:r>
      <w:r>
        <w:rPr>
          <w:rFonts w:ascii="Times New Roman" w:hAnsi="Times New Roman"/>
          <w:b/>
          <w:noProof/>
          <w:sz w:val="24"/>
        </w:rPr>
        <w:t xml:space="preserve">ia liczby osób pozostających poza rynkiem pracy. </w:t>
      </w:r>
      <w:r>
        <w:rPr>
          <w:rFonts w:ascii="Times New Roman" w:hAnsi="Times New Roman"/>
          <w:noProof/>
          <w:sz w:val="24"/>
        </w:rPr>
        <w:t xml:space="preserve">We Włoszech przyjęto pod koniec 2014 r. szeroko zakrojoną ustawę wykonawczą o nazwie </w:t>
      </w:r>
      <w:r>
        <w:rPr>
          <w:rFonts w:ascii="Times New Roman" w:hAnsi="Times New Roman"/>
          <w:i/>
          <w:noProof/>
          <w:sz w:val="24"/>
        </w:rPr>
        <w:t>Jobs Act</w:t>
      </w:r>
      <w:r>
        <w:rPr>
          <w:rFonts w:ascii="Times New Roman" w:hAnsi="Times New Roman"/>
          <w:noProof/>
          <w:sz w:val="24"/>
        </w:rPr>
        <w:t xml:space="preserve"> (ostateczne wykonawcze decyzje do ustawy zatwierdzono we wrześniu 2015 r.), która przewiduje m.in. uproszczenie u</w:t>
      </w:r>
      <w:r>
        <w:rPr>
          <w:rFonts w:ascii="Times New Roman" w:hAnsi="Times New Roman"/>
          <w:noProof/>
          <w:sz w:val="24"/>
        </w:rPr>
        <w:t xml:space="preserve">mów i procedur prawa pracy oraz zmniejszenie zakresu obowiązku ponownego zatrudnienia w następstwie niesprawiedliwego zwolnienia. </w:t>
      </w:r>
      <w:r>
        <w:rPr>
          <w:rFonts w:ascii="Times New Roman" w:hAnsi="Times New Roman"/>
          <w:noProof/>
        </w:rPr>
        <w:t xml:space="preserve">W przyjętej w Niderlandach w 2014 r. </w:t>
      </w:r>
      <w:r>
        <w:rPr>
          <w:rFonts w:ascii="Times New Roman" w:hAnsi="Times New Roman"/>
          <w:i/>
          <w:noProof/>
          <w:sz w:val="24"/>
        </w:rPr>
        <w:t>ustawie o zatrudnieniu i bezpieczeństwie</w:t>
      </w:r>
      <w:r>
        <w:rPr>
          <w:rFonts w:ascii="Times New Roman" w:hAnsi="Times New Roman"/>
          <w:noProof/>
          <w:sz w:val="24"/>
        </w:rPr>
        <w:t xml:space="preserve"> wprowadzono maksymalną kwotę odprawy lub odszkod</w:t>
      </w:r>
      <w:r>
        <w:rPr>
          <w:rFonts w:ascii="Times New Roman" w:hAnsi="Times New Roman"/>
          <w:noProof/>
          <w:sz w:val="24"/>
        </w:rPr>
        <w:t>owania za niesprawiedliwe zwolnienie, zwiększając jednocześnie ochronę pracowników tymczasowych. W Chorwacji przeprowadzono także szerokie reformy kodeksu pracy prowadzące do obniżenia kosztów, uproszczenia procedur zwolnień indywidualnych i grupowych, uła</w:t>
      </w:r>
      <w:r>
        <w:rPr>
          <w:rFonts w:ascii="Times New Roman" w:hAnsi="Times New Roman"/>
          <w:noProof/>
          <w:sz w:val="24"/>
        </w:rPr>
        <w:t xml:space="preserve">twienia dostępu do pracy tymczasowej i bardziej elastycznej organizacji czasu pracy. Procedury zwolnień grupowych uproszczono również na Łotwie. W Bułgarii wprowadzono zmiany do </w:t>
      </w:r>
      <w:r>
        <w:rPr>
          <w:rFonts w:ascii="Times New Roman" w:hAnsi="Times New Roman"/>
          <w:noProof/>
          <w:sz w:val="24"/>
        </w:rPr>
        <w:lastRenderedPageBreak/>
        <w:t>kodeksu pracy, aby zwiększyć elastyczność czasu pracy i wprowadzić możliwość p</w:t>
      </w:r>
      <w:r>
        <w:rPr>
          <w:rFonts w:ascii="Times New Roman" w:hAnsi="Times New Roman"/>
          <w:noProof/>
          <w:sz w:val="24"/>
        </w:rPr>
        <w:t xml:space="preserve">odpisywania jednodniowych umów o pracę sezonową w rolnictwie.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Pomimo wysokiego poziomu segmentacji w niektórych państwach ułatwiono dostęp do umów o pracę na czas określony (w Republice Czeskiej) bądź zwiększono ich maksymalny okres obowiązywania lub możl</w:t>
      </w:r>
      <w:r>
        <w:rPr>
          <w:rFonts w:ascii="Times New Roman" w:hAnsi="Times New Roman"/>
          <w:noProof/>
          <w:sz w:val="24"/>
        </w:rPr>
        <w:t>iwość przedłużania (w Chorwacji, we Włoszech, na Łotwie, a także – tymczasowo – w Portugalii). W niewielkiej liczbie państw członkowskich zaostrzono przepisy dotyczące umów o pracę na czas określony (np. w Polsce), a konkretnie uregulowania dotyczące korzy</w:t>
      </w:r>
      <w:r>
        <w:rPr>
          <w:rFonts w:ascii="Times New Roman" w:hAnsi="Times New Roman"/>
          <w:noProof/>
          <w:sz w:val="24"/>
        </w:rPr>
        <w:t xml:space="preserve">stania z pracy tymczasowej (w Słowenii, Francji, Danii i na Słowacji). W Zjednoczonym Królestwie wprowadzono opłatę za wystąpienie do sądu pracy w celu ograniczenia liczby rozpatrywanych spraw.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Zgodnie z działaniami podejmowanymi w minionych latach w w</w:t>
      </w:r>
      <w:r>
        <w:rPr>
          <w:rFonts w:ascii="Times New Roman" w:hAnsi="Times New Roman"/>
          <w:b/>
          <w:noProof/>
          <w:sz w:val="24"/>
        </w:rPr>
        <w:t>ielu państwach członkowskich nadal dążono do większej skuteczności publicznych służb zatrudnienia.</w:t>
      </w:r>
      <w:r>
        <w:rPr>
          <w:rFonts w:ascii="Times New Roman" w:hAnsi="Times New Roman"/>
          <w:noProof/>
          <w:sz w:val="24"/>
        </w:rPr>
        <w:t xml:space="preserve"> W Danii i na Łotwie usprawniono określanie profili osób poszukujących pracy i dostosowywanie wsparcia w poszukiwaniu pracy oraz powiązanych usług do potrzeb </w:t>
      </w:r>
      <w:r>
        <w:rPr>
          <w:rFonts w:ascii="Times New Roman" w:hAnsi="Times New Roman"/>
          <w:noProof/>
          <w:sz w:val="24"/>
        </w:rPr>
        <w:t>takich osób, natomiast w Polsce i na Słowacji położono nacisk na usługi dla grup znajdujących się w szczególnie trudnej sytuacji. W Szwecji i na Litwie ulepszono prowadzenie spraw dotyczących ludzi młodych i przedwcześnie kończących naukę. W Belgii, Niderl</w:t>
      </w:r>
      <w:r>
        <w:rPr>
          <w:rFonts w:ascii="Times New Roman" w:hAnsi="Times New Roman"/>
          <w:noProof/>
          <w:sz w:val="24"/>
        </w:rPr>
        <w:t>andach, Hiszpanii oraz na Słowacji zadecydowano o zacieśnieniu współpracy między poszczególnymi podmiotami, co niekiedy wiąże się z warunkowym rozdzielaniem funduszy między różne urzędy. W Irlandii zreorganizowano publiczne służby zatrudnienia, a także w r</w:t>
      </w:r>
      <w:r>
        <w:rPr>
          <w:rFonts w:ascii="Times New Roman" w:hAnsi="Times New Roman"/>
          <w:noProof/>
          <w:sz w:val="24"/>
        </w:rPr>
        <w:t>amach programu JobPath zakontraktowano dodatkowy udział podmiotów sektora prywatnego w usługach służb zatrudnienia; usługi tego sektora skupiają się głównie na długotrwale bezrobotnych.</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wielu państwach członkowskich prowadzi się reformy dialogu społeczne</w:t>
      </w:r>
      <w:r>
        <w:rPr>
          <w:rFonts w:ascii="Times New Roman" w:hAnsi="Times New Roman"/>
          <w:b/>
          <w:noProof/>
          <w:sz w:val="24"/>
        </w:rPr>
        <w:t xml:space="preserve">go, które dotyczą funkcjonowania i skuteczności tego dialogu. Związane są one przede wszystkim z układami zbiorowymi, lecz mają także wpływ na reprezentację pracowniczą. </w:t>
      </w:r>
      <w:r>
        <w:rPr>
          <w:rFonts w:ascii="Times New Roman" w:hAnsi="Times New Roman"/>
          <w:noProof/>
          <w:sz w:val="24"/>
        </w:rPr>
        <w:t>W Niemczech,</w:t>
      </w:r>
      <w:r>
        <w:rPr>
          <w:rFonts w:ascii="Times New Roman" w:hAnsi="Times New Roman"/>
          <w:noProof/>
        </w:rPr>
        <w:t xml:space="preserve"> </w:t>
      </w:r>
      <w:r>
        <w:rPr>
          <w:rFonts w:ascii="Times New Roman" w:hAnsi="Times New Roman"/>
          <w:noProof/>
          <w:sz w:val="24"/>
        </w:rPr>
        <w:t>na Słowacji i w Portugalii złagodzono kryteria rozszerzania sektorowych u</w:t>
      </w:r>
      <w:r>
        <w:rPr>
          <w:rFonts w:ascii="Times New Roman" w:hAnsi="Times New Roman"/>
          <w:noProof/>
          <w:sz w:val="24"/>
        </w:rPr>
        <w:t>kładów zbiorowych na wynagrodzenia, choć w Portugalii częściowo przywrócono zasady obowiązujące zgodnie z programem pomocy finansowej. W Chorwacji zniesiono nieograniczony okres ważności układów zbiorowych, które wygasły. W Portugalii w 2014 r. skrócono ok</w:t>
      </w:r>
      <w:r>
        <w:rPr>
          <w:rFonts w:ascii="Times New Roman" w:hAnsi="Times New Roman"/>
          <w:noProof/>
          <w:sz w:val="24"/>
        </w:rPr>
        <w:t xml:space="preserve">res ważności układów zbiorowych, które wygasły i nie zostały przedłużone; wprowadzono również możliwość wynegocjowanego zawieszenia układów zbiorowych w </w:t>
      </w:r>
      <w:r>
        <w:rPr>
          <w:rFonts w:ascii="Times New Roman" w:hAnsi="Times New Roman"/>
          <w:noProof/>
          <w:sz w:val="24"/>
        </w:rPr>
        <w:lastRenderedPageBreak/>
        <w:t>przedsiębiorstwach, które znajdują się w trudnej sytuacji. Partnerzy społeczni we Włoszech podpisali po</w:t>
      </w:r>
      <w:r>
        <w:rPr>
          <w:rFonts w:ascii="Times New Roman" w:hAnsi="Times New Roman"/>
          <w:noProof/>
          <w:sz w:val="24"/>
        </w:rPr>
        <w:t>rozumienie międzysektorowe, w którym sprecyzowano kryteria oceny stopnia reprezentacyjności związków zawodowych oraz ustalono tempo rozszerzania zakresu zdecentralizowanych negocjacji zbiorowych. W Chorwacji przyjęto w 2014 r. nowe przepisy dotyczące dział</w:t>
      </w:r>
      <w:r>
        <w:rPr>
          <w:rFonts w:ascii="Times New Roman" w:hAnsi="Times New Roman"/>
          <w:noProof/>
          <w:sz w:val="24"/>
        </w:rPr>
        <w:t>alności związków zawodowych. Francuski rząd przeprowadził w 2015 r. reformę dialogu społecznego w celu unowocześnienia przepisów dotyczących reprezentacji pracowniczej i zracjonalizowania obowiązków pracodawców w zakresie informowania reprezentacji pracown</w:t>
      </w:r>
      <w:r>
        <w:rPr>
          <w:rFonts w:ascii="Times New Roman" w:hAnsi="Times New Roman"/>
          <w:noProof/>
          <w:sz w:val="24"/>
        </w:rPr>
        <w:t>ików i przeprowadzania z nimi konsultacji. Coroczne negocjacje zbiorowe mają zostać zreorganizowane wokół ustalonych głównych osi. W Niemczech</w:t>
      </w:r>
      <w:r>
        <w:rPr>
          <w:rFonts w:ascii="Times New Roman" w:hAnsi="Times New Roman"/>
          <w:noProof/>
        </w:rPr>
        <w:t xml:space="preserve"> przyjęto w 2015 r. ustawę o nazwie </w:t>
      </w:r>
      <w:r>
        <w:rPr>
          <w:rFonts w:ascii="Times New Roman" w:hAnsi="Times New Roman"/>
          <w:i/>
          <w:noProof/>
          <w:sz w:val="24"/>
        </w:rPr>
        <w:t>Tarifeinheitsgesetz</w:t>
      </w:r>
      <w:r>
        <w:rPr>
          <w:rFonts w:ascii="Times New Roman" w:hAnsi="Times New Roman"/>
          <w:noProof/>
          <w:sz w:val="24"/>
        </w:rPr>
        <w:t>, która przewiduje, że w przypadku nakładających się i sprzecznych układów zbiorowych w przedsiębiorstwie zastosowanie ma wyłącznie układ podpisany ze związkiem zawodowym skupiającym największą liczbę członków w tym przedsiębiorstwie. W Zjednoczonym Króles</w:t>
      </w:r>
      <w:r>
        <w:rPr>
          <w:rFonts w:ascii="Times New Roman" w:hAnsi="Times New Roman"/>
          <w:noProof/>
          <w:sz w:val="24"/>
        </w:rPr>
        <w:t xml:space="preserve">twie </w:t>
      </w:r>
      <w:r>
        <w:rPr>
          <w:rFonts w:ascii="Times New Roman" w:hAnsi="Times New Roman"/>
          <w:noProof/>
        </w:rPr>
        <w:t xml:space="preserve">nową </w:t>
      </w:r>
      <w:r>
        <w:rPr>
          <w:rFonts w:ascii="Times New Roman" w:hAnsi="Times New Roman"/>
          <w:i/>
          <w:noProof/>
          <w:sz w:val="24"/>
        </w:rPr>
        <w:t>ustawą o związkach zawodowych</w:t>
      </w:r>
      <w:r>
        <w:rPr>
          <w:rFonts w:ascii="Times New Roman" w:hAnsi="Times New Roman"/>
          <w:noProof/>
          <w:sz w:val="24"/>
        </w:rPr>
        <w:t xml:space="preserve"> z 2015 r. wprowadzono reformy dotyczące związków zawodowych i akcji protestacyjnych.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Zaangażowanie partnerów społecznych w opracowywanie i realizację polityki i reform wymaga dalszego monitorowania. </w:t>
      </w:r>
      <w:r>
        <w:rPr>
          <w:rFonts w:ascii="Times New Roman" w:hAnsi="Times New Roman"/>
          <w:noProof/>
          <w:sz w:val="24"/>
        </w:rPr>
        <w:t>W większości p</w:t>
      </w:r>
      <w:r>
        <w:rPr>
          <w:rFonts w:ascii="Times New Roman" w:hAnsi="Times New Roman"/>
          <w:noProof/>
          <w:sz w:val="24"/>
        </w:rPr>
        <w:t>aństw członkowskich istnieje pewna forma uczestnictwa partnerów społecznych w przygotowywaniu krajowych programów reform. Jakość i intensywność tego uczestnictwa, a także stopień, w jakim partnerzy społeczni są w stanie kształtować treść krajowych programó</w:t>
      </w:r>
      <w:r>
        <w:rPr>
          <w:rFonts w:ascii="Times New Roman" w:hAnsi="Times New Roman"/>
          <w:noProof/>
          <w:sz w:val="24"/>
        </w:rPr>
        <w:t>w reform (KPR), są bardzo zróżnicowane. Faktyczne zaangażowanie partnerów społecznych we wdrażanie zaleceń dla poszczególnych krajów lub powiązanych reform i polityki ma miejsce w mniejszej liczbie państw członkowskich.</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2.4</w:t>
      </w:r>
      <w:r>
        <w:rPr>
          <w:rFonts w:ascii="Times New Roman" w:hAnsi="Times New Roman"/>
          <w:b/>
          <w:noProof/>
          <w:sz w:val="24"/>
        </w:rPr>
        <w:tab/>
        <w:t>Zagwarantowanie sprawiedliwości,</w:t>
      </w:r>
      <w:r>
        <w:rPr>
          <w:rFonts w:ascii="Times New Roman" w:hAnsi="Times New Roman"/>
          <w:b/>
          <w:noProof/>
          <w:sz w:val="24"/>
        </w:rPr>
        <w:t xml:space="preserve"> zwalczanie ubóstwa i promowanie równych szans</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celu zahamowania wzrostu liczby osób ubogich lub jej zmniejszenia, a także zwiększenia współczynnika aktywności zawodowej wprowadzono znaczące zmiany do systemów świadczeń społecznych, wspierano aktywną poli</w:t>
      </w:r>
      <w:r>
        <w:rPr>
          <w:rFonts w:ascii="Times New Roman" w:hAnsi="Times New Roman"/>
          <w:b/>
          <w:noProof/>
          <w:sz w:val="24"/>
        </w:rPr>
        <w:t xml:space="preserve">tykę rynku pracy i podejmowano działania dostosowane do potrzeb osób najbardziej narażonych na ubóstwo. </w:t>
      </w:r>
      <w:r>
        <w:rPr>
          <w:rFonts w:ascii="Times New Roman" w:hAnsi="Times New Roman"/>
          <w:noProof/>
          <w:sz w:val="24"/>
        </w:rPr>
        <w:t>W niektórych państwach członkowskich (w Belgii, Estonii, Chorwacji, Szwecji oraz Rumunii) zwiększono wysokość wsparcia dochodu, natomiast w innych uleps</w:t>
      </w:r>
      <w:r>
        <w:rPr>
          <w:rFonts w:ascii="Times New Roman" w:hAnsi="Times New Roman"/>
          <w:noProof/>
          <w:sz w:val="24"/>
        </w:rPr>
        <w:t xml:space="preserve">zono zasady działania środków pomocy, wprowadzając stopniowe wycofywanie świadczeń (na </w:t>
      </w:r>
      <w:r>
        <w:rPr>
          <w:rFonts w:ascii="Times New Roman" w:hAnsi="Times New Roman"/>
          <w:noProof/>
          <w:sz w:val="24"/>
        </w:rPr>
        <w:lastRenderedPageBreak/>
        <w:t>Malcie i Łotwie) lub świadczenia wypłacane osobom już pracującym (w Estonii). Wiele państw członkowskich wprowadza lub intensyfikuje działania aktywizujące jako część sw</w:t>
      </w:r>
      <w:r>
        <w:rPr>
          <w:rFonts w:ascii="Times New Roman" w:hAnsi="Times New Roman"/>
          <w:noProof/>
          <w:sz w:val="24"/>
        </w:rPr>
        <w:t>ojej polityki mającej na celu skuteczniejszą walkę z ubóstwem wśród osób aktywnych zawodowo (w Austrii, Bułgarii, Niemczech, Danii i Niderlandach). Wprowadzane są także różne finansowe i niefinansowe zachęty do podejmowania pracy (w Belgii, Finlandii, Fran</w:t>
      </w:r>
      <w:r>
        <w:rPr>
          <w:rFonts w:ascii="Times New Roman" w:hAnsi="Times New Roman"/>
          <w:noProof/>
          <w:sz w:val="24"/>
        </w:rPr>
        <w:t>cji, na Łotwie, Malcie i w Polsce). W niektórych państwach (w Belgii, Chorwacji, Grecji, Irlandii, Rumunii, Szwecji) zaplanowano lub prowadzi się obecnie reformy systemów pomocy społecznej i świadczeń dla bezrobotnych.</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W Belgii kontynuowana jest reforma sy</w:t>
      </w:r>
      <w:r>
        <w:rPr>
          <w:rFonts w:ascii="Times New Roman" w:hAnsi="Times New Roman"/>
          <w:noProof/>
          <w:sz w:val="24"/>
        </w:rPr>
        <w:t>stemu świadczeń dla bezrobotnych w celu zapewnienia równowagi między świadczeniami a pomocą w skutecznym poszukiwaniu zatrudnienia oraz możliwościami szkolenia. W Rumunii zaplanowano, w ramach reformy siatki bezpieczeństwa socjalnego, wprowadzenie minimaln</w:t>
      </w:r>
      <w:r>
        <w:rPr>
          <w:rFonts w:ascii="Times New Roman" w:hAnsi="Times New Roman"/>
          <w:noProof/>
          <w:sz w:val="24"/>
        </w:rPr>
        <w:t>ego dochodu umożliwiającego włączenie społeczne poprzez połączenie trzech programów udzielania świadczeń zależnych od dochodów, trafniejsze określanie beneficjentów oraz zmniejszanie kosztów administracyjnych. W Grecji wprowadzono program pilotażowy w celu</w:t>
      </w:r>
      <w:r>
        <w:rPr>
          <w:rFonts w:ascii="Times New Roman" w:hAnsi="Times New Roman"/>
          <w:noProof/>
          <w:sz w:val="24"/>
        </w:rPr>
        <w:t xml:space="preserve"> wprowadzenia systemu dochodu minimalnego. W Irlandii kontynuowano działania na rzecz zmniejszenia liczby gospodarstw domowych o małej intensywności pracy przez zintegrowane świadczenie usług (punkt kompleksowej obsługi) i ściślejsze wiązanie uprawnień do </w:t>
      </w:r>
      <w:r>
        <w:rPr>
          <w:rFonts w:ascii="Times New Roman" w:hAnsi="Times New Roman"/>
          <w:noProof/>
          <w:sz w:val="24"/>
        </w:rPr>
        <w:t xml:space="preserve">świadczeń z działaniami aktywizacyjnymi.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odpowiedzi na rosnące obawy związane ze skutkami wzrostu liczby żyjących w ubóstwie dzieci w wielu państwach członkowskich zintensyfikowano działania na rzecz poprawy sytuacji dzieci.</w:t>
      </w:r>
      <w:r>
        <w:rPr>
          <w:rFonts w:ascii="Times New Roman" w:hAnsi="Times New Roman"/>
          <w:noProof/>
          <w:sz w:val="24"/>
        </w:rPr>
        <w:t xml:space="preserve"> W Bułgarii, Republice Czeski</w:t>
      </w:r>
      <w:r>
        <w:rPr>
          <w:rFonts w:ascii="Times New Roman" w:hAnsi="Times New Roman"/>
          <w:noProof/>
          <w:sz w:val="24"/>
        </w:rPr>
        <w:t>ej, Polsce i Rumunii zwiększono lub rozszerzono środki wsparcia dochodu w rodzinach z dziećmi, natomiast w Belgii i na Malcie wprowadzono dodatki do świadczeń na dzieci żyjących w rodzinach o niskich dochodach. Na Węgrzech, Malcie i w Zjednoczonym Królestw</w:t>
      </w:r>
      <w:r>
        <w:rPr>
          <w:rFonts w:ascii="Times New Roman" w:hAnsi="Times New Roman"/>
          <w:noProof/>
          <w:sz w:val="24"/>
        </w:rPr>
        <w:t>ie prowadzono działania na rzecz łatwiejszego dostępu rodziców do rynku pracy oraz zwiększono zachęty do pracy. W wielu państwach członkowskich kontynuowano inwestowanie w edukację, zwłaszcza wczesną edukację i opiekę nad dzieckiem, co odzwierciedla rosnąc</w:t>
      </w:r>
      <w:r>
        <w:rPr>
          <w:rFonts w:ascii="Times New Roman" w:hAnsi="Times New Roman"/>
          <w:noProof/>
          <w:sz w:val="24"/>
        </w:rPr>
        <w:t>ą świadomość zasadniczej roli, jaką odgrywa okres przedszkolny w kształtowaniu dziecięcych umiejętności poznawczych i społecznych. W Finlandii wprowadzono obowiązek pełnej edukacji przedszkolnej, natomiast w Chorwacji obowiązek ten dotyczy jednorocznej edu</w:t>
      </w:r>
      <w:r>
        <w:rPr>
          <w:rFonts w:ascii="Times New Roman" w:hAnsi="Times New Roman"/>
          <w:noProof/>
          <w:sz w:val="24"/>
        </w:rPr>
        <w:t xml:space="preserve">kacji przedszkolnej przed rozpoczęciem szkoły podstawowej. W Austrii przeznaczono dodatkowe środki publiczne na poprawę wyników nauczania w placówkach wczesnej edukacji i opieki nad dzieckiem, a w Zjednoczonym </w:t>
      </w:r>
      <w:r>
        <w:rPr>
          <w:rFonts w:ascii="Times New Roman" w:hAnsi="Times New Roman"/>
          <w:noProof/>
          <w:sz w:val="24"/>
        </w:rPr>
        <w:lastRenderedPageBreak/>
        <w:t>Królestwie wprowadzono możliwość korzystania z</w:t>
      </w:r>
      <w:r>
        <w:rPr>
          <w:rFonts w:ascii="Times New Roman" w:hAnsi="Times New Roman"/>
          <w:noProof/>
          <w:sz w:val="24"/>
        </w:rPr>
        <w:t xml:space="preserve"> nieodpłatnej opieki nad trzy- i czterolatkami w wymiarze 15 godzin tygodniowo, a także środki przeznaczone dla małych dzieci znajdujących się w trudnej sytuacji społecznej. W niektórych państwach członkowskich zwiększono również fundusze na rozbudowę plac</w:t>
      </w:r>
      <w:r>
        <w:rPr>
          <w:rFonts w:ascii="Times New Roman" w:hAnsi="Times New Roman"/>
          <w:noProof/>
          <w:sz w:val="24"/>
        </w:rPr>
        <w:t xml:space="preserve">ówek opieki nad dzieckiem (w Belgii, Bułgarii, Republice Czeskiej, Estonii, Niemczech, Polsce i Zjednoczonym Królestwie), systemów opieki po zajęciach szkolnych (w Irlandii) oraz placówek całodniowej opieki zapewnianej przez szkoły (w Austrii). W Bułgarii </w:t>
      </w:r>
      <w:r>
        <w:rPr>
          <w:rFonts w:ascii="Times New Roman" w:hAnsi="Times New Roman"/>
          <w:noProof/>
          <w:sz w:val="24"/>
        </w:rPr>
        <w:t xml:space="preserve">kontynuowano działania na rzecz poprawy jakości alternatywnej opieki i wsparcia dzieci wychowujących się poza rodziną. Także w Finlandii przyjęto szereg środków w celu zwiększenia ochrony dzieci w takiej sytuacji.   </w:t>
      </w:r>
    </w:p>
    <w:p w:rsidR="000F2E63" w:rsidRDefault="0010263F">
      <w:pPr>
        <w:spacing w:line="360" w:lineRule="auto"/>
        <w:jc w:val="both"/>
        <w:rPr>
          <w:rFonts w:ascii="Times New Roman" w:hAnsi="Times New Roman"/>
          <w:noProof/>
        </w:rPr>
      </w:pPr>
      <w:r>
        <w:rPr>
          <w:rFonts w:ascii="Times New Roman" w:hAnsi="Times New Roman"/>
          <w:b/>
          <w:noProof/>
          <w:sz w:val="24"/>
        </w:rPr>
        <w:t>Niedawne reformy emerytalne pomogły w z</w:t>
      </w:r>
      <w:r>
        <w:rPr>
          <w:rFonts w:ascii="Times New Roman" w:hAnsi="Times New Roman"/>
          <w:b/>
          <w:noProof/>
          <w:sz w:val="24"/>
        </w:rPr>
        <w:t>ahamowaniu długotrwałego wzrostu wydatków emerytalnych w większości państw członkowskich</w:t>
      </w:r>
      <w:r>
        <w:rPr>
          <w:rFonts w:ascii="Times New Roman" w:hAnsi="Times New Roman"/>
          <w:b/>
          <w:noProof/>
          <w:sz w:val="24"/>
          <w:vertAlign w:val="superscript"/>
        </w:rPr>
        <w:footnoteReference w:id="32"/>
      </w:r>
      <w:r>
        <w:rPr>
          <w:rFonts w:ascii="Times New Roman" w:hAnsi="Times New Roman"/>
          <w:b/>
          <w:noProof/>
          <w:sz w:val="24"/>
        </w:rPr>
        <w:t>. Wpływ tych reform na adekwatność emerytur nadal zależeć będzie od zdolności kobiet i mężczyzn do dłuższych i pełniejszych karier zawodowych</w:t>
      </w:r>
      <w:r>
        <w:rPr>
          <w:rFonts w:ascii="Times New Roman" w:hAnsi="Times New Roman"/>
          <w:b/>
          <w:noProof/>
          <w:sz w:val="24"/>
          <w:vertAlign w:val="superscript"/>
        </w:rPr>
        <w:footnoteReference w:id="33"/>
      </w:r>
      <w:r>
        <w:rPr>
          <w:rFonts w:ascii="Times New Roman" w:hAnsi="Times New Roman"/>
          <w:noProof/>
          <w:sz w:val="24"/>
        </w:rPr>
        <w:t>, która to zdolność nie j</w:t>
      </w:r>
      <w:r>
        <w:rPr>
          <w:rFonts w:ascii="Times New Roman" w:hAnsi="Times New Roman"/>
          <w:noProof/>
          <w:sz w:val="24"/>
        </w:rPr>
        <w:t>est jednakowa u obu płci i we wszystkich grupach pracowników. Zdecydowana większość reform państw członkowskich dotyczyła podniesienia wieku emerytalnego i ograniczenia możliwości przejścia na wcześniejszą emeryturę, choć reformom tym nie zawsze towarzyszy</w:t>
      </w:r>
      <w:r>
        <w:rPr>
          <w:rFonts w:ascii="Times New Roman" w:hAnsi="Times New Roman"/>
          <w:noProof/>
          <w:sz w:val="24"/>
        </w:rPr>
        <w:t xml:space="preserve"> polityka aktywnego starzenia się. W niektórych państwach członkowskich zachowano lub ponownie wprowadzono specjalne warunki przejścia na wcześniejszą emeryturę w przypadku osób o długiej karierze zawodowej lub wykonujących ciężką pracę. W związku z ograni</w:t>
      </w:r>
      <w:r>
        <w:rPr>
          <w:rFonts w:ascii="Times New Roman" w:hAnsi="Times New Roman"/>
          <w:noProof/>
          <w:sz w:val="24"/>
        </w:rPr>
        <w:t>czeniem możliwości przechodzenia na wcześniejszą emeryturę rządzący lub partnerzy społeczni będą musieli znaleźć alternatywne rozwiązania problemów dotyczących zarządzania pracownikami starszymi oraz ich zdrowia w miejscu zatrudnienia oraz na rynku pracy.</w:t>
      </w:r>
      <w:r>
        <w:rPr>
          <w:rFonts w:ascii="Times New Roman" w:hAnsi="Times New Roman"/>
          <w:noProof/>
        </w:rPr>
        <w:t xml:space="preserve">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 xml:space="preserve">Aktualne zróżnicowanie emerytur ze względu na płeć w UE pozostaje na poziomie 40 %, co odzwierciedla zróżnicowanie wynagrodzenia ze względu na płeć i częściej przerywane przeciętne kariery zawodowe kobiet. Ogólne przesunięcie w kierunku emerytur opartych </w:t>
      </w:r>
      <w:r>
        <w:rPr>
          <w:rFonts w:ascii="Times New Roman" w:hAnsi="Times New Roman"/>
          <w:noProof/>
          <w:sz w:val="24"/>
        </w:rPr>
        <w:t xml:space="preserve">na zarobkach oznacza, że systemy emerytalne nie będą w stanie zniwelować tych różnic. W ramach działań na rzecz umożliwienia kobietom dłuższego życia zawodowego w niemal wszystkich państwach członkowskich (z wyjątkiem Rumunii) zrównano wiek emerytalny </w:t>
      </w:r>
      <w:r>
        <w:rPr>
          <w:rFonts w:ascii="Times New Roman" w:hAnsi="Times New Roman"/>
          <w:noProof/>
          <w:sz w:val="24"/>
        </w:rPr>
        <w:lastRenderedPageBreak/>
        <w:t>kobi</w:t>
      </w:r>
      <w:r>
        <w:rPr>
          <w:rFonts w:ascii="Times New Roman" w:hAnsi="Times New Roman"/>
          <w:noProof/>
          <w:sz w:val="24"/>
        </w:rPr>
        <w:t>et i mężczyzn lub przyjęto przyszłe idące ku temu reformy, choć w niektórych państwach zostaną one zakończone dopiero w latach 40. XXI wieku.</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Znaczna liczba reform miała również na celu zmianę indeksacji świadczeń na rzecz mniej korzystnych dla beneficjent</w:t>
      </w:r>
      <w:r>
        <w:rPr>
          <w:rFonts w:ascii="Times New Roman" w:hAnsi="Times New Roman"/>
          <w:noProof/>
          <w:sz w:val="24"/>
        </w:rPr>
        <w:t>ów mechanizmów podnoszenia świadczeń. Ich wpływ na adekwatność emerytur zależeć będzie od ewolucji wynagrodzeń i cen.</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Systemy opieki zdrowotnej przyczyniają się do zachowywania i odzyskiwania zdrowia przez obywateli UE. Oprócz zwiększania wspólnego oraz in</w:t>
      </w:r>
      <w:r>
        <w:rPr>
          <w:rFonts w:ascii="Times New Roman" w:hAnsi="Times New Roman"/>
          <w:b/>
          <w:noProof/>
          <w:sz w:val="24"/>
        </w:rPr>
        <w:t>dywidualnego dobrobytu obywateli, opieka zdrowotna przyczynia się również do dobrobytu gospodarczego,</w:t>
      </w:r>
      <w:r>
        <w:rPr>
          <w:rFonts w:ascii="Times New Roman" w:hAnsi="Times New Roman"/>
          <w:noProof/>
          <w:sz w:val="24"/>
        </w:rPr>
        <w:t xml:space="preserve"> ponieważ zwiększa ona współczynnik aktywności zawodowej i wydajność pracy, a także ogranicza nieobecność pracowników. Z utrzymaniem systemów opieki zdrowo</w:t>
      </w:r>
      <w:r>
        <w:rPr>
          <w:rFonts w:ascii="Times New Roman" w:hAnsi="Times New Roman"/>
          <w:noProof/>
          <w:sz w:val="24"/>
        </w:rPr>
        <w:t xml:space="preserve">tnej wiążą się naturalnie pewne koszty: duża część wydatków na służbę zdrowia w UE pokrywana jest ze środków publicznych, zatem systemy te muszą pozostać stabilne budżetowo.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Konieczna jest ocena sytuacji systemów opieki zdrowotnej i długoterminowej oraz </w:t>
      </w:r>
      <w:r>
        <w:rPr>
          <w:rFonts w:ascii="Times New Roman" w:hAnsi="Times New Roman"/>
          <w:b/>
          <w:noProof/>
          <w:sz w:val="24"/>
        </w:rPr>
        <w:t>przeprowadzenie racjonalnych i ambitnych reform</w:t>
      </w:r>
      <w:r>
        <w:rPr>
          <w:rFonts w:ascii="Times New Roman" w:hAnsi="Times New Roman"/>
          <w:noProof/>
          <w:sz w:val="24"/>
        </w:rPr>
        <w:t>. Obejmują one zapewnienie stabilnej podstawy finansowej, wspieranie świadczenia podstawowych usług zdrowotnych i zwiększanie dostępu do nich, przez co zmniejszyć będzie można nieuzasadnione korzystanie z usłu</w:t>
      </w:r>
      <w:r>
        <w:rPr>
          <w:rFonts w:ascii="Times New Roman" w:hAnsi="Times New Roman"/>
          <w:noProof/>
          <w:sz w:val="24"/>
        </w:rPr>
        <w:t>g specjalistycznych i opieki szpitalnej, dążenie do gospodarnego stosowania leków, poprawę zamówień publicznych, większą integrację opieki dzięki aktualizowanym kanałom informacyjnym (takim jak e-zdrowie), opracowywanie i stosowanie metod oceny względnej s</w:t>
      </w:r>
      <w:r>
        <w:rPr>
          <w:rFonts w:ascii="Times New Roman" w:hAnsi="Times New Roman"/>
          <w:noProof/>
          <w:sz w:val="24"/>
        </w:rPr>
        <w:t>kuteczności technologii zdrowotnych i kosztów opieki do celów decyzyjnych oraz udoskonalenie promocji zdrowia i zapobiegania chorobom.</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 większości państw członkowskich przeprowadzono istotne reformy opieki zdrowotnej.</w:t>
      </w:r>
      <w:r>
        <w:rPr>
          <w:rFonts w:ascii="Times New Roman" w:hAnsi="Times New Roman"/>
          <w:noProof/>
          <w:sz w:val="24"/>
        </w:rPr>
        <w:t xml:space="preserve"> Do licznych przeprowadzonych reform s</w:t>
      </w:r>
      <w:r>
        <w:rPr>
          <w:rFonts w:ascii="Times New Roman" w:hAnsi="Times New Roman"/>
          <w:noProof/>
          <w:sz w:val="24"/>
        </w:rPr>
        <w:t>trukturalnych należy restrukturyzacja opieki podstawowej i specjalistycznej, większa koordynacja opieki, bardziej intensywne i interoperacyjne korzystanie z ICT i rozwiązań w dziedzinie e-zdrowia (w Bułgarii, Chorwacji, Republice Czeskiej, na Malcie, w Pol</w:t>
      </w:r>
      <w:r>
        <w:rPr>
          <w:rFonts w:ascii="Times New Roman" w:hAnsi="Times New Roman"/>
          <w:noProof/>
          <w:sz w:val="24"/>
        </w:rPr>
        <w:t>sce, Portugalii, Rumunii, na Słowacji, w Słowenii, na Węgrzech i w Zjednoczonym Królestwie), przesunięcie w polityce farmaceutycznej w kierunku regulacji cen i zastępowania lekami generycznymi oraz wprowadzenie finansowych i niefinansowych zachęt zarówno d</w:t>
      </w:r>
      <w:r>
        <w:rPr>
          <w:rFonts w:ascii="Times New Roman" w:hAnsi="Times New Roman"/>
          <w:noProof/>
          <w:sz w:val="24"/>
        </w:rPr>
        <w:t xml:space="preserve">la usługodawców, jak i usługobiorców w dziedzinie opieki zdrowotnej. W celu poprawy świadczenia usług opieki zdrowotnej w wielu państwach członkowskich (w Bułgarii, Chorwacji, Republice Czeskiej, </w:t>
      </w:r>
      <w:r>
        <w:rPr>
          <w:rFonts w:ascii="Times New Roman" w:hAnsi="Times New Roman"/>
          <w:noProof/>
          <w:sz w:val="24"/>
        </w:rPr>
        <w:lastRenderedPageBreak/>
        <w:t>Irlandii, Niemczech, Polsce, Portugalii, Szwecji i Zjednoczo</w:t>
      </w:r>
      <w:r>
        <w:rPr>
          <w:rFonts w:ascii="Times New Roman" w:hAnsi="Times New Roman"/>
          <w:noProof/>
          <w:sz w:val="24"/>
        </w:rPr>
        <w:t xml:space="preserve">nym Królestwie) wprowadzono środki służące optymizacji leczenia i sposobu przepisywania leków.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Starzenie się siły roboczej w służbie zdrowia połączone z trudnościami w naborze lub zatrzymywaniu pracowników w tym sektorze ze względu na wymagające warunki p</w:t>
      </w:r>
      <w:r>
        <w:rPr>
          <w:rFonts w:ascii="Times New Roman" w:hAnsi="Times New Roman"/>
          <w:noProof/>
          <w:sz w:val="24"/>
        </w:rPr>
        <w:t>racy i względnie niskie wynagrodzenie w niektórych zawodach medycznych wywołują w wielu państwach niedobory pracowników służby zdrowia. Aby temu zaradzić, niektóre państwa członkowskie (Belgia, Chorwacja, Republika Czeska, Hiszpania, Irlandia, Łotwa, Niemc</w:t>
      </w:r>
      <w:r>
        <w:rPr>
          <w:rFonts w:ascii="Times New Roman" w:hAnsi="Times New Roman"/>
          <w:noProof/>
          <w:sz w:val="24"/>
        </w:rPr>
        <w:t>y, Polska i Szwecja) przyjęły środki ułatwiające szkolenie i podnoszenie kwalifikacji pracowników służby zdrowia oraz umożliwiające podwyżki płac i wsparcie w celu zwiększenia atrakcyjności sektora opieki zdrowotnej.</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Szereg państw członkowskich przyjmuje </w:t>
      </w:r>
      <w:r>
        <w:rPr>
          <w:rFonts w:ascii="Times New Roman" w:hAnsi="Times New Roman"/>
          <w:b/>
          <w:noProof/>
          <w:sz w:val="24"/>
        </w:rPr>
        <w:t>obecnie lub wdraża znaczące reformy opieki długoterminowej celem zapewnienia bardziej efektywnego wykorzystania dostępnych zasobów.</w:t>
      </w:r>
      <w:r>
        <w:rPr>
          <w:rFonts w:ascii="Times New Roman" w:hAnsi="Times New Roman"/>
          <w:noProof/>
          <w:sz w:val="24"/>
        </w:rPr>
        <w:t xml:space="preserve"> Działania w ramach reform skupiają się na dalszym rozwijaniu usług opieki w domu oraz zwiększaniu integracji opieki.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W niek</w:t>
      </w:r>
      <w:r>
        <w:rPr>
          <w:rFonts w:ascii="Times New Roman" w:hAnsi="Times New Roman"/>
          <w:noProof/>
          <w:sz w:val="24"/>
        </w:rPr>
        <w:t>tórych państwach członkowskich (w Austrii, Belgii, Bułgarii, Luksemburgu, Niemczech i na Węgrzech) zmieniono zasady finansowania opieki długoterminowej. W części tych państw zdecydowano się zwiększyć wydatki publiczne i zmniejszyć udział finansowania prywa</w:t>
      </w:r>
      <w:r>
        <w:rPr>
          <w:rFonts w:ascii="Times New Roman" w:hAnsi="Times New Roman"/>
          <w:noProof/>
          <w:sz w:val="24"/>
        </w:rPr>
        <w:t xml:space="preserve">tnego, natomiast inne obniżyły obowiązujące progi uprawnienia do wsparcia publicznego lub wprowadziły inne środki powstrzymujące wzrost kosztów.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Nieliczne państwa członkowskie (Austria, Bułgaria, Irlandia) wprowadziły środki zapobiegania uzależnienia od p</w:t>
      </w:r>
      <w:r>
        <w:rPr>
          <w:rFonts w:ascii="Times New Roman" w:hAnsi="Times New Roman"/>
          <w:noProof/>
          <w:sz w:val="24"/>
        </w:rPr>
        <w:t>omocy, które wiązały się przede wszystkim ze skuteczniejszym zapobieganiem i wczesnym stwierdzaniem demencji. Rządzący w państwach członkowskich kładą większy nacisk na poprawę świadczenia usług przez większe upodmiotowienie pacjentów, wspieranie przejścia</w:t>
      </w:r>
      <w:r>
        <w:rPr>
          <w:rFonts w:ascii="Times New Roman" w:hAnsi="Times New Roman"/>
          <w:noProof/>
          <w:sz w:val="24"/>
        </w:rPr>
        <w:t xml:space="preserve"> od opieki instytucjonalnej do opieki opartej na społeczności oraz ustalanie nowych norm jakości i zwiększanie liczby personelu.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W niektórych państwach członkowskich (w Belgii, Republice Czeskiej, Finlandii i Niemczech) zwiększono wsparcie udzielane opiek</w:t>
      </w:r>
      <w:r>
        <w:rPr>
          <w:rFonts w:ascii="Times New Roman" w:hAnsi="Times New Roman"/>
          <w:noProof/>
          <w:sz w:val="24"/>
        </w:rPr>
        <w:t>unom nieformalnym dzięki nowym strategiom, ułatwieniu godzenia pracy i obowiązków opiekuńczych, a także prawne uznanie opieki nieformalnej.</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Podjęto znaczące zobowiązania w celu poprawy do dostępu do przystępnego zakwaterowania.</w:t>
      </w:r>
      <w:r>
        <w:rPr>
          <w:rFonts w:ascii="Times New Roman" w:hAnsi="Times New Roman"/>
          <w:noProof/>
          <w:sz w:val="24"/>
        </w:rPr>
        <w:t xml:space="preserve"> W niektórych państwach człon</w:t>
      </w:r>
      <w:r>
        <w:rPr>
          <w:rFonts w:ascii="Times New Roman" w:hAnsi="Times New Roman"/>
          <w:noProof/>
          <w:sz w:val="24"/>
        </w:rPr>
        <w:t xml:space="preserve">kowskich (w Republice Czeskiej, Francji, </w:t>
      </w:r>
      <w:r>
        <w:rPr>
          <w:rFonts w:ascii="Times New Roman" w:hAnsi="Times New Roman"/>
          <w:noProof/>
          <w:sz w:val="24"/>
        </w:rPr>
        <w:lastRenderedPageBreak/>
        <w:t>Irlandii, Portugalii, Słowenii i Zjednoczonym Królestwie) przyjęto plany budowy mieszkań pełnopłatnych lub socjalnych. W Bułgarii za pomocą środków z Europejskiego Funduszu Rozwoju Regionalnego zwiększono dostęp osó</w:t>
      </w:r>
      <w:r>
        <w:rPr>
          <w:rFonts w:ascii="Times New Roman" w:hAnsi="Times New Roman"/>
          <w:noProof/>
          <w:sz w:val="24"/>
        </w:rPr>
        <w:t>b znajdujących się w trudnej sytuacji do zakwaterowania. Na Węgrzech przyjęto rozszerzone programy pomocy w celu zakupu pierwszego mieszkania, a w Zjednoczonym Królestwie – program mobilności dla lokatorów mieszkań socjalnych. Dokonano przeglądu warunków u</w:t>
      </w:r>
      <w:r>
        <w:rPr>
          <w:rFonts w:ascii="Times New Roman" w:hAnsi="Times New Roman"/>
          <w:noProof/>
          <w:sz w:val="24"/>
        </w:rPr>
        <w:t xml:space="preserve">zyskiwania dodatku mieszkaniowego, w tym kryteriów i progów uprawnienia (Republika Czeska i Finlandia) oraz wprowadzono kontrole i gwarancje wysokości czynszu dla celów społecznych (Belgia, Republika Czeska, Francja i Niderlandy). </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Celem wielu programów by</w:t>
      </w:r>
      <w:r>
        <w:rPr>
          <w:rFonts w:ascii="Times New Roman" w:hAnsi="Times New Roman"/>
          <w:noProof/>
          <w:sz w:val="24"/>
        </w:rPr>
        <w:t>ło przeciwdziałanie nadmiernemu zadłużeniu i eksmisjom; w Niderlandach wprowadzono przykładowo system wczesnego wykrywania nadmiernego zadłużenia przedsiębiorstw, a w Słowenii realizowano pilotażowe programy pomocy wyeksmitowanym rodzinom. Na Łotwie obniżo</w:t>
      </w:r>
      <w:r>
        <w:rPr>
          <w:rFonts w:ascii="Times New Roman" w:hAnsi="Times New Roman"/>
          <w:noProof/>
          <w:sz w:val="24"/>
        </w:rPr>
        <w:t>no próg uprawnienia do ochrony w przypadku nadmiernego zadłużenia, natomiast na Cyprze dotowano spłatę odsetek od kredytu hipotecznego zaciągniętego przez gospodarstwa domowe znajdujące się w trudnej sytuacji. Podjęto również wysiłki na rzecz przeciwdziała</w:t>
      </w:r>
      <w:r>
        <w:rPr>
          <w:rFonts w:ascii="Times New Roman" w:hAnsi="Times New Roman"/>
          <w:noProof/>
          <w:sz w:val="24"/>
        </w:rPr>
        <w:t>nia ubóstwu energetycznemu (Belgia) oraz integracji świadczenia usług w dziedzinie mieszkalnictwa socjalnego (Irlandia).</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Na szczeblu krajowym podjęto pewne działania w celu ułatwienia włączenia społecznego osób zagrożonych wykluczeniem, takich jak osoby ni</w:t>
      </w:r>
      <w:r>
        <w:rPr>
          <w:rFonts w:ascii="Times New Roman" w:hAnsi="Times New Roman"/>
          <w:b/>
          <w:noProof/>
          <w:sz w:val="24"/>
        </w:rPr>
        <w:t>epełnosprawne, Romowie lub osoby ze środowisk migracyjnych</w:t>
      </w:r>
      <w:r>
        <w:rPr>
          <w:rFonts w:ascii="Times New Roman" w:hAnsi="Times New Roman"/>
          <w:noProof/>
          <w:sz w:val="24"/>
        </w:rPr>
        <w:t>. W Estonii rozpoczęto reformę przepisów o zdolności do pracy, która spowodowała jakościowe przejście od oceny niezdolności do stwierdzenia zdolności danej osoby do pracy oraz ułatwiła integrację na</w:t>
      </w:r>
      <w:r>
        <w:rPr>
          <w:rFonts w:ascii="Times New Roman" w:hAnsi="Times New Roman"/>
          <w:noProof/>
          <w:sz w:val="24"/>
        </w:rPr>
        <w:t xml:space="preserve"> rynku pracy i włączenie społeczne. Idąc w podobnym kierunku, w Niderlandach przyjęto tzw. pakt uczestnictwa w celu zwiększenia obecności osób niepełnosprawnych i niewykwalifikowanych na rynku pracy, zarówno w sektorze prywatnym, jak i publicznym.</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Równy do</w:t>
      </w:r>
      <w:r>
        <w:rPr>
          <w:rFonts w:ascii="Times New Roman" w:hAnsi="Times New Roman"/>
          <w:b/>
          <w:noProof/>
          <w:sz w:val="24"/>
        </w:rPr>
        <w:t>stęp do edukacji wysokiej jakości dla wszystkich jest pierwszym i najważniejszym krokiem w kierunku włączenia społecznego</w:t>
      </w:r>
      <w:r>
        <w:rPr>
          <w:rFonts w:ascii="Times New Roman" w:hAnsi="Times New Roman"/>
          <w:noProof/>
          <w:sz w:val="24"/>
        </w:rPr>
        <w:t>. Bardzo widoczne są starania na rzecz zapewnienia integracyjnej edukacji dzieciom znajdującym się w trudnej sytuacji. W belgijskiej Fl</w:t>
      </w:r>
      <w:r>
        <w:rPr>
          <w:rFonts w:ascii="Times New Roman" w:hAnsi="Times New Roman"/>
          <w:noProof/>
          <w:sz w:val="24"/>
        </w:rPr>
        <w:t xml:space="preserve">andrii opracowano nową ustawę o nazwie </w:t>
      </w:r>
      <w:r>
        <w:rPr>
          <w:rFonts w:ascii="Times New Roman" w:hAnsi="Times New Roman"/>
          <w:i/>
          <w:noProof/>
          <w:sz w:val="24"/>
        </w:rPr>
        <w:t>M-Decree</w:t>
      </w:r>
      <w:r>
        <w:rPr>
          <w:rFonts w:ascii="Times New Roman" w:hAnsi="Times New Roman"/>
          <w:noProof/>
          <w:sz w:val="24"/>
        </w:rPr>
        <w:t>, która przewiduje racjonalne usprawnienia w powszechnych systemach kształcenia. W Republice Czeskiej przyjęto ustawę o edukacji zakładającą pięciostopniowe środki wsparcia na rzecz szkół integracyjnych. W Dan</w:t>
      </w:r>
      <w:r>
        <w:rPr>
          <w:rFonts w:ascii="Times New Roman" w:hAnsi="Times New Roman"/>
          <w:noProof/>
          <w:sz w:val="24"/>
        </w:rPr>
        <w:t xml:space="preserve">ii ustalono cel, według którego w 2015 r. 96 % uczniów powinno </w:t>
      </w:r>
      <w:r>
        <w:rPr>
          <w:rFonts w:ascii="Times New Roman" w:hAnsi="Times New Roman"/>
          <w:noProof/>
          <w:sz w:val="24"/>
        </w:rPr>
        <w:lastRenderedPageBreak/>
        <w:t>uczęszczać do szkół w powszechnym systemie kształcenia, oraz powołano Centrum Edukacji Integracyjnej i Specjalnej.</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Wiele osób niepełnosprawnych żyje w sytuacji skrajnego wykluczenia, tj. w plac</w:t>
      </w:r>
      <w:r>
        <w:rPr>
          <w:rFonts w:ascii="Times New Roman" w:hAnsi="Times New Roman"/>
          <w:b/>
          <w:noProof/>
          <w:sz w:val="24"/>
        </w:rPr>
        <w:t>ówkach opieki.</w:t>
      </w:r>
      <w:r>
        <w:rPr>
          <w:rFonts w:ascii="Times New Roman" w:hAnsi="Times New Roman"/>
          <w:noProof/>
          <w:sz w:val="24"/>
        </w:rPr>
        <w:t xml:space="preserve"> W niektórych państwach widoczne są jednak tendencje w kierunku przechodzenia od opieki instytucjonalnej do opieki opartej na społeczności i niezależnego życia, co ułatwiane jest dzięki europejskim funduszom strukturalnym i inwestycyjnym. Prz</w:t>
      </w:r>
      <w:r>
        <w:rPr>
          <w:rFonts w:ascii="Times New Roman" w:hAnsi="Times New Roman"/>
          <w:noProof/>
          <w:sz w:val="24"/>
        </w:rPr>
        <w:t>ykładowo w Finlandii znacznie zmniejszono liczbę osób niepełnosprawnych intelektualnie korzystających z długoterminowej opieki instytucjonalnej i zastąpiono ten rodzaj opieki głównie przez usługi świadczone przez całą dobę. Działania te służą całkowitemu z</w:t>
      </w:r>
      <w:r>
        <w:rPr>
          <w:rFonts w:ascii="Times New Roman" w:hAnsi="Times New Roman"/>
          <w:noProof/>
          <w:sz w:val="24"/>
        </w:rPr>
        <w:t xml:space="preserve">astąpieniu do 2020 r. opieki instytucjonalnej przez indywidualne zakwaterowanie i usługi.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 xml:space="preserve">W niektórych państwach członkowskich prowadzono działania na rzecz integracji Romów. </w:t>
      </w:r>
      <w:r>
        <w:rPr>
          <w:rFonts w:ascii="Times New Roman" w:hAnsi="Times New Roman"/>
          <w:noProof/>
          <w:sz w:val="24"/>
        </w:rPr>
        <w:t>W styczniu 2015 r. w Rumunii</w:t>
      </w:r>
      <w:r>
        <w:rPr>
          <w:rFonts w:ascii="Times New Roman" w:hAnsi="Times New Roman"/>
          <w:b/>
          <w:noProof/>
          <w:sz w:val="24"/>
        </w:rPr>
        <w:t xml:space="preserve"> </w:t>
      </w:r>
      <w:r>
        <w:rPr>
          <w:rFonts w:ascii="Times New Roman" w:hAnsi="Times New Roman"/>
          <w:noProof/>
          <w:sz w:val="24"/>
        </w:rPr>
        <w:t xml:space="preserve">przyjęto zmienioną krajową strategię włączenia </w:t>
      </w:r>
      <w:r>
        <w:rPr>
          <w:rFonts w:ascii="Times New Roman" w:hAnsi="Times New Roman"/>
          <w:noProof/>
          <w:sz w:val="24"/>
        </w:rPr>
        <w:t>obywateli rumuńskich należących do mniejszości romskiej na lata 2014–2020, natomiast na Litwie wprowadzono plan działania na rzecz integracji Romów w litewskim społeczeństwie na lata 2015–2020. W 2015 r. w Republice Czeskiej przyjęto strategię integracji R</w:t>
      </w:r>
      <w:r>
        <w:rPr>
          <w:rFonts w:ascii="Times New Roman" w:hAnsi="Times New Roman"/>
          <w:noProof/>
          <w:sz w:val="24"/>
        </w:rPr>
        <w:t>omów do roku 2020. W innych państwach, np. na Węgrzech, Słowacji i w Polsce, poddano przeglądowi krajowe strategie i plany działania, w szczególności celem spełnienia warunku wstępnego związanego z priorytetem inwestycyjnym 9.2. EFS.</w:t>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Na Słowacji znacznie p</w:t>
      </w:r>
      <w:r>
        <w:rPr>
          <w:rFonts w:ascii="Times New Roman" w:hAnsi="Times New Roman"/>
          <w:noProof/>
          <w:sz w:val="24"/>
        </w:rPr>
        <w:t>odniesiono w roku szkolnym 2014–2015 liczbę asystentów nauczycieli dzieci o specjalnych potrzebach, w tym dzieci ze środowisk w trudnej sytuacji społecznej, a w budżecie na rok 2015 r. przewidziano kolejny wzrost. Przedstawiono propozycję wprowadzenia obow</w:t>
      </w:r>
      <w:r>
        <w:rPr>
          <w:rFonts w:ascii="Times New Roman" w:hAnsi="Times New Roman"/>
          <w:noProof/>
          <w:sz w:val="24"/>
        </w:rPr>
        <w:t xml:space="preserve">iązku uczęszczania dzieci romskich do placówek wczesnej edukacji i opieki, jednak na obecnym etapie nie określono planu wdrożenia tego obowiązku.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Zwiększony napływ uchodźców sprawia, że rządzący i społeczeństwo stoją przed wyzwaniami związanymi z przyjmow</w:t>
      </w:r>
      <w:r>
        <w:rPr>
          <w:rFonts w:ascii="Times New Roman" w:hAnsi="Times New Roman"/>
          <w:b/>
          <w:noProof/>
          <w:sz w:val="24"/>
        </w:rPr>
        <w:t>aniem oraz integracją rosnącej liczby osób, przy czym kwestia ta dotyka niektóre państw członkowskie w szczególnym stopniu. Podjęto decyzje w sprawie pakietów integracyjnych oraz środków zniechęcających.</w:t>
      </w:r>
      <w:r>
        <w:rPr>
          <w:rFonts w:ascii="Times New Roman" w:hAnsi="Times New Roman"/>
          <w:noProof/>
          <w:sz w:val="24"/>
        </w:rPr>
        <w:t xml:space="preserve"> Austriacki pakiet integracyjny skupia się na wsparci</w:t>
      </w:r>
      <w:r>
        <w:rPr>
          <w:rFonts w:ascii="Times New Roman" w:hAnsi="Times New Roman"/>
          <w:noProof/>
          <w:sz w:val="24"/>
        </w:rPr>
        <w:t>u językowym oraz integracji na rynku pracy, przy czym na ten drugi cel przeznaczono większą część budżetu. W połowie 2015 r. publiczne służby zatrudnienia uruchomiły pilotażowe programy zwiększania szans na rynku pracy osób, którym przyznano azyl. W Szwecj</w:t>
      </w:r>
      <w:r>
        <w:rPr>
          <w:rFonts w:ascii="Times New Roman" w:hAnsi="Times New Roman"/>
          <w:noProof/>
          <w:sz w:val="24"/>
        </w:rPr>
        <w:t xml:space="preserve">i zwiększono środki przeznaczone na integrację nowo przybyłych uchodźców i cudzoziemców na lata 2015–2018, których celem jest szybsza </w:t>
      </w:r>
      <w:r>
        <w:rPr>
          <w:rFonts w:ascii="Times New Roman" w:hAnsi="Times New Roman"/>
          <w:noProof/>
          <w:sz w:val="24"/>
        </w:rPr>
        <w:lastRenderedPageBreak/>
        <w:t>integracja tych osób na rynku pracy. Aby rozpoznać umiejętności nowych przybyszy na wczesnym etapie, rząd przeznaczył środ</w:t>
      </w:r>
      <w:r>
        <w:rPr>
          <w:rFonts w:ascii="Times New Roman" w:hAnsi="Times New Roman"/>
          <w:noProof/>
          <w:sz w:val="24"/>
        </w:rPr>
        <w:t>ki w ramach istniejących pul na pilotażowe projekty analizy umiejętności niedawno przybyłych migrantów mieszkających w ośrodkach zakwaterowania szwedzkiej komisji ds. uchodźców. W Niemczech federalna agencja ds. zatrudnienia i agencja ds. migracji i uchodź</w:t>
      </w:r>
      <w:r>
        <w:rPr>
          <w:rFonts w:ascii="Times New Roman" w:hAnsi="Times New Roman"/>
          <w:noProof/>
          <w:sz w:val="24"/>
        </w:rPr>
        <w:t>ców uruchomiły finansowany z EFS pilotażowy projekt wsparcia szybkiej integracji uchodźców na rynku pracy i powołały wzorcowe agencje zatrudnienia dla uchodźców w sześciu niemieckich regionach. Jednocześnie wprowadzane są środki o spodziewanym efekcie znie</w:t>
      </w:r>
      <w:r>
        <w:rPr>
          <w:rFonts w:ascii="Times New Roman" w:hAnsi="Times New Roman"/>
          <w:noProof/>
          <w:sz w:val="24"/>
        </w:rPr>
        <w:t>chęcającym, takie jak zastąpienie świadczeń pieniężnych świadczeniami rzeczowymi oraz stosowanie przyspieszonej procedury azylowej w przypadku uchodźców z regionów uważanych za bezpieczne. W Danii do środków zniechęcających należy obniżenie wysokości specj</w:t>
      </w:r>
      <w:r>
        <w:rPr>
          <w:rFonts w:ascii="Times New Roman" w:hAnsi="Times New Roman"/>
          <w:noProof/>
          <w:sz w:val="24"/>
        </w:rPr>
        <w:t>alnych świadczeń na integrację do poziomu poniżej świadczeń pieniężnych dla uczestników w programach integracji i przywrócenie zasady kumulacji świadczeń rodzinnych i dodatków na dzieci przeznaczonych dla uchodźców, a zgodnie z ujednoliconymi warunkami upr</w:t>
      </w:r>
      <w:r>
        <w:rPr>
          <w:rFonts w:ascii="Times New Roman" w:hAnsi="Times New Roman"/>
          <w:noProof/>
          <w:sz w:val="24"/>
        </w:rPr>
        <w:t>awnienia do emerytury uchodźcy także nie są już wyłączeni z zasady kumulacji. W Zjednoczonym Królestwie nałożono nowe ograniczenia dostępu do świadczeń zależnych od dochodów, co ma zniechęcić migrantów do przyjazdu bez perspektyw na pracę. W wyniku tych og</w:t>
      </w:r>
      <w:r>
        <w:rPr>
          <w:rFonts w:ascii="Times New Roman" w:hAnsi="Times New Roman"/>
          <w:noProof/>
          <w:sz w:val="24"/>
        </w:rPr>
        <w:t xml:space="preserve">raniczeń nowo przybyłe osoby nie mogą ubiegać się o tego typu świadczenia w ramach programu </w:t>
      </w:r>
      <w:r>
        <w:rPr>
          <w:rFonts w:ascii="Times New Roman" w:hAnsi="Times New Roman"/>
          <w:i/>
          <w:noProof/>
          <w:sz w:val="24"/>
        </w:rPr>
        <w:t>Universal Credit</w:t>
      </w:r>
      <w:r>
        <w:rPr>
          <w:rFonts w:ascii="Times New Roman" w:hAnsi="Times New Roman"/>
          <w:noProof/>
          <w:sz w:val="24"/>
        </w:rPr>
        <w:t>, jeśli nie pracowały uprzednio na rynku brytyjskim. Wcześniej wprowadzono już ograniczenia dotyczące uprawnień do dodatku dla osób poszukujących pr</w:t>
      </w:r>
      <w:r>
        <w:rPr>
          <w:rFonts w:ascii="Times New Roman" w:hAnsi="Times New Roman"/>
          <w:noProof/>
          <w:sz w:val="24"/>
        </w:rPr>
        <w:t xml:space="preserve">acy, świadczeń na dzieci oraz ulgi podatkowej dla rodziców. </w:t>
      </w:r>
    </w:p>
    <w:p w:rsidR="000F2E63" w:rsidRDefault="0010263F">
      <w:pPr>
        <w:spacing w:line="360" w:lineRule="auto"/>
        <w:jc w:val="both"/>
        <w:rPr>
          <w:rFonts w:ascii="Times New Roman" w:hAnsi="Times New Roman"/>
          <w:noProof/>
          <w:sz w:val="24"/>
          <w:szCs w:val="24"/>
        </w:rPr>
      </w:pPr>
      <w:r>
        <w:rPr>
          <w:rFonts w:ascii="Times New Roman" w:hAnsi="Times New Roman"/>
          <w:b/>
          <w:noProof/>
          <w:sz w:val="24"/>
        </w:rPr>
        <w:t>Państwa członkowskie muszą zadbać o to, aby azylanci uzyskali rzeczywisty dostęp do rynku pracy w ciągu 9 miesięcy od daty złożenia wniosku o ochronę międzynarodową</w:t>
      </w:r>
      <w:r>
        <w:rPr>
          <w:rStyle w:val="Odwoanieprzypisudolnego"/>
          <w:rFonts w:ascii="Times New Roman" w:hAnsi="Times New Roman"/>
          <w:b/>
          <w:noProof/>
          <w:sz w:val="24"/>
        </w:rPr>
        <w:footnoteReference w:id="34"/>
      </w:r>
      <w:r>
        <w:rPr>
          <w:rFonts w:ascii="Times New Roman" w:hAnsi="Times New Roman"/>
          <w:noProof/>
          <w:sz w:val="24"/>
        </w:rPr>
        <w:t>. W niektórych państwach człon</w:t>
      </w:r>
      <w:r>
        <w:rPr>
          <w:rFonts w:ascii="Times New Roman" w:hAnsi="Times New Roman"/>
          <w:noProof/>
          <w:sz w:val="24"/>
        </w:rPr>
        <w:t>kowskich już teraz umożliwia się azylantom dostęp do rynku pracy wcześniej, natomiast w innych dopiero zaproponowano skrócenie tego terminu. W ramach Europejskiego programu w zakresie migracji mającego pomóc państwom członkowskim w zaspokojeniu najpilniejs</w:t>
      </w:r>
      <w:r>
        <w:rPr>
          <w:rFonts w:ascii="Times New Roman" w:hAnsi="Times New Roman"/>
          <w:noProof/>
          <w:sz w:val="24"/>
        </w:rPr>
        <w:t>zych potrzeb azylantów, takich jak zakwaterowanie, różne artykuły i usługi, Komisja przyjęła komunikat w sprawie zamówień publicznych na środki wsparcia migrantów.</w:t>
      </w:r>
      <w:r>
        <w:rPr>
          <w:rStyle w:val="Odwoanieprzypisudolnego"/>
          <w:rFonts w:ascii="Times New Roman" w:hAnsi="Times New Roman"/>
          <w:noProof/>
          <w:sz w:val="24"/>
        </w:rPr>
        <w:footnoteReference w:id="35"/>
      </w:r>
      <w:r>
        <w:rPr>
          <w:rFonts w:ascii="Times New Roman" w:hAnsi="Times New Roman"/>
          <w:noProof/>
          <w:sz w:val="24"/>
        </w:rPr>
        <w:t xml:space="preserve"> Inwestycje ze środków Europejskiego Funduszu Społecznego (EFS) mogą w sposób konkretny i na</w:t>
      </w:r>
      <w:r>
        <w:rPr>
          <w:rFonts w:ascii="Times New Roman" w:hAnsi="Times New Roman"/>
          <w:noProof/>
          <w:sz w:val="24"/>
        </w:rPr>
        <w:t xml:space="preserve">tychmiastowy zapewnić wsparcie kształcenia </w:t>
      </w:r>
      <w:r>
        <w:rPr>
          <w:rFonts w:ascii="Times New Roman" w:hAnsi="Times New Roman"/>
          <w:noProof/>
          <w:sz w:val="24"/>
        </w:rPr>
        <w:lastRenderedPageBreak/>
        <w:t xml:space="preserve">zawodowego, doradztwa, dostępu do opieki zdrowotnej i usług socjalnych, a także kampanii zwalczania dyskryminacji. </w:t>
      </w:r>
    </w:p>
    <w:p w:rsidR="000F2E63" w:rsidRDefault="0010263F">
      <w:pPr>
        <w:spacing w:line="360" w:lineRule="auto"/>
        <w:jc w:val="both"/>
        <w:rPr>
          <w:rFonts w:ascii="Times New Roman" w:hAnsi="Times New Roman"/>
          <w:noProof/>
          <w:sz w:val="24"/>
        </w:rPr>
      </w:pPr>
      <w:r>
        <w:rPr>
          <w:rFonts w:ascii="Times New Roman" w:hAnsi="Times New Roman"/>
          <w:noProof/>
          <w:sz w:val="24"/>
        </w:rPr>
        <w:t>Z pierwszej oceny makroekonomicznego wpływu wzrostu liczby uchodźców wynika, że skutki krótkoterm</w:t>
      </w:r>
      <w:r>
        <w:rPr>
          <w:rFonts w:ascii="Times New Roman" w:hAnsi="Times New Roman"/>
          <w:noProof/>
          <w:sz w:val="24"/>
        </w:rPr>
        <w:t>inowe wynikające ze zwiększenia wydatków publicznych są stosunkowo niewielkie – choć bardziej odczuwalne w niektórych państwach członkowskich – jednak w perspektywie średnio- i długoterminowej napływ uchodźców przynosi korzystne skutki dla wzrostu gospodar</w:t>
      </w:r>
      <w:r>
        <w:rPr>
          <w:rFonts w:ascii="Times New Roman" w:hAnsi="Times New Roman"/>
          <w:noProof/>
          <w:sz w:val="24"/>
        </w:rPr>
        <w:t>czego, o ile osoby te znajdą zatrudnienie</w:t>
      </w:r>
      <w:r>
        <w:rPr>
          <w:rStyle w:val="Odwoanieprzypisudolnego"/>
          <w:rFonts w:ascii="Times New Roman" w:hAnsi="Times New Roman"/>
          <w:noProof/>
          <w:sz w:val="24"/>
        </w:rPr>
        <w:footnoteReference w:id="36"/>
      </w:r>
      <w:r>
        <w:rPr>
          <w:rFonts w:ascii="Times New Roman" w:hAnsi="Times New Roman"/>
          <w:noProof/>
          <w:sz w:val="24"/>
        </w:rPr>
        <w:t xml:space="preserve">. </w:t>
      </w:r>
    </w:p>
    <w:p w:rsidR="000F2E63" w:rsidRDefault="000F2E63">
      <w:pPr>
        <w:spacing w:line="360" w:lineRule="auto"/>
        <w:jc w:val="both"/>
        <w:rPr>
          <w:rFonts w:ascii="Times New Roman" w:hAnsi="Times New Roman"/>
          <w:noProof/>
        </w:rPr>
        <w:sectPr w:rsidR="000F2E63">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709" w:footer="709" w:gutter="0"/>
          <w:cols w:space="720"/>
          <w:docGrid w:linePitch="360"/>
        </w:sectPr>
      </w:pPr>
    </w:p>
    <w:p w:rsidR="000F2E63" w:rsidRDefault="000F2E63">
      <w:pPr>
        <w:rPr>
          <w:rFonts w:ascii="Times New Roman" w:hAnsi="Times New Roman"/>
          <w:noProof/>
        </w:rPr>
      </w:pPr>
    </w:p>
    <w:p w:rsidR="000F2E63" w:rsidRDefault="0010263F">
      <w:pPr>
        <w:rPr>
          <w:rFonts w:ascii="Times New Roman" w:hAnsi="Times New Roman"/>
          <w:b/>
          <w:noProof/>
          <w:szCs w:val="24"/>
        </w:rPr>
      </w:pPr>
      <w:r>
        <w:rPr>
          <w:rFonts w:ascii="Times New Roman" w:hAnsi="Times New Roman"/>
          <w:b/>
          <w:noProof/>
        </w:rPr>
        <w:t>Załącznik 1: Tablica wyników zawierająca kluczowe wskaźniki zatrudnienia i wskaźniki społeczne ze średnimi UE jako punktami odniesienia*</w:t>
      </w:r>
    </w:p>
    <w:p w:rsidR="000F2E63" w:rsidRDefault="0010263F">
      <w:pPr>
        <w:rPr>
          <w:noProof/>
          <w:lang w:val="en-GB" w:eastAsia="en-GB"/>
        </w:rPr>
      </w:pPr>
      <w:r>
        <w:rPr>
          <w:rFonts w:ascii="Times New Roman" w:hAnsi="Times New Roman"/>
          <w:b/>
          <w:noProof/>
        </w:rPr>
        <w:t xml:space="preserve"> </w:t>
      </w:r>
      <w:r>
        <w:rPr>
          <w:noProof/>
        </w:rPr>
        <w:drawing>
          <wp:inline distT="0" distB="0" distL="0" distR="0">
            <wp:extent cx="8877935" cy="3780155"/>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77935" cy="3780155"/>
                    </a:xfrm>
                    <a:prstGeom prst="rect">
                      <a:avLst/>
                    </a:prstGeom>
                    <a:noFill/>
                    <a:ln>
                      <a:noFill/>
                    </a:ln>
                  </pic:spPr>
                </pic:pic>
              </a:graphicData>
            </a:graphic>
          </wp:inline>
        </w:drawing>
      </w:r>
    </w:p>
    <w:p w:rsidR="000F2E63" w:rsidRDefault="0010263F">
      <w:pPr>
        <w:rPr>
          <w:rFonts w:ascii="Times New Roman" w:hAnsi="Times New Roman"/>
          <w:b/>
          <w:noProof/>
          <w:szCs w:val="24"/>
        </w:rPr>
      </w:pPr>
      <w:r>
        <w:rPr>
          <w:rFonts w:ascii="Times New Roman" w:hAnsi="Times New Roman"/>
          <w:noProof/>
        </w:rPr>
        <w:br w:type="page"/>
      </w:r>
    </w:p>
    <w:p w:rsidR="000F2E63" w:rsidRDefault="0010263F">
      <w:pPr>
        <w:rPr>
          <w:rFonts w:ascii="Times New Roman" w:hAnsi="Times New Roman"/>
          <w:b/>
          <w:noProof/>
          <w:szCs w:val="24"/>
        </w:rPr>
      </w:pPr>
      <w:r>
        <w:rPr>
          <w:rFonts w:ascii="Times New Roman" w:hAnsi="Times New Roman"/>
          <w:noProof/>
        </w:rPr>
        <w:t>Źródło: Eu</w:t>
      </w:r>
      <w:r>
        <w:rPr>
          <w:rFonts w:ascii="Times New Roman" w:hAnsi="Times New Roman"/>
          <w:noProof/>
        </w:rPr>
        <w:t xml:space="preserve">rostat, badanie aktywności ekonomicznej ludności UE (BAEL), rachunki narodowe oraz europejskie badanie warunków życia ludności (EU-SILC) (obliczenia DG EMPL). </w:t>
      </w:r>
    </w:p>
    <w:p w:rsidR="000F2E63" w:rsidRDefault="0010263F">
      <w:pPr>
        <w:rPr>
          <w:rFonts w:ascii="Times New Roman" w:hAnsi="Times New Roman"/>
          <w:bCs/>
          <w:noProof/>
          <w:szCs w:val="24"/>
        </w:rPr>
      </w:pPr>
      <w:r>
        <w:rPr>
          <w:rFonts w:ascii="Times New Roman" w:hAnsi="Times New Roman"/>
          <w:noProof/>
        </w:rPr>
        <w:t>Dla każdego wskaźnika (z wyjątkiem realnego wzrostu dochodu brutto do dyspozycji gospodarstwa domowego, który jest wyrażony jako wartość pieniężna) poszczególne kolumny odnoszą się do: i) zmiany z roku na rok w ujęciu bezwzględnym; ii) różnicy w stosunku d</w:t>
      </w:r>
      <w:r>
        <w:rPr>
          <w:rFonts w:ascii="Times New Roman" w:hAnsi="Times New Roman"/>
          <w:noProof/>
        </w:rPr>
        <w:t>o średniego wskaźnika w UE (lub strefie euro) w tym samym roku; iii) zmian z roku na rok dla danego państwa w porównaniu z rocznymi zmianami na poziomie UE lub strefy euro (co wskazuje, czy sytuacja państwa pogarsza się, czy poprawia szybciej niż w pozosta</w:t>
      </w:r>
      <w:r>
        <w:rPr>
          <w:rFonts w:ascii="Times New Roman" w:hAnsi="Times New Roman"/>
          <w:noProof/>
        </w:rPr>
        <w:t xml:space="preserve">łej części UE / strefie euro (SE), i jest odzwierciedleniem dynamiki dywergencji/konwergencji społeczno-gospodarczej). „S1” oznacza pierwszy semestr i opiera się na kwartalnych danych dostosowywanych sezonowo.  </w:t>
      </w:r>
    </w:p>
    <w:p w:rsidR="000F2E63" w:rsidRDefault="0010263F">
      <w:pPr>
        <w:rPr>
          <w:rFonts w:ascii="Times New Roman" w:hAnsi="Times New Roman"/>
          <w:bCs/>
          <w:noProof/>
          <w:szCs w:val="24"/>
        </w:rPr>
      </w:pPr>
      <w:r>
        <w:rPr>
          <w:rFonts w:ascii="Times New Roman" w:hAnsi="Times New Roman"/>
          <w:noProof/>
        </w:rPr>
        <w:t>*wskazuje na zmiany i różnice w porównaniu z</w:t>
      </w:r>
      <w:r>
        <w:rPr>
          <w:rFonts w:ascii="Times New Roman" w:hAnsi="Times New Roman"/>
          <w:noProof/>
        </w:rPr>
        <w:t xml:space="preserve"> UE, które nie są statystycznie istotne; w pogłębionej analizie w rozdziale 2 ich wartość zostanie wyrażona jako zero.</w:t>
      </w:r>
    </w:p>
    <w:p w:rsidR="000F2E63" w:rsidRDefault="000F2E63">
      <w:pPr>
        <w:rPr>
          <w:rFonts w:ascii="Times New Roman" w:hAnsi="Times New Roman"/>
          <w:bCs/>
          <w:noProof/>
          <w:szCs w:val="24"/>
        </w:rPr>
      </w:pPr>
    </w:p>
    <w:p w:rsidR="000F2E63" w:rsidRDefault="0010263F">
      <w:pPr>
        <w:rPr>
          <w:rFonts w:ascii="Times New Roman" w:hAnsi="Times New Roman"/>
          <w:bCs/>
          <w:noProof/>
          <w:szCs w:val="24"/>
        </w:rPr>
      </w:pPr>
      <w:r>
        <w:rPr>
          <w:rFonts w:ascii="Times New Roman" w:hAnsi="Times New Roman"/>
          <w:noProof/>
        </w:rPr>
        <w:br w:type="page"/>
      </w:r>
    </w:p>
    <w:p w:rsidR="000F2E63" w:rsidRDefault="0010263F">
      <w:pPr>
        <w:rPr>
          <w:rFonts w:ascii="Times New Roman" w:hAnsi="Times New Roman"/>
          <w:b/>
          <w:noProof/>
          <w:szCs w:val="24"/>
        </w:rPr>
      </w:pPr>
      <w:r>
        <w:rPr>
          <w:rFonts w:ascii="Times New Roman" w:hAnsi="Times New Roman"/>
          <w:b/>
          <w:noProof/>
        </w:rPr>
        <w:t>Załącznik 2: Tablica wyników zawierająca kluczowe wskaźniki zatrudnienia i wskaźniki społeczne ze średnimi strefy euro jako punktami o</w:t>
      </w:r>
      <w:r>
        <w:rPr>
          <w:rFonts w:ascii="Times New Roman" w:hAnsi="Times New Roman"/>
          <w:b/>
          <w:noProof/>
        </w:rPr>
        <w:t xml:space="preserve">dniesienia </w:t>
      </w:r>
    </w:p>
    <w:p w:rsidR="000F2E63" w:rsidRDefault="0010263F">
      <w:pPr>
        <w:rPr>
          <w:rFonts w:ascii="Times New Roman" w:hAnsi="Times New Roman"/>
          <w:b/>
          <w:noProof/>
          <w:szCs w:val="24"/>
        </w:rPr>
      </w:pPr>
      <w:r>
        <w:rPr>
          <w:rFonts w:ascii="Times New Roman" w:hAnsi="Times New Roman"/>
          <w:b/>
          <w:noProof/>
        </w:rPr>
        <w:t xml:space="preserve"> </w:t>
      </w:r>
      <w:r>
        <w:rPr>
          <w:noProof/>
        </w:rPr>
        <w:drawing>
          <wp:inline distT="0" distB="0" distL="0" distR="0">
            <wp:extent cx="8877935" cy="3752850"/>
            <wp:effectExtent l="0" t="0" r="0" b="0"/>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77935" cy="3752850"/>
                    </a:xfrm>
                    <a:prstGeom prst="rect">
                      <a:avLst/>
                    </a:prstGeom>
                    <a:noFill/>
                    <a:ln>
                      <a:noFill/>
                    </a:ln>
                  </pic:spPr>
                </pic:pic>
              </a:graphicData>
            </a:graphic>
          </wp:inline>
        </w:drawing>
      </w:r>
    </w:p>
    <w:p w:rsidR="000F2E63" w:rsidRDefault="0010263F">
      <w:pPr>
        <w:rPr>
          <w:rFonts w:ascii="Times New Roman" w:hAnsi="Times New Roman"/>
          <w:b/>
          <w:noProof/>
          <w:szCs w:val="24"/>
        </w:rPr>
      </w:pPr>
      <w:r>
        <w:rPr>
          <w:rFonts w:ascii="Times New Roman" w:hAnsi="Times New Roman"/>
          <w:noProof/>
        </w:rPr>
        <w:br w:type="page"/>
      </w:r>
      <w:r>
        <w:rPr>
          <w:rFonts w:ascii="Times New Roman" w:hAnsi="Times New Roman"/>
          <w:b/>
          <w:noProof/>
        </w:rPr>
        <w:lastRenderedPageBreak/>
        <w:t>Załącznik 3: Tablica wyników zawierająca kluczowe wskaźniki zatrudnienia i wskaźniki społeczne w ujęciu bezwzględnym w trzech kolejnych latach</w:t>
      </w:r>
    </w:p>
    <w:p w:rsidR="000F2E63" w:rsidRDefault="0010263F">
      <w:pPr>
        <w:rPr>
          <w:rFonts w:ascii="Times New Roman" w:hAnsi="Times New Roman"/>
          <w:b/>
          <w:noProof/>
          <w:szCs w:val="24"/>
        </w:rPr>
      </w:pPr>
      <w:r>
        <w:rPr>
          <w:noProof/>
        </w:rPr>
        <w:drawing>
          <wp:inline distT="0" distB="0" distL="0" distR="0">
            <wp:extent cx="8891270" cy="3009265"/>
            <wp:effectExtent l="0" t="0" r="5080" b="635"/>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1270" cy="3009265"/>
                    </a:xfrm>
                    <a:prstGeom prst="rect">
                      <a:avLst/>
                    </a:prstGeom>
                    <a:noFill/>
                    <a:ln>
                      <a:noFill/>
                    </a:ln>
                  </pic:spPr>
                </pic:pic>
              </a:graphicData>
            </a:graphic>
          </wp:inline>
        </w:drawing>
      </w:r>
      <w:r>
        <w:rPr>
          <w:rFonts w:ascii="Times New Roman" w:hAnsi="Times New Roman"/>
          <w:noProof/>
        </w:rPr>
        <w:br/>
        <w:t>Źródło: Eurostat, badanie aktywności ekonomicznej ludności UE (BAEL), rachunki narodowe oraz eu</w:t>
      </w:r>
      <w:r>
        <w:rPr>
          <w:rFonts w:ascii="Times New Roman" w:hAnsi="Times New Roman"/>
          <w:noProof/>
        </w:rPr>
        <w:t>ropejskie badanie warunków życia ludności (EU-SILC) (obliczenia DG EMPL).</w:t>
      </w:r>
    </w:p>
    <w:p w:rsidR="000F2E63" w:rsidRDefault="0010263F">
      <w:pPr>
        <w:rPr>
          <w:rFonts w:ascii="Times New Roman" w:hAnsi="Times New Roman"/>
          <w:b/>
          <w:noProof/>
          <w:szCs w:val="24"/>
        </w:rPr>
      </w:pPr>
      <w:r>
        <w:rPr>
          <w:rFonts w:ascii="Times New Roman" w:hAnsi="Times New Roman"/>
          <w:noProof/>
        </w:rPr>
        <w:br w:type="page"/>
      </w:r>
    </w:p>
    <w:p w:rsidR="000F2E63" w:rsidRDefault="0010263F">
      <w:pPr>
        <w:rPr>
          <w:rFonts w:ascii="Times New Roman" w:hAnsi="Times New Roman"/>
          <w:b/>
          <w:noProof/>
          <w:szCs w:val="24"/>
        </w:rPr>
      </w:pPr>
      <w:r>
        <w:rPr>
          <w:rFonts w:ascii="Times New Roman" w:hAnsi="Times New Roman"/>
          <w:b/>
          <w:noProof/>
        </w:rPr>
        <w:t xml:space="preserve">Załącznik 4: Streszczenie analizy tablicy wyników zawierającej kluczowe wskaźniki zatrudnienia i wskaźniki społeczne </w:t>
      </w:r>
    </w:p>
    <w:p w:rsidR="000F2E63" w:rsidRDefault="0010263F">
      <w:pPr>
        <w:jc w:val="both"/>
        <w:rPr>
          <w:rFonts w:ascii="Times New Roman" w:hAnsi="Times New Roman"/>
          <w:b/>
          <w:noProof/>
          <w:sz w:val="20"/>
        </w:rPr>
      </w:pPr>
      <w:r>
        <w:rPr>
          <w:rFonts w:ascii="Times New Roman" w:hAnsi="Times New Roman"/>
          <w:b/>
          <w:noProof/>
        </w:rPr>
        <w:t xml:space="preserve">  </w:t>
      </w:r>
      <w:r>
        <w:rPr>
          <w:rFonts w:ascii="Times New Roman" w:hAnsi="Times New Roman"/>
          <w:b/>
          <w:noProof/>
        </w:rPr>
        <w:tab/>
        <w:t xml:space="preserve"> </w:t>
      </w:r>
      <w:r>
        <w:rPr>
          <w:rFonts w:ascii="Times New Roman" w:hAnsi="Times New Roman"/>
          <w:noProof/>
        </w:rPr>
        <w:t xml:space="preserve"> </w:t>
      </w:r>
      <w:r>
        <w:rPr>
          <w:noProof/>
        </w:rPr>
        <w:drawing>
          <wp:inline distT="0" distB="0" distL="0" distR="0">
            <wp:extent cx="5008880" cy="5069840"/>
            <wp:effectExtent l="0" t="0" r="127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8880" cy="5069840"/>
                    </a:xfrm>
                    <a:prstGeom prst="rect">
                      <a:avLst/>
                    </a:prstGeom>
                    <a:noFill/>
                    <a:ln>
                      <a:noFill/>
                    </a:ln>
                  </pic:spPr>
                </pic:pic>
              </a:graphicData>
            </a:graphic>
          </wp:inline>
        </w:drawing>
      </w:r>
      <w:r>
        <w:rPr>
          <w:rFonts w:ascii="Times New Roman" w:hAnsi="Times New Roman"/>
          <w:noProof/>
        </w:rPr>
        <w:br w:type="page"/>
      </w:r>
      <w:r>
        <w:rPr>
          <w:rFonts w:ascii="Times New Roman" w:hAnsi="Times New Roman"/>
          <w:b/>
          <w:noProof/>
        </w:rPr>
        <w:lastRenderedPageBreak/>
        <w:t>Załącznik 5: Nota dotycząca metodyki określania tendenc</w:t>
      </w:r>
      <w:r>
        <w:rPr>
          <w:rFonts w:ascii="Times New Roman" w:hAnsi="Times New Roman"/>
          <w:b/>
          <w:noProof/>
        </w:rPr>
        <w:t xml:space="preserve">ji i poziomów dla celów tablicy wyników </w:t>
      </w:r>
    </w:p>
    <w:p w:rsidR="000F2E63" w:rsidRDefault="0010263F">
      <w:pPr>
        <w:pStyle w:val="Nagwek2"/>
        <w:spacing w:line="240" w:lineRule="auto"/>
        <w:jc w:val="both"/>
        <w:rPr>
          <w:rFonts w:ascii="Times New Roman" w:hAnsi="Times New Roman"/>
          <w:noProof/>
          <w:sz w:val="20"/>
          <w:szCs w:val="20"/>
        </w:rPr>
      </w:pPr>
      <w:r>
        <w:rPr>
          <w:rFonts w:ascii="Times New Roman" w:hAnsi="Times New Roman"/>
          <w:b w:val="0"/>
          <w:noProof/>
          <w:color w:val="000000"/>
          <w:sz w:val="20"/>
        </w:rPr>
        <w:t>W połowie 2015 r. Komisja Europejska i państwa członkowskie dyskutowały o sposobach udoskonalenia analizy, odczytu oraz interpretacji tablicy wyników zawierającej kluczowe wskaźniki zatrudnienia i wskaźniki społeczn</w:t>
      </w:r>
      <w:r>
        <w:rPr>
          <w:rFonts w:ascii="Times New Roman" w:hAnsi="Times New Roman"/>
          <w:b w:val="0"/>
          <w:noProof/>
          <w:color w:val="000000"/>
          <w:sz w:val="20"/>
        </w:rPr>
        <w:t>e z myślą o kolejnej wersji wspólnego sprawozdania o zatrudnieniu. Tematem dyskusji była w szczególności kwestia opracowania metodyki oceny wyników państw członkowskich na podstawie tablicy wyników. Uzgodniono, że stosowana metodyka powinna umożliwić, w od</w:t>
      </w:r>
      <w:r>
        <w:rPr>
          <w:rFonts w:ascii="Times New Roman" w:hAnsi="Times New Roman"/>
          <w:b w:val="0"/>
          <w:noProof/>
          <w:color w:val="000000"/>
          <w:sz w:val="20"/>
        </w:rPr>
        <w:t>niesieniu do każdego wskaźnika, pomiar względnej pozycji każdego państwa członkowskiego według wartości tego wskaźnika (wyniku) w obrębie rozkładu wartości wskaźników (wyników) UE28. Metodykę tę należy stosować zarówno do pomiaru poziomów w danym roku (poz</w:t>
      </w:r>
      <w:r>
        <w:rPr>
          <w:rFonts w:ascii="Times New Roman" w:hAnsi="Times New Roman"/>
          <w:b w:val="0"/>
          <w:noProof/>
          <w:color w:val="000000"/>
          <w:sz w:val="20"/>
        </w:rPr>
        <w:t>iomów rocznych), jak i do pomiaru zmian z roku na rok (zmian), co ma umożliwić całościową ocenę wyników państw członkowskich.</w:t>
      </w:r>
      <w:r>
        <w:rPr>
          <w:rFonts w:ascii="Times New Roman" w:hAnsi="Times New Roman"/>
          <w:noProof/>
          <w:sz w:val="20"/>
        </w:rPr>
        <w:t xml:space="preserve">  </w:t>
      </w:r>
    </w:p>
    <w:p w:rsidR="000F2E63" w:rsidRDefault="000F2E63">
      <w:pPr>
        <w:spacing w:line="240" w:lineRule="auto"/>
        <w:rPr>
          <w:rFonts w:ascii="Times New Roman" w:hAnsi="Times New Roman"/>
          <w:noProof/>
          <w:sz w:val="20"/>
        </w:rPr>
      </w:pPr>
    </w:p>
    <w:p w:rsidR="000F2E63" w:rsidRDefault="0010263F">
      <w:pPr>
        <w:spacing w:line="240" w:lineRule="auto"/>
        <w:jc w:val="both"/>
        <w:rPr>
          <w:rFonts w:ascii="Times New Roman" w:hAnsi="Times New Roman"/>
          <w:noProof/>
          <w:sz w:val="20"/>
        </w:rPr>
      </w:pPr>
      <w:r>
        <w:rPr>
          <w:rFonts w:ascii="Times New Roman" w:hAnsi="Times New Roman"/>
          <w:noProof/>
          <w:sz w:val="20"/>
        </w:rPr>
        <w:t>Aby osiągnąć ten cel, można zastosować powszechnie znaną i prostą metodę. Polega ona na analizie, w odniesieniu do każdego wska</w:t>
      </w:r>
      <w:r>
        <w:rPr>
          <w:rFonts w:ascii="Times New Roman" w:hAnsi="Times New Roman"/>
          <w:noProof/>
          <w:sz w:val="20"/>
        </w:rPr>
        <w:t>źnika, rozkładu zarówno poziomów rocznych, jak i zmian oraz na wykryciu obserwacji (wyników państw członkowskich) znacząco odbiegających od ogólnej tendencji, a więc – w ujęciu statystycznym – „wartości skrajnych” rozkładu wyników UE28 w odniesieniu do dan</w:t>
      </w:r>
      <w:r>
        <w:rPr>
          <w:rFonts w:ascii="Times New Roman" w:hAnsi="Times New Roman"/>
          <w:noProof/>
          <w:sz w:val="20"/>
        </w:rPr>
        <w:t xml:space="preserve">ego wskaźnika. </w:t>
      </w:r>
    </w:p>
    <w:p w:rsidR="000F2E63" w:rsidRDefault="000F2E63">
      <w:pPr>
        <w:spacing w:line="240" w:lineRule="auto"/>
        <w:jc w:val="both"/>
        <w:rPr>
          <w:rFonts w:ascii="Times New Roman" w:hAnsi="Times New Roman"/>
          <w:noProof/>
          <w:sz w:val="20"/>
        </w:rPr>
      </w:pPr>
    </w:p>
    <w:p w:rsidR="000F2E63" w:rsidRDefault="0010263F">
      <w:pPr>
        <w:spacing w:line="240" w:lineRule="auto"/>
        <w:jc w:val="both"/>
        <w:rPr>
          <w:rFonts w:ascii="Times New Roman" w:hAnsi="Times New Roman"/>
          <w:noProof/>
          <w:sz w:val="20"/>
        </w:rPr>
      </w:pPr>
      <w:r>
        <w:rPr>
          <w:rFonts w:ascii="Times New Roman" w:hAnsi="Times New Roman"/>
          <w:noProof/>
          <w:sz w:val="20"/>
        </w:rPr>
        <w:t>Aby można było przyjąć tę metodę, należy przed rozpoczęciem analizy dokonać w odniesieniu do każdego wskaźnika konwersji wyników państw członkowskich na wyniki standardowe (nazywane również „wynikami Z” – „z-scores”), dzięki którym można z</w:t>
      </w:r>
      <w:r>
        <w:rPr>
          <w:rFonts w:ascii="Times New Roman" w:hAnsi="Times New Roman"/>
          <w:noProof/>
          <w:sz w:val="20"/>
        </w:rPr>
        <w:t xml:space="preserve">równać różne systemy wskaźników, tak aby do wszystkich wskaźników stosował się ten sam system. </w:t>
      </w:r>
    </w:p>
    <w:p w:rsidR="000F2E63" w:rsidRDefault="000F2E63">
      <w:pPr>
        <w:spacing w:line="240" w:lineRule="auto"/>
        <w:jc w:val="both"/>
        <w:rPr>
          <w:rFonts w:ascii="Times New Roman" w:hAnsi="Times New Roman"/>
          <w:noProof/>
          <w:sz w:val="20"/>
        </w:rPr>
      </w:pPr>
    </w:p>
    <w:p w:rsidR="000F2E63" w:rsidRDefault="0010263F">
      <w:pPr>
        <w:spacing w:line="240" w:lineRule="auto"/>
        <w:jc w:val="both"/>
        <w:rPr>
          <w:rFonts w:ascii="Times New Roman" w:hAnsi="Times New Roman"/>
          <w:noProof/>
          <w:sz w:val="20"/>
        </w:rPr>
      </w:pPr>
      <w:r>
        <w:rPr>
          <w:rFonts w:ascii="Times New Roman" w:hAnsi="Times New Roman"/>
          <w:noProof/>
          <w:sz w:val="20"/>
        </w:rPr>
        <w:t>W tym celu należy w odniesieniu do każdego wskaźnika dokonać standaryzacji pierwotnych wartości zarówno poziomów rocznych, jak i zmian, zgodnie z poniższym wzo</w:t>
      </w:r>
      <w:r>
        <w:rPr>
          <w:rFonts w:ascii="Times New Roman" w:hAnsi="Times New Roman"/>
          <w:noProof/>
          <w:sz w:val="20"/>
        </w:rPr>
        <w:t>rem:</w:t>
      </w:r>
    </w:p>
    <w:p w:rsidR="000F2E63" w:rsidRDefault="000F2E63">
      <w:pPr>
        <w:spacing w:line="240" w:lineRule="auto"/>
        <w:jc w:val="both"/>
        <w:rPr>
          <w:rFonts w:ascii="Times New Roman" w:hAnsi="Times New Roman"/>
          <w:noProof/>
          <w:sz w:val="20"/>
        </w:rPr>
      </w:pPr>
    </w:p>
    <w:p w:rsidR="000F2E63" w:rsidRDefault="0010263F">
      <w:pPr>
        <w:jc w:val="both"/>
        <w:rPr>
          <w:rFonts w:ascii="Times New Roman" w:hAnsi="Times New Roman"/>
          <w:noProof/>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44.4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ocumentProtection w:edit=&quot;tracked-changes&quot; w:enforcement=&quot;off&quot;/&gt;&lt;w:defaultTabStop w:val=&quot;720&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COVERPAGE_EXISTS&quot; w:val=&quot;True&quot;/&gt;&lt;w:docVar w:name=&quot;DocStatus&quot; w:val=&quot;Green&quot;/&gt;&lt;w:docVar w:name=&quot;LW_CONFIDENCE&quot; w:val=&quot; &quot;/&gt;&lt;w:docVar w:name=&quot;LW_CONST_RESTREINT_UE&quot; w:val=&quot;RESTREINT UE/EU RESTRICTED&quot;/&gt;&lt;w:docVar w:name=&quot;LW_CORRIGENDUM&quot; w:val=&quot;&amp;lt;UNUSED&amp;gt;&quot;/&gt;&lt;w:docVar w:name=&quot;LW_COVERPAGE_GUID&quot; w:val=&quot;D1D84E56460C40379FA002EEC0455924&quot;/&gt;&lt;w:docVar w:name=&quot;LW_CROSSREFERENCE&quot; w:val=&quot;&amp;lt;UNUSED&amp;gt;&quot;/&gt;&lt;w:docVar w:name=&quot;LW_DocType&quot; w:val=&quot;NORMAL&quot;/&gt;&lt;w:docVar w:name=&quot;LW_EMISSION&quot; w:val=&quot;&amp;lt;EMPTY&amp;gt;&quot;/&gt;&lt;w:docVar w:name=&quot;LW_EMISSION_ISODATE&quot; w:val=&quot;&amp;lt;EMPTY&amp;gt;&quot;/&gt;&lt;w:docVar w:name=&quot;LW_EMISSION_LOCATION&quot; w:val=&quot;BRX&quot;/&gt;&lt;w:docVar w:name=&quot;LW_EMISSION_PREFIX&quot; w:val=&quot;Brussels, &quot;/&gt;&lt;w:docVar w:name=&quot;LW_EMISSION_SUFFIX&quot; w:val=&quot; &quot;/&gt;&lt;w:docVar w:name=&quot;LW_ID_DOCTYPE_NONLW&quot; w:val=&quot;CP-035&quot;/&gt;&lt;w:docVar w:name=&quot;LW_LANGUE&quot; w:val=&quot;EN&quot;/&gt;&lt;w:docVar w:name=&quot;LW_MARKING&quot; w:val=&quot;&amp;lt;UNUSED&amp;gt;&quot;/&gt;&lt;w:docVar w:name=&quot;LW_NOM.INST&quot; w:val=&quot;EUROPEAN COMMISSION&quot;/&gt;&lt;w:docVar w:name=&quot;LW_NOM.INST_JOINTDOC&quot; w:val=&quot;&amp;lt;EMPTY&amp;gt;&quot;/&gt;&lt;w:docVar w:name=&quot;LW_PART_NBR&quot; w:val=&quot;1&quot;/&gt;&lt;w:docVar w:name=&quot;LW_PART_NBR_TOTAL&quot; w:val=&quot;1&quot;/&gt;&lt;w:docVar w:name=&quot;LW_REF.II.NEW.CP&quot; w:val=&quot;&amp;lt;UNUSED&amp;gt;&quot;/&gt;&lt;w:docVar w:name=&quot;LW_REF.II.NEW.CP_NUMBER&quot; w:val=&quot;&amp;lt;UNUSED&amp;gt;&quot;/&gt;&lt;w:docVar w:name=&quot;LW_REF.II.NEW.CP_YEAR&quot; w:val=&quot;2015&quot;/&gt;&lt;w:docVar w:name=&quot;LW_REF.INST.NEW&quot; w:val=&quot;&amp;lt;EMPTY&amp;gt;&quot;/&gt;&lt;w:docVar w:name=&quot;LW_REF.INST.NEW_ADOPTED&quot; w:val=&quot;draft&quot;/&gt;&lt;w:docVar w:name=&quot;LW_REF.INST.NEW_TEXT&quot; w:val=&quot;(2015) XXX&quot;/&gt;&lt;w:docVar w:name=&quot;LW_REF.INTERNE&quot; w:val=&quot;&amp;lt;UNUSED&amp;gt;&quot;/&gt;&lt;w:docVar w:name=&quot;LW_SOUS.TITRE.OBJ.CP&quot; w:val=&quot;&amp;lt;UNUSED&amp;gt;&quot;/&gt;&lt;w:docVar w:name=&quot;LW_SUPERTITRE&quot; w:val=&quot;&amp;lt;UNUSED&amp;gt;&quot;/&gt;&lt;w:docVar w:name=&quot;LW_TITRE.OBJ.CP&quot; w:val=&quot;accompanying the Communication from the Commission _x000b_on the Annual Growth Survey 2016&quot;/&gt;&lt;w:docVar w:name=&quot;LW_TYPE.DOC.CP&quot; w:val=&quot;DRAFT JOINT EMPLOYMENT REPORT_x000b_ FROM THE COMMISSION AND THE COUNCIL _x000b_&quot;/&gt;&lt;/w:docVars&gt;&lt;wsp:rsids&gt;&lt;wsp:rsidRoot wsp:val=&quot;006B7E63&quot;/&gt;&lt;wsp:rsid wsp:val=&quot;000B4725&quot;/&gt;&lt;wsp:rsid wsp:val=&quot;000F1CEB&quot;/&gt;&lt;wsp:rsid wsp:val=&quot;00130BE9&quot;/&gt;&lt;wsp:rsid wsp:val=&quot;00153B3D&quot;/&gt;&lt;wsp:rsid wsp:val=&quot;001702A2&quot;/&gt;&lt;wsp:rsid wsp:val=&quot;001A05D6&quot;/&gt;&lt;wsp:rsid wsp:val=&quot;002208CA&quot;/&gt;&lt;wsp:rsid wsp:val=&quot;00264D49&quot;/&gt;&lt;wsp:rsid wsp:val=&quot;0029703C&quot;/&gt;&lt;wsp:rsid wsp:val=&quot;002B102D&quot;/&gt;&lt;wsp:rsid wsp:val=&quot;00355A66&quot;/&gt;&lt;wsp:rsid wsp:val=&quot;00407303&quot;/&gt;&lt;wsp:rsid wsp:val=&quot;004E456A&quot;/&gt;&lt;wsp:rsid wsp:val=&quot;006828B1&quot;/&gt;&lt;wsp:rsid wsp:val=&quot;006A3BB6&quot;/&gt;&lt;wsp:rsid wsp:val=&quot;00715042&quot;/&gt;&lt;wsp:rsid wsp:val=&quot;00723A00&quot;/&gt;&lt;wsp:rsid wsp:val=&quot;007840CD&quot;/&gt;&lt;wsp:rsid wsp:val=&quot;007C47B5&quot;/&gt;&lt;wsp:rsid wsp:val=&quot;007C7F8A&quot;/&gt;&lt;wsp:rsid wsp:val=&quot;007F0F26&quot;/&gt;&lt;wsp:rsid wsp:val=&quot;007F24DA&quot;/&gt;&lt;wsp:rsid wsp:val=&quot;007F5398&quot;/&gt;&lt;wsp:rsid wsp:val=&quot;008542CF&quot;/&gt;&lt;wsp:rsid wsp:val=&quot;00A0775E&quot;/&gt;&lt;wsp:rsid wsp:val=&quot;00A44A66&quot;/&gt;&lt;wsp:rsid wsp:val=&quot;00A50E28&quot;/&gt;&lt;wsp:rsid wsp:val=&quot;00AE2878&quot;/&gt;&lt;wsp:rsid wsp:val=&quot;00BC1ECC&quot;/&gt;&lt;wsp:rsid wsp:val=&quot;00BC4A68&quot;/&gt;&lt;wsp:rsid wsp:val=&quot;00D2590E&quot;/&gt;&lt;wsp:rsid wsp:val=&quot;00DE1890&quot;/&gt;&lt;wsp:rsid wsp:val=&quot;00E90AD2&quot;/&gt;&lt;wsp:rsid wsp:val=&quot;00EE79E0&quot;/&gt;&lt;wsp:rsid wsp:val=&quot;00F24A5E&quot;/&gt;&lt;/wsp:rsids&gt;&lt;/w:docPr&gt;&lt;w:body&gt;&lt;wx:sect&gt;&lt;w:p wsp:rsidR=&quot;00000000&quot; wsp:rsidRPr=&quot;00EE79E0&quot; wsp:rsidRDefault=&quot;00EE79E0&quot; wsp:rsidP=&quot;00EE79E0&quot;&gt;&lt;m:oMathPara&gt;&lt;m:oMath&gt;&lt;m:sSub&gt;&lt;m:sSubPr&gt;&lt;m:ctrlPr&gt;&lt;w:rPr&gt;&lt;w:rFonts w:ascii=&quot;Cambria Math&quot; w:h-ansi=&quot;Cambria Math&quot;/&gt;&lt;wx:font wx:val=&quot;Cambria Math&quot;/&gt;&lt;w:i/&gt;&lt;w:lang w:fareast=&quot;EN-US&quot;/&gt;&lt;/w:rPr&gt;&lt;/m:ctrlPr&gt;&lt;/m:sSubPr&gt;&lt;m:e&gt;&lt;m:r&gt;&lt;w:rPr&gt;&lt;w:rFonts w:ascii=&quot;Cambria Math&quot; w:h-ansi=&quot;Cambria Math&quot;/&gt;&lt;wx:font wx:val=&quot;Cambria Math&quot;/&gt;&lt;w:i/&gt;&lt;w:sz w:val=&quot;20&quot;/&gt;&lt;/w:rPr&gt;&lt;m:t&gt;Wynik Z p. czA‚onk.&lt;/m:t&gt;&lt;/m:r&gt;&lt;/m:e&gt;&lt;m:sub&gt;&lt;m:r&gt;&lt;w:rPr&gt;&lt;w:rFonts w:ascii=&quot;Cambria Math&quot; w:h-ansi=&quot;Cambria Math&quot;/&gt;&lt;wx:font wx:val=&quot;Cambria Math&quot;/&gt;&lt;w:i/&gt;&lt;w:sz w:val=&quot;20&quot;/&gt;&lt;/w:rPr&gt;&lt;m:t&gt;X&lt;/m:t&gt;&lt;/m:r&gt;&lt;/m:sub&gt;&lt;/m:sSub&gt;&lt;m:r&gt;&lt;w:rPr&gt;&lt;w:rFonts w:ascii=&quot;Cambria Math&quot; w:h-ansi=&quot;Cambria Math&quot;/&gt;&lt;wx:font wx:val=&quot;Cambria Math&quot;/&gt;&lt;w:i/&gt;&lt;w:sz w:val=&quot;20&quot;/&gt;&lt;/w:rPr&gt;&lt;m:t&gt;= &lt;/m:t&gt;&lt;/m:r&gt;&lt;m:f&gt;&lt;m:fPr&gt;&lt;m:ctrlPr&gt;&lt;w:rPr&gt;&lt;w:rFonts w:ascii=&quot;Cambria Math&quot; w:h-ansi=&quot;Cambria Math&quot;/&gt;&lt;wx:font wx:val=&quot;Cambria Math&quot;/&gt;&lt;w:i/&gt;&lt;w:lang w:fareast=&quot;EN-US&quot;/&gt;&lt;/w:rPr&gt;&lt;/m:ctrlPr&gt;&lt;/m:fPr&gt;&lt;m:num&gt;&lt;m:d&gt;&lt;m:dPr&gt;&lt;m:begChr m:val=&quot;[&quot;/&gt;&lt;m:endChr m:val=&quot;]&quot;/&gt;&lt;m:ctrlPr&gt;&lt;w:rPr&gt;&lt;w:rFonts w:ascii=&quot;Cambria Math&quot; w:h-ansi=&quot;Cambria Math&quot;/&gt;&lt;wx:font wx:val=&quot;Cambria Math&quot;/&gt;&lt;w:i/&gt;&lt;w:lang w:fareast=&quot;EN-US&quot;/&gt;&lt;/w:rPr&gt;&lt;/m:ctrlPr&gt;&lt;/m:dPr&gt;&lt;m:e&gt;&lt;m:sSub&gt;&lt;m:sSubPr&gt;&lt;m:ctrlPr&gt;&lt;w:rPr&gt;&lt;w:rFonts w:ascii=&quot;Cambria Math&quot; w:h-ansi=&quot;Cambria Math&quot;/&gt;&lt;wx:font wx:val=&quot;Cambria Math&quot;/&gt;&lt;w:i/&gt;&lt;w:lang w:fareast=&quot;EN-US&quot;/&gt;&lt;/w:rPr&gt;&lt;/m:ctrlPr&gt;&lt;/m:sSubPr&gt;&lt;m:e&gt;&lt;m:r&gt;&lt;w:rPr&gt;&lt;w:rFonts w:ascii=&quot;Cambria Math&quot; w:h-ansi=&quot;Cambria Math&quot;/&gt;&lt;wx:font wx:val=&quot;Cambria Math&quot;/&gt;&lt;w:i/&gt;&lt;w:sz w:val=&quot;20&quot;/&gt;&lt;/w:rPr&gt;&lt;m:t&gt;WskaAonik p. czA‚onk.&lt;/m:t&gt;&lt;/m:r&gt;&lt;/m:e&gt;&lt;m:sub&gt;&lt;m:r&gt;&lt;w:rPr&gt;&lt;w:rFonts w:ascii=&quot;Cambria Math&quot; w:h-ansi=&quot;Cambria Math&quot;/&gt;&lt;wx:font wx:val=&quot;Cambria Math&quot;/&gt;&lt;w:i/&gt;&lt;w:sz w:val=&quot;20&quot;/&gt;&lt;/w:rPr&gt;&lt;m:t&gt;X&lt;/m:t&gt;&lt;/m:r&gt;&lt;/m:sub&gt;&lt;/m:sSub&gt;&lt;m:r&gt;&lt;w:rPr&gt;&lt;w:rFonts w:ascii=&quot;Cambria Math&quot; w:h-ansi=&quot;Cambria Math&quot;/&gt;&lt;wx:font wx:val=&quot;Cambria Math&quot;/&gt;&lt;w:i/&gt;&lt;w:sz w:val=&quot;20&quot;/&gt;&lt;/w:rPr&gt;&lt;m:t&gt; -A›rednia &lt;/m:t&gt;&lt;/m:r&gt;&lt;m:d&gt;&lt;m:dPr&gt;&lt;m:ctrlPr&gt;&lt;w:rPr&gt;&lt;w:rFonts w:ascii=&quot;Cambria Math&quot; w:h-ansi=&quot;Cambria Math&quot;/&gt;&lt;wx:font wx:val=&quot;Cambria Math&quot;/&gt;&lt;w:i/&gt;&lt;w:lang w:fareast=&quot;EN-US&quot;/&gt;&lt;/w:rPr&gt;&lt;/m:ctrlPr&gt;&lt;/m:dPr&gt;&lt;m:e&gt;&lt;m:r&gt;&lt;w:rPr&gt;&lt;w:rFonts w:ascii=&quot;Cambria Math&quot; w:h-ansi=&quot;Cambria Math&quot;/&gt;&lt;wx:font wx:val=&quot;Cambria Math&quot;/&gt;&lt;w:i/&gt;&lt;w:sz w:val=&quot;20&quot;/&gt;&lt;/w:rPr&gt;&lt;m:t&gt;wskaAonik p. czA‚onk.&lt;/m:t&gt;&lt;/m:r&gt;&lt;/m:e&gt;&lt;/m:d&gt;&lt;/m:e&gt;&lt;/m:d&gt;&lt;/m:num&gt;&lt;m:den&gt;&lt;m:r&gt;&lt;w:rPr&gt;&lt;w:rFonts w:ascii=&quot;Cambria Math&quot; w:h-ansi=&quot;Cambria Math&quot;/&gt;&lt;wx:font wx:val=&quot;Cambria Math&quot;/&gt;&lt;w:i/&gt;&lt;w:sz w:val=&quot;20&quot;/&gt;&lt;/w:rPr&gt;&lt;m:t&gt;odchylenie standardowe (wskaAonik p. czA‚onk.)&lt;/m:t&gt;&lt;/m:r&gt;&lt;/m:den&gt;&lt;/m:f&gt;&lt;/m:oMath&gt;&lt;/m:oMathPara&gt;&lt;/w:p&gt;&lt;w:sectPr wsp:rsidR=&quot;00000000&quot; wsp:rsidRPr=&quot;00EE79E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p>
    <w:p w:rsidR="000F2E63" w:rsidRDefault="000F2E63">
      <w:pPr>
        <w:spacing w:line="240" w:lineRule="auto"/>
        <w:jc w:val="both"/>
        <w:rPr>
          <w:rFonts w:ascii="Times New Roman" w:hAnsi="Times New Roman"/>
          <w:noProof/>
          <w:sz w:val="20"/>
        </w:rPr>
      </w:pPr>
    </w:p>
    <w:p w:rsidR="000F2E63" w:rsidRDefault="0010263F">
      <w:pPr>
        <w:spacing w:line="240" w:lineRule="auto"/>
        <w:jc w:val="both"/>
        <w:rPr>
          <w:rFonts w:ascii="Times New Roman" w:hAnsi="Times New Roman"/>
          <w:noProof/>
          <w:sz w:val="20"/>
        </w:rPr>
      </w:pPr>
      <w:r>
        <w:rPr>
          <w:rFonts w:ascii="Times New Roman" w:hAnsi="Times New Roman"/>
          <w:noProof/>
          <w:sz w:val="20"/>
        </w:rPr>
        <w:t xml:space="preserve">Metoda ta umożliwia wyrażenie, w odniesieniu do każdego państwa członkowskiego, pierwotnej wartości wskaźnika pod względem liczby odchyleń standardowych od średniej. Wyniki każdego państwa członkowskiego mogą następnie zostać ocenione i </w:t>
      </w:r>
      <w:r>
        <w:rPr>
          <w:rFonts w:ascii="Times New Roman" w:hAnsi="Times New Roman"/>
          <w:noProof/>
          <w:sz w:val="20"/>
        </w:rPr>
        <w:t xml:space="preserve">sklasyfikowane na podstawie uzyskanych wyników Z na tle zbioru uprzednio </w:t>
      </w:r>
      <w:r>
        <w:rPr>
          <w:rFonts w:ascii="Times New Roman" w:hAnsi="Times New Roman"/>
          <w:noProof/>
          <w:sz w:val="20"/>
        </w:rPr>
        <w:lastRenderedPageBreak/>
        <w:t>określonych progów, które można ustalić jako wielokrotność odchylenia standardowego. Warto wspomnieć, że porównywalną metodykę ustalono i zastosowano już wcześniej w kontekście ram oc</w:t>
      </w:r>
      <w:r>
        <w:rPr>
          <w:rFonts w:ascii="Times New Roman" w:hAnsi="Times New Roman"/>
          <w:noProof/>
          <w:sz w:val="20"/>
        </w:rPr>
        <w:t>eny LIME</w:t>
      </w:r>
      <w:r>
        <w:rPr>
          <w:rStyle w:val="Odwoanieprzypisudolnego"/>
          <w:rFonts w:ascii="Times New Roman" w:hAnsi="Times New Roman"/>
          <w:noProof/>
          <w:sz w:val="20"/>
        </w:rPr>
        <w:footnoteReference w:id="37"/>
      </w:r>
      <w:r>
        <w:rPr>
          <w:rFonts w:ascii="Times New Roman" w:hAnsi="Times New Roman"/>
          <w:noProof/>
          <w:sz w:val="20"/>
        </w:rPr>
        <w:t xml:space="preserve">. </w:t>
      </w:r>
    </w:p>
    <w:p w:rsidR="000F2E63" w:rsidRDefault="0010263F">
      <w:pPr>
        <w:spacing w:line="240" w:lineRule="auto"/>
        <w:jc w:val="both"/>
        <w:rPr>
          <w:rFonts w:ascii="Times New Roman" w:hAnsi="Times New Roman"/>
          <w:noProof/>
          <w:sz w:val="20"/>
        </w:rPr>
      </w:pPr>
      <w:r>
        <w:rPr>
          <w:rFonts w:ascii="Times New Roman" w:hAnsi="Times New Roman"/>
          <w:noProof/>
          <w:sz w:val="20"/>
        </w:rPr>
        <w:t>Najważniejszą kwestią w tej metodzie jest ustalenie punktów odcięcia. Ponieważ nie jest możliwe przyjęcie jakichkolwiek założeń co do parametrów rozkładu zaobserwowanych pierwotnych wartości wskaźników zatrudnienia</w:t>
      </w:r>
      <w:r>
        <w:rPr>
          <w:rStyle w:val="Odwoanieprzypisudolnego"/>
          <w:rFonts w:ascii="Times New Roman" w:hAnsi="Times New Roman"/>
          <w:noProof/>
          <w:sz w:val="20"/>
        </w:rPr>
        <w:footnoteReference w:id="38"/>
      </w:r>
      <w:r>
        <w:rPr>
          <w:rFonts w:ascii="Times New Roman" w:hAnsi="Times New Roman"/>
          <w:noProof/>
          <w:sz w:val="20"/>
        </w:rPr>
        <w:t>, punkty te ustala się najczę</w:t>
      </w:r>
      <w:r>
        <w:rPr>
          <w:rFonts w:ascii="Times New Roman" w:hAnsi="Times New Roman"/>
          <w:noProof/>
          <w:sz w:val="20"/>
        </w:rPr>
        <w:t>ściej „na wyczucie”. Zgodnie z analizą kluczowych wskaźników zawartych w tablicy wyników oraz uwzględniając fakt, że im niższe bezrobocie i wskaźniki dotyczące młodzieży NEET, tym lepsze wyniki, proponuje się uznać</w:t>
      </w:r>
      <w:r>
        <w:rPr>
          <w:rStyle w:val="Odwoanieprzypisudolnego"/>
          <w:rFonts w:ascii="Times New Roman" w:hAnsi="Times New Roman"/>
          <w:noProof/>
          <w:sz w:val="20"/>
        </w:rPr>
        <w:footnoteReference w:id="39"/>
      </w:r>
      <w:r>
        <w:rPr>
          <w:rFonts w:ascii="Times New Roman" w:hAnsi="Times New Roman"/>
          <w:noProof/>
          <w:sz w:val="20"/>
        </w:rPr>
        <w:t xml:space="preserve">:  </w:t>
      </w:r>
    </w:p>
    <w:p w:rsidR="000F2E63" w:rsidRDefault="0010263F">
      <w:pPr>
        <w:pStyle w:val="Akapitzlist"/>
        <w:numPr>
          <w:ilvl w:val="0"/>
          <w:numId w:val="3"/>
        </w:numPr>
        <w:spacing w:line="240" w:lineRule="auto"/>
        <w:jc w:val="both"/>
        <w:rPr>
          <w:rFonts w:ascii="Times New Roman" w:hAnsi="Times New Roman"/>
          <w:noProof/>
          <w:sz w:val="20"/>
          <w:szCs w:val="20"/>
        </w:rPr>
      </w:pPr>
      <w:r>
        <w:rPr>
          <w:rFonts w:ascii="Times New Roman" w:hAnsi="Times New Roman"/>
          <w:noProof/>
          <w:sz w:val="20"/>
        </w:rPr>
        <w:t>każdy wynik poniżej -1 za wynik bardz</w:t>
      </w:r>
      <w:r>
        <w:rPr>
          <w:rFonts w:ascii="Times New Roman" w:hAnsi="Times New Roman"/>
          <w:noProof/>
          <w:sz w:val="20"/>
        </w:rPr>
        <w:t xml:space="preserve">o dobry; </w:t>
      </w:r>
    </w:p>
    <w:p w:rsidR="000F2E63" w:rsidRDefault="0010263F">
      <w:pPr>
        <w:pStyle w:val="Akapitzlist"/>
        <w:numPr>
          <w:ilvl w:val="0"/>
          <w:numId w:val="3"/>
        </w:numPr>
        <w:spacing w:line="240" w:lineRule="auto"/>
        <w:jc w:val="both"/>
        <w:rPr>
          <w:rFonts w:ascii="Times New Roman" w:hAnsi="Times New Roman"/>
          <w:noProof/>
          <w:sz w:val="20"/>
          <w:szCs w:val="20"/>
        </w:rPr>
      </w:pPr>
      <w:r>
        <w:rPr>
          <w:rFonts w:ascii="Times New Roman" w:hAnsi="Times New Roman"/>
          <w:noProof/>
          <w:sz w:val="20"/>
        </w:rPr>
        <w:t>każdy wynik od -1 do -0,5 za wynik dobry;</w:t>
      </w:r>
    </w:p>
    <w:p w:rsidR="000F2E63" w:rsidRDefault="0010263F">
      <w:pPr>
        <w:pStyle w:val="Akapitzlist"/>
        <w:numPr>
          <w:ilvl w:val="0"/>
          <w:numId w:val="3"/>
        </w:numPr>
        <w:spacing w:line="240" w:lineRule="auto"/>
        <w:rPr>
          <w:rFonts w:ascii="Times New Roman" w:hAnsi="Times New Roman"/>
          <w:noProof/>
          <w:sz w:val="20"/>
          <w:szCs w:val="20"/>
        </w:rPr>
      </w:pPr>
      <w:r>
        <w:rPr>
          <w:rFonts w:ascii="Times New Roman" w:hAnsi="Times New Roman"/>
          <w:noProof/>
          <w:sz w:val="20"/>
        </w:rPr>
        <w:t>każdy wynik od -0,5 do 0,5 za wynik neutralny;</w:t>
      </w:r>
    </w:p>
    <w:p w:rsidR="000F2E63" w:rsidRDefault="0010263F">
      <w:pPr>
        <w:pStyle w:val="Akapitzlist"/>
        <w:numPr>
          <w:ilvl w:val="0"/>
          <w:numId w:val="3"/>
        </w:numPr>
        <w:spacing w:line="240" w:lineRule="auto"/>
        <w:jc w:val="both"/>
        <w:rPr>
          <w:rFonts w:ascii="Times New Roman" w:hAnsi="Times New Roman"/>
          <w:noProof/>
          <w:sz w:val="20"/>
          <w:szCs w:val="20"/>
        </w:rPr>
      </w:pPr>
      <w:r>
        <w:rPr>
          <w:rFonts w:ascii="Times New Roman" w:hAnsi="Times New Roman"/>
          <w:noProof/>
          <w:sz w:val="20"/>
        </w:rPr>
        <w:t>każdy wynik od 0,5 do 1 za wynik zły;</w:t>
      </w:r>
    </w:p>
    <w:p w:rsidR="000F2E63" w:rsidRDefault="0010263F">
      <w:pPr>
        <w:pStyle w:val="Akapitzlist"/>
        <w:numPr>
          <w:ilvl w:val="0"/>
          <w:numId w:val="3"/>
        </w:numPr>
        <w:spacing w:line="240" w:lineRule="auto"/>
        <w:jc w:val="both"/>
        <w:rPr>
          <w:rFonts w:ascii="Times New Roman" w:hAnsi="Times New Roman"/>
          <w:noProof/>
          <w:sz w:val="20"/>
          <w:szCs w:val="20"/>
        </w:rPr>
      </w:pPr>
      <w:r>
        <w:rPr>
          <w:rFonts w:ascii="Times New Roman" w:hAnsi="Times New Roman"/>
          <w:noProof/>
          <w:sz w:val="20"/>
        </w:rPr>
        <w:t>każdy wynik powyżej 1 za wynik bardzo zły.</w:t>
      </w:r>
      <w:r>
        <w:rPr>
          <w:rStyle w:val="Odwoanieprzypisudolnego"/>
          <w:rFonts w:ascii="Times New Roman" w:hAnsi="Times New Roman"/>
          <w:noProof/>
          <w:sz w:val="20"/>
        </w:rPr>
        <w:footnoteReference w:id="40"/>
      </w:r>
    </w:p>
    <w:p w:rsidR="000F2E63" w:rsidRDefault="0010263F">
      <w:pPr>
        <w:spacing w:line="240" w:lineRule="auto"/>
        <w:jc w:val="both"/>
        <w:rPr>
          <w:rFonts w:ascii="Times New Roman" w:hAnsi="Times New Roman"/>
          <w:noProof/>
          <w:sz w:val="20"/>
        </w:rPr>
      </w:pPr>
      <w:r>
        <w:rPr>
          <w:rFonts w:ascii="Times New Roman" w:hAnsi="Times New Roman"/>
          <w:noProof/>
          <w:sz w:val="20"/>
        </w:rPr>
        <w:t>Proponowana metodyka ma służyć ocenie wyników każdego państwa członkowskiego w odniesieniu do wszystkich wskaźników, w zakresie zarówno poziomów rocznych, jak i zmian. W rezultacie tego będzie więc można w odniesieniu do każdego wskaźnika ocenić wyniki pań</w:t>
      </w:r>
      <w:r>
        <w:rPr>
          <w:rFonts w:ascii="Times New Roman" w:hAnsi="Times New Roman"/>
          <w:noProof/>
          <w:sz w:val="20"/>
        </w:rPr>
        <w:t xml:space="preserve">stw członkowskich, zarówno w zakresie poziomów rocznych, jak i zmian, przy użyciu pięciu kryteriów pokazanych w tabeli 1: </w:t>
      </w:r>
    </w:p>
    <w:p w:rsidR="000F2E63" w:rsidRDefault="0010263F">
      <w:pPr>
        <w:pStyle w:val="Legenda"/>
        <w:rPr>
          <w:noProof/>
          <w:sz w:val="20"/>
          <w:szCs w:val="20"/>
        </w:rPr>
      </w:pPr>
      <w:r>
        <w:rPr>
          <w:noProof/>
          <w:sz w:val="20"/>
        </w:rPr>
        <w:t xml:space="preserve">Tabela </w:t>
      </w:r>
      <w:r>
        <w:rPr>
          <w:noProof/>
          <w:sz w:val="20"/>
        </w:rPr>
        <w:fldChar w:fldCharType="begin" w:fldLock="1"/>
      </w:r>
      <w:r>
        <w:rPr>
          <w:noProof/>
          <w:sz w:val="20"/>
        </w:rPr>
        <w:instrText xml:space="preserve"> SEQ Table \* ARABIC </w:instrText>
      </w:r>
      <w:r>
        <w:rPr>
          <w:noProof/>
          <w:sz w:val="20"/>
        </w:rPr>
        <w:fldChar w:fldCharType="separate"/>
      </w:r>
      <w:r>
        <w:rPr>
          <w:noProof/>
          <w:sz w:val="20"/>
        </w:rPr>
        <w:t>1</w:t>
      </w:r>
      <w:r>
        <w:rPr>
          <w:noProof/>
          <w:sz w:val="20"/>
        </w:rPr>
        <w:fldChar w:fldCharType="end"/>
      </w:r>
      <w:r>
        <w:rPr>
          <w:noProof/>
          <w:sz w:val="20"/>
        </w:rPr>
        <w:t>: Proponowane wartości progowe wyników Z</w:t>
      </w:r>
    </w:p>
    <w:tbl>
      <w:tblPr>
        <w:tblW w:w="9370" w:type="dxa"/>
        <w:tblBorders>
          <w:top w:val="single" w:sz="8" w:space="0" w:color="4F81BD"/>
          <w:bottom w:val="single" w:sz="8" w:space="0" w:color="4F81BD"/>
        </w:tblBorders>
        <w:tblLook w:val="04A0" w:firstRow="1" w:lastRow="0" w:firstColumn="1" w:lastColumn="0" w:noHBand="0" w:noVBand="1"/>
      </w:tblPr>
      <w:tblGrid>
        <w:gridCol w:w="1797"/>
        <w:gridCol w:w="1487"/>
        <w:gridCol w:w="1623"/>
        <w:gridCol w:w="1487"/>
        <w:gridCol w:w="1487"/>
        <w:gridCol w:w="1489"/>
      </w:tblGrid>
      <w:tr w:rsidR="000F2E63">
        <w:trPr>
          <w:trHeight w:val="368"/>
        </w:trPr>
        <w:tc>
          <w:tcPr>
            <w:tcW w:w="1797" w:type="dxa"/>
            <w:vMerge w:val="restart"/>
            <w:tcBorders>
              <w:top w:val="single" w:sz="8" w:space="0" w:color="4F81BD"/>
              <w:bottom w:val="single" w:sz="8" w:space="0" w:color="4F81BD"/>
            </w:tcBorders>
            <w:shd w:val="clear" w:color="auto" w:fill="auto"/>
            <w:noWrap/>
            <w:hideMark/>
          </w:tcPr>
          <w:p w:rsidR="000F2E63" w:rsidRDefault="0010263F">
            <w:pPr>
              <w:spacing w:after="0" w:line="240" w:lineRule="auto"/>
              <w:jc w:val="center"/>
              <w:rPr>
                <w:rFonts w:ascii="Times New Roman" w:hAnsi="Times New Roman"/>
                <w:b/>
                <w:bCs/>
                <w:noProof/>
                <w:color w:val="000000"/>
                <w:sz w:val="20"/>
              </w:rPr>
            </w:pPr>
            <w:r>
              <w:rPr>
                <w:rFonts w:ascii="Times New Roman" w:hAnsi="Times New Roman"/>
                <w:b/>
                <w:noProof/>
                <w:color w:val="000000"/>
                <w:sz w:val="20"/>
              </w:rPr>
              <w:t> </w:t>
            </w:r>
          </w:p>
        </w:tc>
        <w:tc>
          <w:tcPr>
            <w:tcW w:w="7573" w:type="dxa"/>
            <w:gridSpan w:val="5"/>
            <w:tcBorders>
              <w:top w:val="single" w:sz="8" w:space="0" w:color="4F81BD"/>
              <w:bottom w:val="single" w:sz="8" w:space="0" w:color="4F81BD"/>
            </w:tcBorders>
            <w:shd w:val="clear" w:color="auto" w:fill="auto"/>
            <w:hideMark/>
          </w:tcPr>
          <w:p w:rsidR="000F2E63" w:rsidRDefault="0010263F">
            <w:pPr>
              <w:spacing w:after="0" w:line="240" w:lineRule="auto"/>
              <w:jc w:val="center"/>
              <w:rPr>
                <w:rFonts w:ascii="Times New Roman" w:hAnsi="Times New Roman"/>
                <w:b/>
                <w:bCs/>
                <w:noProof/>
                <w:color w:val="000000"/>
                <w:sz w:val="20"/>
              </w:rPr>
            </w:pPr>
            <w:r>
              <w:rPr>
                <w:rFonts w:ascii="Times New Roman" w:hAnsi="Times New Roman"/>
                <w:b/>
                <w:noProof/>
                <w:color w:val="000000"/>
                <w:sz w:val="20"/>
              </w:rPr>
              <w:t>Wartości progowe wyników Z</w:t>
            </w:r>
          </w:p>
        </w:tc>
      </w:tr>
      <w:tr w:rsidR="000F2E63">
        <w:trPr>
          <w:trHeight w:val="373"/>
        </w:trPr>
        <w:tc>
          <w:tcPr>
            <w:tcW w:w="1797" w:type="dxa"/>
            <w:vMerge/>
            <w:shd w:val="clear" w:color="auto" w:fill="D3DFEE"/>
            <w:hideMark/>
          </w:tcPr>
          <w:p w:rsidR="000F2E63" w:rsidRDefault="000F2E63">
            <w:pPr>
              <w:spacing w:after="0" w:line="240" w:lineRule="auto"/>
              <w:rPr>
                <w:rFonts w:ascii="Times New Roman" w:hAnsi="Times New Roman"/>
                <w:b/>
                <w:bCs/>
                <w:noProof/>
                <w:color w:val="000000"/>
                <w:sz w:val="20"/>
              </w:rPr>
            </w:pPr>
          </w:p>
        </w:tc>
        <w:tc>
          <w:tcPr>
            <w:tcW w:w="1487" w:type="dxa"/>
            <w:tcBorders>
              <w:left w:val="nil"/>
              <w:right w:val="nil"/>
            </w:tcBorders>
            <w:shd w:val="clear" w:color="auto" w:fill="D3DFEE"/>
            <w:noWrap/>
            <w:hideMark/>
          </w:tcPr>
          <w:p w:rsidR="000F2E63" w:rsidRDefault="0010263F">
            <w:pPr>
              <w:spacing w:after="0" w:line="240" w:lineRule="auto"/>
              <w:jc w:val="center"/>
              <w:rPr>
                <w:rFonts w:ascii="Times New Roman" w:hAnsi="Times New Roman"/>
                <w:noProof/>
                <w:color w:val="C00000"/>
                <w:sz w:val="20"/>
              </w:rPr>
            </w:pPr>
            <w:r>
              <w:rPr>
                <w:rFonts w:ascii="Times New Roman" w:hAnsi="Times New Roman"/>
                <w:noProof/>
                <w:color w:val="C00000"/>
                <w:sz w:val="20"/>
              </w:rPr>
              <w:t>-1,0</w:t>
            </w:r>
          </w:p>
        </w:tc>
        <w:tc>
          <w:tcPr>
            <w:tcW w:w="1623" w:type="dxa"/>
            <w:shd w:val="clear" w:color="auto" w:fill="D3DFEE"/>
            <w:noWrap/>
            <w:hideMark/>
          </w:tcPr>
          <w:p w:rsidR="000F2E63" w:rsidRDefault="0010263F">
            <w:pPr>
              <w:spacing w:after="0" w:line="240" w:lineRule="auto"/>
              <w:jc w:val="center"/>
              <w:rPr>
                <w:rFonts w:ascii="Times New Roman" w:hAnsi="Times New Roman"/>
                <w:noProof/>
                <w:color w:val="C00000"/>
                <w:sz w:val="20"/>
              </w:rPr>
            </w:pPr>
            <w:r>
              <w:rPr>
                <w:rFonts w:ascii="Times New Roman" w:hAnsi="Times New Roman"/>
                <w:noProof/>
                <w:color w:val="C00000"/>
                <w:sz w:val="20"/>
              </w:rPr>
              <w:t>- 0,5</w:t>
            </w:r>
          </w:p>
        </w:tc>
        <w:tc>
          <w:tcPr>
            <w:tcW w:w="1487" w:type="dxa"/>
            <w:tcBorders>
              <w:left w:val="nil"/>
              <w:right w:val="nil"/>
            </w:tcBorders>
            <w:shd w:val="clear" w:color="auto" w:fill="D3DFEE"/>
            <w:noWrap/>
            <w:hideMark/>
          </w:tcPr>
          <w:p w:rsidR="000F2E63" w:rsidRDefault="0010263F">
            <w:pPr>
              <w:spacing w:after="0" w:line="240" w:lineRule="auto"/>
              <w:jc w:val="center"/>
              <w:rPr>
                <w:rFonts w:ascii="Times New Roman" w:hAnsi="Times New Roman"/>
                <w:noProof/>
                <w:color w:val="C00000"/>
                <w:sz w:val="20"/>
              </w:rPr>
            </w:pPr>
            <w:r>
              <w:rPr>
                <w:rFonts w:ascii="Times New Roman" w:hAnsi="Times New Roman"/>
                <w:noProof/>
                <w:color w:val="C00000"/>
                <w:sz w:val="20"/>
              </w:rPr>
              <w:t>0</w:t>
            </w:r>
          </w:p>
        </w:tc>
        <w:tc>
          <w:tcPr>
            <w:tcW w:w="1487" w:type="dxa"/>
            <w:shd w:val="clear" w:color="auto" w:fill="D3DFEE"/>
            <w:noWrap/>
            <w:hideMark/>
          </w:tcPr>
          <w:p w:rsidR="000F2E63" w:rsidRDefault="0010263F">
            <w:pPr>
              <w:spacing w:after="0" w:line="240" w:lineRule="auto"/>
              <w:jc w:val="center"/>
              <w:rPr>
                <w:rFonts w:ascii="Times New Roman" w:hAnsi="Times New Roman"/>
                <w:noProof/>
                <w:color w:val="C00000"/>
                <w:sz w:val="20"/>
              </w:rPr>
            </w:pPr>
            <w:r>
              <w:rPr>
                <w:rFonts w:ascii="Times New Roman" w:hAnsi="Times New Roman"/>
                <w:noProof/>
                <w:color w:val="C00000"/>
                <w:sz w:val="20"/>
              </w:rPr>
              <w:t>0,5</w:t>
            </w:r>
          </w:p>
        </w:tc>
        <w:tc>
          <w:tcPr>
            <w:tcW w:w="1489" w:type="dxa"/>
            <w:tcBorders>
              <w:left w:val="nil"/>
              <w:right w:val="nil"/>
            </w:tcBorders>
            <w:shd w:val="clear" w:color="auto" w:fill="D3DFEE"/>
            <w:noWrap/>
            <w:hideMark/>
          </w:tcPr>
          <w:p w:rsidR="000F2E63" w:rsidRDefault="0010263F">
            <w:pPr>
              <w:spacing w:after="0" w:line="240" w:lineRule="auto"/>
              <w:jc w:val="center"/>
              <w:rPr>
                <w:rFonts w:ascii="Times New Roman" w:hAnsi="Times New Roman"/>
                <w:noProof/>
                <w:color w:val="C00000"/>
                <w:sz w:val="20"/>
              </w:rPr>
            </w:pPr>
            <w:r>
              <w:rPr>
                <w:rFonts w:ascii="Times New Roman" w:hAnsi="Times New Roman"/>
                <w:noProof/>
                <w:color w:val="C00000"/>
                <w:sz w:val="20"/>
              </w:rPr>
              <w:t>1,0</w:t>
            </w:r>
          </w:p>
        </w:tc>
      </w:tr>
      <w:tr w:rsidR="000F2E63">
        <w:trPr>
          <w:trHeight w:val="279"/>
        </w:trPr>
        <w:tc>
          <w:tcPr>
            <w:tcW w:w="1797" w:type="dxa"/>
            <w:vMerge/>
            <w:shd w:val="clear" w:color="auto" w:fill="auto"/>
            <w:hideMark/>
          </w:tcPr>
          <w:p w:rsidR="000F2E63" w:rsidRDefault="000F2E63">
            <w:pPr>
              <w:spacing w:after="0" w:line="240" w:lineRule="auto"/>
              <w:rPr>
                <w:rFonts w:ascii="Times New Roman" w:hAnsi="Times New Roman"/>
                <w:b/>
                <w:bCs/>
                <w:noProof/>
                <w:color w:val="000000"/>
                <w:sz w:val="20"/>
              </w:rPr>
            </w:pPr>
          </w:p>
        </w:tc>
        <w:tc>
          <w:tcPr>
            <w:tcW w:w="1487" w:type="dxa"/>
            <w:shd w:val="clear" w:color="auto" w:fill="auto"/>
            <w:noWrap/>
            <w:hideMark/>
          </w:tcPr>
          <w:p w:rsidR="000F2E63" w:rsidRDefault="0010263F">
            <w:pPr>
              <w:spacing w:after="0" w:line="240" w:lineRule="auto"/>
              <w:jc w:val="center"/>
              <w:rPr>
                <w:rFonts w:ascii="Times New Roman" w:hAnsi="Times New Roman"/>
                <w:i/>
                <w:iCs/>
                <w:noProof/>
                <w:color w:val="000000"/>
                <w:sz w:val="20"/>
              </w:rPr>
            </w:pPr>
            <w:r>
              <w:rPr>
                <w:rFonts w:ascii="Times New Roman" w:hAnsi="Times New Roman"/>
                <w:i/>
                <w:noProof/>
                <w:color w:val="000000"/>
                <w:sz w:val="20"/>
              </w:rPr>
              <w:t>(poniżej)</w:t>
            </w:r>
          </w:p>
        </w:tc>
        <w:tc>
          <w:tcPr>
            <w:tcW w:w="1623" w:type="dxa"/>
            <w:shd w:val="clear" w:color="auto" w:fill="auto"/>
            <w:noWrap/>
            <w:hideMark/>
          </w:tcPr>
          <w:p w:rsidR="000F2E63" w:rsidRDefault="0010263F">
            <w:pPr>
              <w:spacing w:after="0" w:line="240" w:lineRule="auto"/>
              <w:jc w:val="center"/>
              <w:rPr>
                <w:rFonts w:ascii="Times New Roman" w:hAnsi="Times New Roman"/>
                <w:i/>
                <w:iCs/>
                <w:noProof/>
                <w:color w:val="000000"/>
                <w:sz w:val="20"/>
              </w:rPr>
            </w:pPr>
            <w:r>
              <w:rPr>
                <w:rFonts w:ascii="Times New Roman" w:hAnsi="Times New Roman"/>
                <w:i/>
                <w:noProof/>
                <w:color w:val="000000"/>
                <w:sz w:val="20"/>
              </w:rPr>
              <w:t>(poniżej)</w:t>
            </w:r>
          </w:p>
        </w:tc>
        <w:tc>
          <w:tcPr>
            <w:tcW w:w="1487" w:type="dxa"/>
            <w:shd w:val="clear" w:color="auto" w:fill="auto"/>
            <w:noWrap/>
            <w:hideMark/>
          </w:tcPr>
          <w:p w:rsidR="000F2E63" w:rsidRDefault="0010263F">
            <w:pPr>
              <w:spacing w:after="0" w:line="240" w:lineRule="auto"/>
              <w:rPr>
                <w:rFonts w:ascii="Times New Roman" w:hAnsi="Times New Roman"/>
                <w:noProof/>
                <w:color w:val="365F91"/>
                <w:sz w:val="20"/>
              </w:rPr>
            </w:pPr>
            <w:r>
              <w:rPr>
                <w:rFonts w:ascii="Times New Roman" w:hAnsi="Times New Roman"/>
                <w:noProof/>
                <w:color w:val="365F91"/>
                <w:sz w:val="20"/>
              </w:rPr>
              <w:t>(od–do)</w:t>
            </w:r>
          </w:p>
        </w:tc>
        <w:tc>
          <w:tcPr>
            <w:tcW w:w="1487" w:type="dxa"/>
            <w:shd w:val="clear" w:color="auto" w:fill="auto"/>
            <w:noWrap/>
            <w:hideMark/>
          </w:tcPr>
          <w:p w:rsidR="000F2E63" w:rsidRDefault="0010263F">
            <w:pPr>
              <w:spacing w:after="0" w:line="240" w:lineRule="auto"/>
              <w:jc w:val="center"/>
              <w:rPr>
                <w:rFonts w:ascii="Times New Roman" w:hAnsi="Times New Roman"/>
                <w:i/>
                <w:iCs/>
                <w:noProof/>
                <w:color w:val="000000"/>
                <w:sz w:val="20"/>
              </w:rPr>
            </w:pPr>
            <w:r>
              <w:rPr>
                <w:rFonts w:ascii="Times New Roman" w:hAnsi="Times New Roman"/>
                <w:i/>
                <w:noProof/>
                <w:color w:val="000000"/>
                <w:sz w:val="20"/>
              </w:rPr>
              <w:t>(ponad)</w:t>
            </w:r>
          </w:p>
        </w:tc>
        <w:tc>
          <w:tcPr>
            <w:tcW w:w="1489" w:type="dxa"/>
            <w:shd w:val="clear" w:color="auto" w:fill="auto"/>
            <w:noWrap/>
            <w:hideMark/>
          </w:tcPr>
          <w:p w:rsidR="000F2E63" w:rsidRDefault="0010263F">
            <w:pPr>
              <w:spacing w:after="0" w:line="240" w:lineRule="auto"/>
              <w:jc w:val="center"/>
              <w:rPr>
                <w:rFonts w:ascii="Times New Roman" w:hAnsi="Times New Roman"/>
                <w:i/>
                <w:iCs/>
                <w:noProof/>
                <w:color w:val="000000"/>
                <w:sz w:val="20"/>
              </w:rPr>
            </w:pPr>
            <w:r>
              <w:rPr>
                <w:rFonts w:ascii="Times New Roman" w:hAnsi="Times New Roman"/>
                <w:i/>
                <w:noProof/>
                <w:color w:val="000000"/>
                <w:sz w:val="20"/>
              </w:rPr>
              <w:t>(ponad)</w:t>
            </w:r>
          </w:p>
        </w:tc>
      </w:tr>
      <w:tr w:rsidR="000F2E63">
        <w:trPr>
          <w:trHeight w:val="506"/>
        </w:trPr>
        <w:tc>
          <w:tcPr>
            <w:tcW w:w="1797" w:type="dxa"/>
            <w:vMerge/>
            <w:shd w:val="clear" w:color="auto" w:fill="D3DFEE"/>
            <w:hideMark/>
          </w:tcPr>
          <w:p w:rsidR="000F2E63" w:rsidRDefault="000F2E63">
            <w:pPr>
              <w:spacing w:after="0" w:line="240" w:lineRule="auto"/>
              <w:rPr>
                <w:rFonts w:ascii="Times New Roman" w:hAnsi="Times New Roman"/>
                <w:b/>
                <w:bCs/>
                <w:noProof/>
                <w:color w:val="000000"/>
                <w:sz w:val="20"/>
              </w:rPr>
            </w:pPr>
          </w:p>
        </w:tc>
        <w:tc>
          <w:tcPr>
            <w:tcW w:w="7573" w:type="dxa"/>
            <w:gridSpan w:val="5"/>
            <w:tcBorders>
              <w:left w:val="nil"/>
              <w:right w:val="nil"/>
            </w:tcBorders>
            <w:shd w:val="clear" w:color="auto" w:fill="D3DFEE"/>
            <w:hideMark/>
          </w:tcPr>
          <w:p w:rsidR="000F2E63" w:rsidRDefault="0010263F">
            <w:pPr>
              <w:spacing w:after="0" w:line="240" w:lineRule="auto"/>
              <w:jc w:val="center"/>
              <w:rPr>
                <w:rFonts w:ascii="Times New Roman" w:hAnsi="Times New Roman"/>
                <w:b/>
                <w:bCs/>
                <w:noProof/>
                <w:color w:val="000000"/>
                <w:sz w:val="20"/>
              </w:rPr>
            </w:pPr>
            <w:r>
              <w:rPr>
                <w:rFonts w:ascii="Times New Roman" w:hAnsi="Times New Roman"/>
                <w:b/>
                <w:noProof/>
                <w:color w:val="000000"/>
                <w:sz w:val="20"/>
              </w:rPr>
              <w:t>Ocena</w:t>
            </w:r>
          </w:p>
        </w:tc>
      </w:tr>
      <w:tr w:rsidR="000F2E63">
        <w:trPr>
          <w:trHeight w:val="373"/>
        </w:trPr>
        <w:tc>
          <w:tcPr>
            <w:tcW w:w="1797" w:type="dxa"/>
            <w:shd w:val="clear" w:color="auto" w:fill="auto"/>
            <w:hideMark/>
          </w:tcPr>
          <w:p w:rsidR="000F2E63" w:rsidRDefault="0010263F">
            <w:pPr>
              <w:spacing w:after="0" w:line="240" w:lineRule="auto"/>
              <w:jc w:val="center"/>
              <w:rPr>
                <w:rFonts w:ascii="Times New Roman" w:hAnsi="Times New Roman"/>
                <w:b/>
                <w:bCs/>
                <w:noProof/>
                <w:color w:val="000000"/>
                <w:sz w:val="20"/>
              </w:rPr>
            </w:pPr>
            <w:r>
              <w:rPr>
                <w:rFonts w:ascii="Times New Roman" w:hAnsi="Times New Roman"/>
                <w:b/>
                <w:noProof/>
                <w:color w:val="000000"/>
                <w:sz w:val="20"/>
              </w:rPr>
              <w:t>Poziomy roczne</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Bardzo niski</w:t>
            </w:r>
          </w:p>
        </w:tc>
        <w:tc>
          <w:tcPr>
            <w:tcW w:w="1623"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Niski</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Odpowiadający średniej</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Wysoki</w:t>
            </w:r>
          </w:p>
        </w:tc>
        <w:tc>
          <w:tcPr>
            <w:tcW w:w="1489"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Bardzo wysoki</w:t>
            </w:r>
          </w:p>
        </w:tc>
      </w:tr>
      <w:tr w:rsidR="000F2E63">
        <w:trPr>
          <w:trHeight w:val="160"/>
        </w:trPr>
        <w:tc>
          <w:tcPr>
            <w:tcW w:w="1797" w:type="dxa"/>
            <w:shd w:val="clear" w:color="auto" w:fill="D3DFEE"/>
            <w:noWrap/>
            <w:hideMark/>
          </w:tcPr>
          <w:p w:rsidR="000F2E63" w:rsidRDefault="0010263F">
            <w:pPr>
              <w:spacing w:after="0" w:line="240" w:lineRule="auto"/>
              <w:rPr>
                <w:rFonts w:ascii="Times New Roman" w:hAnsi="Times New Roman"/>
                <w:b/>
                <w:bCs/>
                <w:noProof/>
                <w:color w:val="000000"/>
                <w:sz w:val="20"/>
              </w:rPr>
            </w:pPr>
            <w:r>
              <w:rPr>
                <w:rFonts w:ascii="Times New Roman" w:hAnsi="Times New Roman"/>
                <w:b/>
                <w:noProof/>
                <w:color w:val="000000"/>
                <w:sz w:val="20"/>
              </w:rPr>
              <w:t> </w:t>
            </w:r>
          </w:p>
        </w:tc>
        <w:tc>
          <w:tcPr>
            <w:tcW w:w="1487" w:type="dxa"/>
            <w:tcBorders>
              <w:left w:val="nil"/>
              <w:right w:val="nil"/>
            </w:tcBorders>
            <w:shd w:val="clear" w:color="auto" w:fill="D3DFEE"/>
            <w:noWrap/>
            <w:hideMark/>
          </w:tcPr>
          <w:p w:rsidR="000F2E63" w:rsidRDefault="000F2E63">
            <w:pPr>
              <w:spacing w:after="0" w:line="240" w:lineRule="auto"/>
              <w:rPr>
                <w:rFonts w:ascii="Times New Roman" w:hAnsi="Times New Roman"/>
                <w:noProof/>
                <w:color w:val="000000"/>
                <w:sz w:val="20"/>
              </w:rPr>
            </w:pPr>
          </w:p>
        </w:tc>
        <w:tc>
          <w:tcPr>
            <w:tcW w:w="1623" w:type="dxa"/>
            <w:shd w:val="clear" w:color="auto" w:fill="D3DFEE"/>
            <w:noWrap/>
            <w:hideMark/>
          </w:tcPr>
          <w:p w:rsidR="000F2E63" w:rsidRDefault="000F2E63">
            <w:pPr>
              <w:spacing w:after="0" w:line="240" w:lineRule="auto"/>
              <w:rPr>
                <w:rFonts w:ascii="Times New Roman" w:hAnsi="Times New Roman"/>
                <w:noProof/>
                <w:color w:val="000000"/>
                <w:sz w:val="20"/>
              </w:rPr>
            </w:pPr>
          </w:p>
        </w:tc>
        <w:tc>
          <w:tcPr>
            <w:tcW w:w="1487" w:type="dxa"/>
            <w:tcBorders>
              <w:left w:val="nil"/>
              <w:right w:val="nil"/>
            </w:tcBorders>
            <w:shd w:val="clear" w:color="auto" w:fill="D3DFEE"/>
            <w:noWrap/>
            <w:hideMark/>
          </w:tcPr>
          <w:p w:rsidR="000F2E63" w:rsidRDefault="000F2E63">
            <w:pPr>
              <w:spacing w:after="0" w:line="240" w:lineRule="auto"/>
              <w:rPr>
                <w:rFonts w:ascii="Times New Roman" w:hAnsi="Times New Roman"/>
                <w:noProof/>
                <w:color w:val="000000"/>
                <w:sz w:val="20"/>
              </w:rPr>
            </w:pPr>
          </w:p>
        </w:tc>
        <w:tc>
          <w:tcPr>
            <w:tcW w:w="1487" w:type="dxa"/>
            <w:shd w:val="clear" w:color="auto" w:fill="D3DFEE"/>
            <w:noWrap/>
            <w:hideMark/>
          </w:tcPr>
          <w:p w:rsidR="000F2E63" w:rsidRDefault="000F2E63">
            <w:pPr>
              <w:spacing w:after="0" w:line="240" w:lineRule="auto"/>
              <w:rPr>
                <w:rFonts w:ascii="Times New Roman" w:hAnsi="Times New Roman"/>
                <w:noProof/>
                <w:color w:val="000000"/>
                <w:sz w:val="20"/>
              </w:rPr>
            </w:pPr>
          </w:p>
        </w:tc>
        <w:tc>
          <w:tcPr>
            <w:tcW w:w="1489" w:type="dxa"/>
            <w:tcBorders>
              <w:left w:val="nil"/>
              <w:right w:val="nil"/>
            </w:tcBorders>
            <w:shd w:val="clear" w:color="auto" w:fill="D3DFEE"/>
            <w:noWrap/>
            <w:hideMark/>
          </w:tcPr>
          <w:p w:rsidR="000F2E63" w:rsidRDefault="0010263F">
            <w:pPr>
              <w:spacing w:after="0" w:line="240" w:lineRule="auto"/>
              <w:rPr>
                <w:rFonts w:ascii="Times New Roman" w:hAnsi="Times New Roman"/>
                <w:noProof/>
                <w:color w:val="000000"/>
                <w:sz w:val="20"/>
              </w:rPr>
            </w:pPr>
            <w:r>
              <w:rPr>
                <w:rFonts w:ascii="Times New Roman" w:hAnsi="Times New Roman"/>
                <w:noProof/>
                <w:color w:val="000000"/>
                <w:sz w:val="20"/>
              </w:rPr>
              <w:t> </w:t>
            </w:r>
          </w:p>
        </w:tc>
      </w:tr>
      <w:tr w:rsidR="000F2E63">
        <w:trPr>
          <w:trHeight w:val="621"/>
        </w:trPr>
        <w:tc>
          <w:tcPr>
            <w:tcW w:w="1797" w:type="dxa"/>
            <w:shd w:val="clear" w:color="auto" w:fill="auto"/>
            <w:hideMark/>
          </w:tcPr>
          <w:p w:rsidR="000F2E63" w:rsidRDefault="0010263F">
            <w:pPr>
              <w:spacing w:after="0" w:line="240" w:lineRule="auto"/>
              <w:jc w:val="center"/>
              <w:rPr>
                <w:rFonts w:ascii="Times New Roman" w:hAnsi="Times New Roman"/>
                <w:b/>
                <w:bCs/>
                <w:noProof/>
                <w:color w:val="000000"/>
                <w:sz w:val="20"/>
              </w:rPr>
            </w:pPr>
            <w:r>
              <w:rPr>
                <w:rFonts w:ascii="Times New Roman" w:hAnsi="Times New Roman"/>
                <w:b/>
                <w:noProof/>
                <w:color w:val="000000"/>
                <w:sz w:val="20"/>
              </w:rPr>
              <w:t>Zmiany</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Znacznie poniżej średniej</w:t>
            </w:r>
          </w:p>
        </w:tc>
        <w:tc>
          <w:tcPr>
            <w:tcW w:w="1623"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Poniżej średniej</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Odpowiadające średniej</w:t>
            </w:r>
          </w:p>
        </w:tc>
        <w:tc>
          <w:tcPr>
            <w:tcW w:w="1487"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Powyżej średniej</w:t>
            </w:r>
          </w:p>
        </w:tc>
        <w:tc>
          <w:tcPr>
            <w:tcW w:w="1489" w:type="dxa"/>
            <w:shd w:val="clear" w:color="auto" w:fill="auto"/>
            <w:hideMark/>
          </w:tcPr>
          <w:p w:rsidR="000F2E63" w:rsidRDefault="0010263F">
            <w:pPr>
              <w:spacing w:after="0" w:line="240" w:lineRule="auto"/>
              <w:jc w:val="center"/>
              <w:rPr>
                <w:rFonts w:ascii="Times New Roman" w:hAnsi="Times New Roman"/>
                <w:noProof/>
                <w:color w:val="002060"/>
                <w:sz w:val="20"/>
              </w:rPr>
            </w:pPr>
            <w:r>
              <w:rPr>
                <w:rFonts w:ascii="Times New Roman" w:hAnsi="Times New Roman"/>
                <w:noProof/>
                <w:color w:val="002060"/>
                <w:sz w:val="20"/>
              </w:rPr>
              <w:t>Znacznie powyżej średniej</w:t>
            </w:r>
          </w:p>
        </w:tc>
      </w:tr>
    </w:tbl>
    <w:p w:rsidR="000F2E63" w:rsidRDefault="000F2E63">
      <w:pPr>
        <w:jc w:val="both"/>
        <w:rPr>
          <w:rFonts w:ascii="Times New Roman" w:hAnsi="Times New Roman"/>
          <w:noProof/>
          <w:sz w:val="20"/>
        </w:rPr>
      </w:pPr>
    </w:p>
    <w:p w:rsidR="000F2E63" w:rsidRDefault="0010263F">
      <w:pPr>
        <w:rPr>
          <w:rFonts w:ascii="Times New Roman" w:hAnsi="Times New Roman"/>
          <w:bCs/>
          <w:noProof/>
          <w:sz w:val="20"/>
        </w:rPr>
      </w:pPr>
      <w:r>
        <w:rPr>
          <w:rFonts w:ascii="Times New Roman" w:hAnsi="Times New Roman"/>
          <w:noProof/>
        </w:rPr>
        <w:br w:type="page"/>
      </w:r>
    </w:p>
    <w:p w:rsidR="000F2E63" w:rsidRDefault="0010263F">
      <w:pPr>
        <w:jc w:val="both"/>
        <w:rPr>
          <w:rFonts w:ascii="Times New Roman" w:hAnsi="Times New Roman"/>
          <w:noProof/>
          <w:sz w:val="20"/>
          <w:szCs w:val="20"/>
        </w:rPr>
      </w:pPr>
      <w:r>
        <w:rPr>
          <w:rFonts w:ascii="Times New Roman" w:hAnsi="Times New Roman"/>
          <w:noProof/>
          <w:sz w:val="20"/>
        </w:rPr>
        <w:t>Łącząc oceny poziomów rocznych i zmian, można zaszeregować ogólną sytuację w danym państwie w odniesieniu do każdego wskaźnika do jednej z siedmiu następujących kategorii. Poniższe kolory znajdują odzwierciedlenie na wykresach 3, 4, 5, 17 i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5640"/>
        <w:gridCol w:w="5640"/>
      </w:tblGrid>
      <w:tr w:rsidR="000F2E63">
        <w:tc>
          <w:tcPr>
            <w:tcW w:w="2508"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Najlepsze wyniki</w:t>
            </w:r>
          </w:p>
        </w:tc>
        <w:tc>
          <w:tcPr>
            <w:tcW w:w="5640"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poziomów rocznych poniżej -1,0 i wyniki zmian poniżej 1,0</w:t>
            </w:r>
          </w:p>
        </w:tc>
        <w:tc>
          <w:tcPr>
            <w:tcW w:w="5640"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Państwa członkowskie, których poziomy roczne są znacznie lepsze od średniej UE i których sytuacja poprawia się lub nie pogarsza znacznie szybciej od średniej UE</w:t>
            </w:r>
          </w:p>
        </w:tc>
      </w:tr>
      <w:tr w:rsidR="000F2E63">
        <w:tc>
          <w:tcPr>
            <w:tcW w:w="2508"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 xml:space="preserve">Wyniki </w:t>
            </w:r>
            <w:r>
              <w:rPr>
                <w:rFonts w:ascii="Times New Roman" w:hAnsi="Times New Roman"/>
                <w:b/>
                <w:noProof/>
                <w:sz w:val="20"/>
              </w:rPr>
              <w:t>lepsze od średniej</w:t>
            </w:r>
          </w:p>
        </w:tc>
        <w:tc>
          <w:tcPr>
            <w:tcW w:w="5640"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wyniki poziomów rocznych od -1,0 do -0,5 i wyniki zmian poniżej 1 </w:t>
            </w:r>
            <w:r>
              <w:rPr>
                <w:rFonts w:ascii="Times New Roman" w:hAnsi="Times New Roman"/>
                <w:noProof/>
                <w:sz w:val="20"/>
                <w:u w:val="single"/>
              </w:rPr>
              <w:t>lub</w:t>
            </w:r>
            <w:r>
              <w:rPr>
                <w:rFonts w:ascii="Times New Roman" w:hAnsi="Times New Roman"/>
                <w:noProof/>
                <w:sz w:val="20"/>
              </w:rPr>
              <w:t xml:space="preserve"> wyniki poziomów rocznych od -0,5 do 0,5 i wyniki zmian poniżej -1,0</w:t>
            </w:r>
          </w:p>
        </w:tc>
        <w:tc>
          <w:tcPr>
            <w:tcW w:w="5640"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Państwa członkowskie, których poziomy roczne są lepsze od średniej UE i których sytuacja poprawia s</w:t>
            </w:r>
            <w:r>
              <w:rPr>
                <w:rFonts w:ascii="Times New Roman" w:hAnsi="Times New Roman"/>
                <w:noProof/>
                <w:sz w:val="20"/>
              </w:rPr>
              <w:t>ię lub nie pogarsza znacznie szybciej od średniej UE</w:t>
            </w:r>
          </w:p>
        </w:tc>
      </w:tr>
      <w:tr w:rsidR="000F2E63">
        <w:tc>
          <w:tcPr>
            <w:tcW w:w="2508"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Wyniki odpowiadające średniej / neutralne</w:t>
            </w:r>
          </w:p>
        </w:tc>
        <w:tc>
          <w:tcPr>
            <w:tcW w:w="5640"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poziomów rocznych od -0,5 do 0,5 i wyniki zmian od -1,0 do 1,0</w:t>
            </w:r>
          </w:p>
        </w:tc>
        <w:tc>
          <w:tcPr>
            <w:tcW w:w="5640"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Państwa członkowskie, których poziomy roczne odpowiadają średniej i których sytuacja nie p</w:t>
            </w:r>
            <w:r>
              <w:rPr>
                <w:rFonts w:ascii="Times New Roman" w:hAnsi="Times New Roman"/>
                <w:noProof/>
                <w:sz w:val="20"/>
              </w:rPr>
              <w:t>oprawia się ani nie pogarsza znacznie szybciej od średniej UE</w:t>
            </w:r>
          </w:p>
        </w:tc>
      </w:tr>
      <w:tr w:rsidR="000F2E63">
        <w:tc>
          <w:tcPr>
            <w:tcW w:w="2508" w:type="dxa"/>
            <w:shd w:val="clear" w:color="auto" w:fill="4F81BD"/>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Wyniki dobre, lecz pogarszające się</w:t>
            </w:r>
          </w:p>
        </w:tc>
        <w:tc>
          <w:tcPr>
            <w:tcW w:w="5640" w:type="dxa"/>
            <w:shd w:val="clear" w:color="auto" w:fill="4F81BD"/>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poziomów rocznych poniżej -0,5 i wyniki zmian powyżej 1,</w:t>
            </w:r>
            <w:r>
              <w:rPr>
                <w:rFonts w:ascii="Times New Roman" w:hAnsi="Times New Roman"/>
                <w:noProof/>
              </w:rPr>
              <w:t xml:space="preserve"> </w:t>
            </w:r>
            <w:r>
              <w:rPr>
                <w:rFonts w:ascii="Times New Roman" w:hAnsi="Times New Roman"/>
                <w:i/>
                <w:noProof/>
                <w:sz w:val="20"/>
              </w:rPr>
              <w:t xml:space="preserve">przy czym </w:t>
            </w:r>
            <w:r>
              <w:rPr>
                <w:rFonts w:ascii="Times New Roman" w:hAnsi="Times New Roman"/>
                <w:noProof/>
                <w:sz w:val="20"/>
              </w:rPr>
              <w:t>zmiana jest większa niż zero</w:t>
            </w:r>
            <w:r>
              <w:rPr>
                <w:rStyle w:val="Odwoanieprzypisudolnego"/>
                <w:rFonts w:ascii="Times New Roman" w:hAnsi="Times New Roman"/>
                <w:noProof/>
                <w:sz w:val="20"/>
              </w:rPr>
              <w:footnoteReference w:id="41"/>
            </w:r>
          </w:p>
        </w:tc>
        <w:tc>
          <w:tcPr>
            <w:tcW w:w="5640" w:type="dxa"/>
            <w:shd w:val="clear" w:color="auto" w:fill="4F81BD"/>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których poziomy roczne są </w:t>
            </w:r>
            <w:r>
              <w:rPr>
                <w:rFonts w:ascii="Times New Roman" w:hAnsi="Times New Roman"/>
                <w:noProof/>
                <w:sz w:val="20"/>
              </w:rPr>
              <w:t>lepsze lub znacznie lepsze od średniej UE, lecz których sytuacja pogarsza się znacznie szybciej od średniej UE</w:t>
            </w:r>
          </w:p>
        </w:tc>
      </w:tr>
      <w:tr w:rsidR="000F2E63">
        <w:tc>
          <w:tcPr>
            <w:tcW w:w="2508" w:type="dxa"/>
            <w:shd w:val="clear" w:color="auto" w:fill="FFFF0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Wyniki słabe, lecz poprawiające się</w:t>
            </w:r>
          </w:p>
        </w:tc>
        <w:tc>
          <w:tcPr>
            <w:tcW w:w="5640" w:type="dxa"/>
            <w:shd w:val="clear" w:color="auto" w:fill="FFFF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poziomów rocznych powyżej 0,5 i wyniki zmian poniżej -1,0</w:t>
            </w:r>
          </w:p>
        </w:tc>
        <w:tc>
          <w:tcPr>
            <w:tcW w:w="5640" w:type="dxa"/>
            <w:shd w:val="clear" w:color="auto" w:fill="FFFF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Państwa członkowskie, których poziomy roczn</w:t>
            </w:r>
            <w:r>
              <w:rPr>
                <w:rFonts w:ascii="Times New Roman" w:hAnsi="Times New Roman"/>
                <w:noProof/>
                <w:sz w:val="20"/>
              </w:rPr>
              <w:t>e są gorsze lub znacznie gorsze od średniej UE, lecz których sytuacja poprawia się znacznie szybciej od średniej UE</w:t>
            </w:r>
          </w:p>
        </w:tc>
      </w:tr>
      <w:tr w:rsidR="000F2E63">
        <w:tc>
          <w:tcPr>
            <w:tcW w:w="2508"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Państwa wymagające obserwacji</w:t>
            </w:r>
          </w:p>
        </w:tc>
        <w:tc>
          <w:tcPr>
            <w:tcW w:w="5640"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wyniki poziomów rocznych od 0,5 do 1,0 i wyniki zmian powyżej -1,0 </w:t>
            </w:r>
            <w:r>
              <w:rPr>
                <w:rFonts w:ascii="Times New Roman" w:hAnsi="Times New Roman"/>
                <w:noProof/>
                <w:sz w:val="20"/>
                <w:u w:val="single"/>
              </w:rPr>
              <w:t>lub</w:t>
            </w:r>
            <w:r>
              <w:rPr>
                <w:rFonts w:ascii="Times New Roman" w:hAnsi="Times New Roman"/>
                <w:noProof/>
                <w:sz w:val="20"/>
              </w:rPr>
              <w:t xml:space="preserve"> wyniki poziomów rocznych od -0,5 do 0,5 i wyniki zmian powyżej 1,0</w:t>
            </w:r>
          </w:p>
        </w:tc>
        <w:tc>
          <w:tcPr>
            <w:tcW w:w="5640"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Do tej kategorii należą dwie grupy państw: i) państwa członkowskie, których poziomy roczne są gorsze od średniej UE i których sytuacja pogarsza się lub nie poprawia wystarczająco szybko; i</w:t>
            </w:r>
            <w:r>
              <w:rPr>
                <w:rFonts w:ascii="Times New Roman" w:hAnsi="Times New Roman"/>
                <w:noProof/>
                <w:sz w:val="20"/>
              </w:rPr>
              <w:t>i) państwa członkowskie, których poziomy roczne odpowiadają średniej UE, lecz których sytuacja pogarsza się znacznie szybciej od średniej UE.</w:t>
            </w:r>
          </w:p>
        </w:tc>
      </w:tr>
      <w:tr w:rsidR="000F2E63">
        <w:tc>
          <w:tcPr>
            <w:tcW w:w="2508"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Sytuacja krytyczna</w:t>
            </w:r>
          </w:p>
        </w:tc>
        <w:tc>
          <w:tcPr>
            <w:tcW w:w="5640"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poziomów rocznych powyżej 1,0 i wyniki zmian powyżej -1,0</w:t>
            </w:r>
          </w:p>
        </w:tc>
        <w:tc>
          <w:tcPr>
            <w:tcW w:w="5640"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Państwa członkowskie, których</w:t>
            </w:r>
            <w:r>
              <w:rPr>
                <w:rFonts w:ascii="Times New Roman" w:hAnsi="Times New Roman"/>
                <w:noProof/>
                <w:sz w:val="20"/>
              </w:rPr>
              <w:t xml:space="preserve"> poziomy roczne są znacznie gorsze od średniej UE i których sytuacja pogarsza się lub nie poprawia wystarczająco szybko</w:t>
            </w:r>
          </w:p>
        </w:tc>
      </w:tr>
    </w:tbl>
    <w:p w:rsidR="000F2E63" w:rsidRDefault="000F2E63">
      <w:pPr>
        <w:jc w:val="both"/>
        <w:rPr>
          <w:rFonts w:ascii="Times New Roman" w:hAnsi="Times New Roman"/>
          <w:noProof/>
          <w:sz w:val="20"/>
          <w:szCs w:val="20"/>
        </w:rPr>
      </w:pPr>
    </w:p>
    <w:p w:rsidR="000F2E63" w:rsidRDefault="0010263F">
      <w:pPr>
        <w:jc w:val="both"/>
        <w:rPr>
          <w:rFonts w:ascii="Times New Roman" w:hAnsi="Times New Roman"/>
          <w:noProof/>
          <w:sz w:val="20"/>
        </w:rPr>
      </w:pPr>
      <w:r>
        <w:rPr>
          <w:rFonts w:ascii="Times New Roman" w:hAnsi="Times New Roman"/>
          <w:noProof/>
          <w:sz w:val="20"/>
        </w:rPr>
        <w:t xml:space="preserve">   Jeśli chodzi o dochód brutto do dyspozycji gospodarstwa domowego, który przedstawiono wyłącznie pod kątem zmian, zastosowano następującą klasyfikację (zob. wykres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5640"/>
        <w:gridCol w:w="5640"/>
      </w:tblGrid>
      <w:tr w:rsidR="000F2E63">
        <w:tc>
          <w:tcPr>
            <w:tcW w:w="2508"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Najlepsze wyniki</w:t>
            </w:r>
            <w:r>
              <w:rPr>
                <w:rFonts w:ascii="Times New Roman" w:hAnsi="Times New Roman"/>
                <w:noProof/>
                <w:sz w:val="20"/>
              </w:rPr>
              <w:t xml:space="preserve">  </w:t>
            </w:r>
          </w:p>
        </w:tc>
        <w:tc>
          <w:tcPr>
            <w:tcW w:w="5640"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zmian powyżej 1,0</w:t>
            </w:r>
          </w:p>
        </w:tc>
        <w:tc>
          <w:tcPr>
            <w:tcW w:w="5640" w:type="dxa"/>
            <w:shd w:val="clear" w:color="auto" w:fill="00B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w których zmiany są znacznie powyżej </w:t>
            </w:r>
            <w:r>
              <w:rPr>
                <w:rFonts w:ascii="Times New Roman" w:hAnsi="Times New Roman"/>
                <w:noProof/>
                <w:sz w:val="20"/>
              </w:rPr>
              <w:lastRenderedPageBreak/>
              <w:t xml:space="preserve">średniej UE </w:t>
            </w:r>
          </w:p>
        </w:tc>
      </w:tr>
      <w:tr w:rsidR="000F2E63">
        <w:tc>
          <w:tcPr>
            <w:tcW w:w="2508"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lastRenderedPageBreak/>
              <w:t>Wyniki powyżej średniej</w:t>
            </w:r>
          </w:p>
        </w:tc>
        <w:tc>
          <w:tcPr>
            <w:tcW w:w="5640"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zmian od 1,0 do 0,5</w:t>
            </w:r>
          </w:p>
        </w:tc>
        <w:tc>
          <w:tcPr>
            <w:tcW w:w="5640" w:type="dxa"/>
            <w:shd w:val="clear" w:color="auto" w:fill="92D05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w których zmiany są powyżej średniej UE </w:t>
            </w:r>
          </w:p>
        </w:tc>
      </w:tr>
      <w:tr w:rsidR="000F2E63">
        <w:tc>
          <w:tcPr>
            <w:tcW w:w="2508"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Wyniki odpowiadające średniej / neutralne</w:t>
            </w:r>
          </w:p>
        </w:tc>
        <w:tc>
          <w:tcPr>
            <w:tcW w:w="5640"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wyniki zmian od -0,5 do 0,5 </w:t>
            </w:r>
          </w:p>
        </w:tc>
        <w:tc>
          <w:tcPr>
            <w:tcW w:w="5640" w:type="dxa"/>
            <w:shd w:val="clear" w:color="auto" w:fill="auto"/>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w których zmiany odpowiadają średniej </w:t>
            </w:r>
          </w:p>
        </w:tc>
      </w:tr>
      <w:tr w:rsidR="000F2E63">
        <w:tc>
          <w:tcPr>
            <w:tcW w:w="2508"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Państwa wymagające obserwacji</w:t>
            </w:r>
          </w:p>
        </w:tc>
        <w:tc>
          <w:tcPr>
            <w:tcW w:w="5640"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wyniki zmian od -0,5 do -1,0</w:t>
            </w:r>
          </w:p>
        </w:tc>
        <w:tc>
          <w:tcPr>
            <w:tcW w:w="5640" w:type="dxa"/>
            <w:shd w:val="clear" w:color="auto" w:fill="FFC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w których zmiany są poniżej średniej UE </w:t>
            </w:r>
          </w:p>
        </w:tc>
      </w:tr>
      <w:tr w:rsidR="000F2E63">
        <w:tc>
          <w:tcPr>
            <w:tcW w:w="2508"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b/>
                <w:noProof/>
                <w:sz w:val="20"/>
              </w:rPr>
              <w:t>Sytuacja krytyczna</w:t>
            </w:r>
          </w:p>
        </w:tc>
        <w:tc>
          <w:tcPr>
            <w:tcW w:w="5640"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wyniki zmian poniżej </w:t>
            </w:r>
            <w:r>
              <w:rPr>
                <w:rFonts w:ascii="Times New Roman" w:hAnsi="Times New Roman"/>
                <w:noProof/>
                <w:sz w:val="20"/>
              </w:rPr>
              <w:t>-1,0</w:t>
            </w:r>
          </w:p>
        </w:tc>
        <w:tc>
          <w:tcPr>
            <w:tcW w:w="5640" w:type="dxa"/>
            <w:shd w:val="clear" w:color="auto" w:fill="FF0000"/>
          </w:tcPr>
          <w:p w:rsidR="000F2E63" w:rsidRDefault="0010263F">
            <w:pPr>
              <w:spacing w:after="0" w:line="240" w:lineRule="auto"/>
              <w:jc w:val="both"/>
              <w:rPr>
                <w:rFonts w:ascii="Times New Roman" w:hAnsi="Times New Roman"/>
                <w:noProof/>
                <w:sz w:val="20"/>
                <w:szCs w:val="20"/>
              </w:rPr>
            </w:pPr>
            <w:r>
              <w:rPr>
                <w:rFonts w:ascii="Times New Roman" w:hAnsi="Times New Roman"/>
                <w:noProof/>
                <w:sz w:val="20"/>
              </w:rPr>
              <w:t xml:space="preserve">Państwa członkowskie, w których zmiany są znacznie poniżej średniej UE </w:t>
            </w:r>
          </w:p>
        </w:tc>
      </w:tr>
    </w:tbl>
    <w:p w:rsidR="000F2E63" w:rsidRDefault="000F2E63">
      <w:pPr>
        <w:jc w:val="both"/>
        <w:rPr>
          <w:rFonts w:ascii="Times New Roman" w:hAnsi="Times New Roman"/>
          <w:b/>
          <w:noProof/>
          <w:sz w:val="20"/>
        </w:rPr>
      </w:pPr>
    </w:p>
    <w:p w:rsidR="000F2E63" w:rsidRDefault="0010263F">
      <w:pPr>
        <w:jc w:val="both"/>
        <w:rPr>
          <w:rFonts w:ascii="Times New Roman" w:hAnsi="Times New Roman"/>
          <w:b/>
          <w:noProof/>
          <w:sz w:val="20"/>
        </w:rPr>
      </w:pPr>
      <w:r>
        <w:rPr>
          <w:rFonts w:ascii="Times New Roman" w:hAnsi="Times New Roman"/>
          <w:b/>
          <w:noProof/>
          <w:sz w:val="20"/>
        </w:rPr>
        <w:t>Obliczanie przedziałów ufności dla wskaźników społecznych i ich zastosowanie w omawianej metodzie</w:t>
      </w:r>
    </w:p>
    <w:p w:rsidR="000F2E63" w:rsidRDefault="0010263F">
      <w:pPr>
        <w:jc w:val="both"/>
        <w:rPr>
          <w:rFonts w:ascii="Times New Roman" w:hAnsi="Times New Roman"/>
          <w:noProof/>
          <w:sz w:val="20"/>
        </w:rPr>
      </w:pPr>
      <w:r>
        <w:rPr>
          <w:rFonts w:ascii="Times New Roman" w:hAnsi="Times New Roman"/>
          <w:noProof/>
          <w:sz w:val="20"/>
        </w:rPr>
        <w:t>EU-SILC jest badaniem reprezentacyjnym, co oznacza, że badania ankietowe przeprowadza się jedynie z niewielką częścią populacji (próbą). Stosując teorię statystyczną do wyników uzyskanych z danej próby, można oszacować pewne cechy całej populacji z pewnym,</w:t>
      </w:r>
      <w:r>
        <w:rPr>
          <w:rFonts w:ascii="Times New Roman" w:hAnsi="Times New Roman"/>
          <w:noProof/>
          <w:sz w:val="20"/>
        </w:rPr>
        <w:t xml:space="preserve"> możliwym do obliczenia, marginesem błędu. Oznacza to, że analizując wskaźniki, należy również uwzględnić powiązane pomiary dokładności; analogicznie, analizując nominalną zmianę wartości wskaźnika z roku na rok, należy także wziąć pod uwagę pomiary dokład</w:t>
      </w:r>
      <w:r>
        <w:rPr>
          <w:rFonts w:ascii="Times New Roman" w:hAnsi="Times New Roman"/>
          <w:noProof/>
          <w:sz w:val="20"/>
        </w:rPr>
        <w:t xml:space="preserve">ności, gdyż może się okazać, że ze względu na nieunikniony margines błędu statystycznego wskaźnik nie uległ w rzeczywistości zmianie. </w:t>
      </w:r>
    </w:p>
    <w:p w:rsidR="000F2E63" w:rsidRDefault="0010263F">
      <w:pPr>
        <w:jc w:val="both"/>
        <w:rPr>
          <w:rFonts w:ascii="Times New Roman" w:hAnsi="Times New Roman"/>
          <w:noProof/>
          <w:sz w:val="20"/>
        </w:rPr>
      </w:pPr>
      <w:r>
        <w:rPr>
          <w:rFonts w:ascii="Times New Roman" w:hAnsi="Times New Roman"/>
          <w:noProof/>
          <w:sz w:val="20"/>
        </w:rPr>
        <w:t xml:space="preserve">EU-SILC jest złożonym badaniem obejmującym różne schematy doboru próby, w zależności od państwa. Z tego względu nie jest </w:t>
      </w:r>
      <w:r>
        <w:rPr>
          <w:rFonts w:ascii="Times New Roman" w:hAnsi="Times New Roman"/>
          <w:noProof/>
          <w:sz w:val="20"/>
        </w:rPr>
        <w:t>możliwe bezpośrednie zastosowanie „książkowych”, standardowych metod pomiaru dokładności. Eurostat postanowił, przy znaczącej pomocy metodycznej sieci ekspertów Net-SILC2, zastosować podejście polegające na linearyzacji połączone z metodą „zespołu krańcowe</w:t>
      </w:r>
      <w:r>
        <w:rPr>
          <w:rFonts w:ascii="Times New Roman" w:hAnsi="Times New Roman"/>
          <w:noProof/>
          <w:sz w:val="20"/>
        </w:rPr>
        <w:t xml:space="preserve">go” do celów oszacowania wariancji. Za pomocą uzyskanych danych szacunkowych można następnie stwierdzić, czy zmiany z roku na rok lub różnice poziomu rocznego w stosunku do średniej UE są statystycznie istotne. </w:t>
      </w:r>
    </w:p>
    <w:p w:rsidR="000F2E63" w:rsidRDefault="0010263F">
      <w:pPr>
        <w:jc w:val="both"/>
        <w:rPr>
          <w:rFonts w:ascii="Times New Roman" w:hAnsi="Times New Roman"/>
          <w:b/>
          <w:noProof/>
          <w:sz w:val="20"/>
        </w:rPr>
      </w:pPr>
      <w:r>
        <w:rPr>
          <w:rFonts w:ascii="Times New Roman" w:hAnsi="Times New Roman"/>
          <w:b/>
          <w:i/>
          <w:noProof/>
          <w:sz w:val="20"/>
        </w:rPr>
        <w:t>Tabela podsumowująca punkty odcięcia</w:t>
      </w:r>
    </w:p>
    <w:tbl>
      <w:tblPr>
        <w:tblW w:w="12238" w:type="dxa"/>
        <w:tblCellMar>
          <w:left w:w="0" w:type="dxa"/>
          <w:right w:w="0" w:type="dxa"/>
        </w:tblCellMar>
        <w:tblLook w:val="04A0" w:firstRow="1" w:lastRow="0" w:firstColumn="1" w:lastColumn="0" w:noHBand="0" w:noVBand="1"/>
      </w:tblPr>
      <w:tblGrid>
        <w:gridCol w:w="1428"/>
        <w:gridCol w:w="975"/>
        <w:gridCol w:w="1548"/>
        <w:gridCol w:w="1917"/>
        <w:gridCol w:w="2890"/>
        <w:gridCol w:w="1680"/>
        <w:gridCol w:w="1800"/>
      </w:tblGrid>
      <w:tr w:rsidR="000F2E63">
        <w:trPr>
          <w:trHeight w:val="530"/>
        </w:trPr>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0F2E63">
            <w:pPr>
              <w:spacing w:after="0"/>
              <w:rPr>
                <w:rFonts w:ascii="Times New Roman" w:hAnsi="Times New Roman"/>
                <w:noProof/>
                <w:sz w:val="20"/>
              </w:rPr>
            </w:pP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2E63" w:rsidRDefault="000F2E63">
            <w:pPr>
              <w:spacing w:after="0"/>
              <w:rPr>
                <w:rFonts w:ascii="Times New Roman" w:hAnsi="Times New Roman"/>
                <w:noProof/>
                <w:sz w:val="20"/>
              </w:rPr>
            </w:pPr>
          </w:p>
        </w:tc>
        <w:tc>
          <w:tcPr>
            <w:tcW w:w="1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Bardz</w:t>
            </w:r>
            <w:r>
              <w:rPr>
                <w:rFonts w:ascii="Times New Roman" w:hAnsi="Times New Roman"/>
                <w:noProof/>
                <w:sz w:val="20"/>
              </w:rPr>
              <w:t>o niskie</w:t>
            </w:r>
          </w:p>
        </w:tc>
        <w:tc>
          <w:tcPr>
            <w:tcW w:w="1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Niskie</w:t>
            </w:r>
          </w:p>
        </w:tc>
        <w:tc>
          <w:tcPr>
            <w:tcW w:w="2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Odpowiadające średniej</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Wysokie</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Bardzo wysokie</w:t>
            </w:r>
          </w:p>
        </w:tc>
      </w:tr>
      <w:tr w:rsidR="000F2E63">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2E63" w:rsidRDefault="0010263F">
            <w:pPr>
              <w:spacing w:after="0"/>
              <w:rPr>
                <w:rFonts w:ascii="Times New Roman" w:hAnsi="Times New Roman"/>
                <w:b/>
                <w:bCs/>
                <w:noProof/>
                <w:sz w:val="20"/>
              </w:rPr>
            </w:pPr>
            <w:r>
              <w:rPr>
                <w:rFonts w:ascii="Times New Roman" w:hAnsi="Times New Roman"/>
                <w:b/>
                <w:noProof/>
                <w:sz w:val="20"/>
              </w:rPr>
              <w:t>Stopa bezrobocia</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Poziomy roczne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4,9 %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7,4 %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7,4 % do 12,4 %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12,4 %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14,9 %</w:t>
            </w:r>
          </w:p>
        </w:tc>
      </w:tr>
      <w:tr w:rsidR="000F2E63">
        <w:trPr>
          <w:trHeight w:val="298"/>
        </w:trPr>
        <w:tc>
          <w:tcPr>
            <w:tcW w:w="1428" w:type="dxa"/>
            <w:vMerge/>
            <w:tcBorders>
              <w:top w:val="nil"/>
              <w:left w:val="single" w:sz="8" w:space="0" w:color="auto"/>
              <w:bottom w:val="single" w:sz="8" w:space="0" w:color="auto"/>
              <w:right w:val="single" w:sz="8" w:space="0" w:color="auto"/>
            </w:tcBorders>
            <w:vAlign w:val="center"/>
            <w:hideMark/>
          </w:tcPr>
          <w:p w:rsidR="000F2E63" w:rsidRDefault="000F2E63">
            <w:pPr>
              <w:spacing w:after="0"/>
              <w:rPr>
                <w:rFonts w:ascii="Times New Roman" w:hAnsi="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-1,6 p.p.</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-1,2 p.p.</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-1,2 p.p. do -0,4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-0,4 p.p.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0,0 p.p.</w:t>
            </w:r>
          </w:p>
        </w:tc>
      </w:tr>
      <w:tr w:rsidR="000F2E63">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2E63" w:rsidRDefault="0010263F">
            <w:pPr>
              <w:spacing w:after="0"/>
              <w:rPr>
                <w:rFonts w:ascii="Times New Roman" w:hAnsi="Times New Roman"/>
                <w:b/>
                <w:bCs/>
                <w:noProof/>
                <w:sz w:val="20"/>
              </w:rPr>
            </w:pPr>
            <w:r>
              <w:rPr>
                <w:rFonts w:ascii="Times New Roman" w:hAnsi="Times New Roman"/>
                <w:b/>
                <w:noProof/>
                <w:sz w:val="20"/>
              </w:rPr>
              <w:t>Stopa bezrobocia młodzieży</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Poziomy roczne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11,0 %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16,8 %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16,8 % do 28,5 %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28,5 %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34,3 %</w:t>
            </w:r>
          </w:p>
        </w:tc>
      </w:tr>
      <w:tr w:rsidR="000F2E63">
        <w:trPr>
          <w:trHeight w:val="298"/>
        </w:trPr>
        <w:tc>
          <w:tcPr>
            <w:tcW w:w="1428" w:type="dxa"/>
            <w:vMerge/>
            <w:tcBorders>
              <w:top w:val="nil"/>
              <w:left w:val="single" w:sz="8" w:space="0" w:color="auto"/>
              <w:bottom w:val="single" w:sz="8" w:space="0" w:color="auto"/>
              <w:right w:val="single" w:sz="8" w:space="0" w:color="auto"/>
            </w:tcBorders>
            <w:vAlign w:val="center"/>
            <w:hideMark/>
          </w:tcPr>
          <w:p w:rsidR="000F2E63" w:rsidRDefault="000F2E63">
            <w:pPr>
              <w:spacing w:after="0"/>
              <w:rPr>
                <w:rFonts w:ascii="Times New Roman" w:hAnsi="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-4,2 p.p.</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-3,3 p.p.</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-3,3 p.p. do -1,5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-1,5 p.p.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-0,6 p.p.</w:t>
            </w:r>
          </w:p>
        </w:tc>
      </w:tr>
      <w:tr w:rsidR="000F2E63">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2E63" w:rsidRDefault="0010263F">
            <w:pPr>
              <w:spacing w:after="0"/>
              <w:rPr>
                <w:rFonts w:ascii="Times New Roman" w:hAnsi="Times New Roman"/>
                <w:b/>
                <w:bCs/>
                <w:noProof/>
                <w:sz w:val="20"/>
              </w:rPr>
            </w:pPr>
            <w:r>
              <w:rPr>
                <w:rFonts w:ascii="Times New Roman" w:hAnsi="Times New Roman"/>
                <w:b/>
                <w:noProof/>
                <w:sz w:val="20"/>
              </w:rPr>
              <w:t>Młodzież NEET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Poziomy roczne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7,7 %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10,0 %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10,0 % do 14,5 %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14,5 %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16,8 %</w:t>
            </w:r>
          </w:p>
        </w:tc>
      </w:tr>
      <w:tr w:rsidR="000F2E63">
        <w:trPr>
          <w:trHeight w:val="298"/>
        </w:trPr>
        <w:tc>
          <w:tcPr>
            <w:tcW w:w="1428" w:type="dxa"/>
            <w:vMerge/>
            <w:tcBorders>
              <w:top w:val="nil"/>
              <w:left w:val="single" w:sz="8" w:space="0" w:color="auto"/>
              <w:bottom w:val="single" w:sz="8" w:space="0" w:color="auto"/>
              <w:right w:val="single" w:sz="8" w:space="0" w:color="auto"/>
            </w:tcBorders>
            <w:vAlign w:val="center"/>
            <w:hideMark/>
          </w:tcPr>
          <w:p w:rsidR="000F2E63" w:rsidRDefault="000F2E63">
            <w:pPr>
              <w:spacing w:after="0"/>
              <w:rPr>
                <w:rFonts w:ascii="Times New Roman" w:hAnsi="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-3,3 p.p.</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poniżej -0,9 p.p.</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od -0,9 p.p. do -0,1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-0,1 p.p.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F2E63" w:rsidRDefault="0010263F">
            <w:pPr>
              <w:spacing w:after="0"/>
              <w:rPr>
                <w:rFonts w:ascii="Times New Roman" w:hAnsi="Times New Roman"/>
                <w:noProof/>
                <w:sz w:val="20"/>
              </w:rPr>
            </w:pPr>
            <w:r>
              <w:rPr>
                <w:rFonts w:ascii="Times New Roman" w:hAnsi="Times New Roman"/>
                <w:noProof/>
                <w:sz w:val="20"/>
              </w:rPr>
              <w:t>ponad 0,4 p.p.</w:t>
            </w:r>
          </w:p>
        </w:tc>
      </w:tr>
      <w:tr w:rsidR="000F2E63">
        <w:trPr>
          <w:trHeight w:val="298"/>
        </w:trPr>
        <w:tc>
          <w:tcPr>
            <w:tcW w:w="1428" w:type="dxa"/>
            <w:tcBorders>
              <w:top w:val="single" w:sz="8" w:space="0" w:color="auto"/>
              <w:left w:val="single" w:sz="8" w:space="0" w:color="auto"/>
              <w:right w:val="single" w:sz="8" w:space="0" w:color="auto"/>
            </w:tcBorders>
            <w:vAlign w:val="center"/>
          </w:tcPr>
          <w:p w:rsidR="000F2E63" w:rsidRDefault="0010263F">
            <w:pPr>
              <w:spacing w:after="0"/>
              <w:ind w:left="108"/>
              <w:rPr>
                <w:rFonts w:ascii="Times New Roman" w:hAnsi="Times New Roman"/>
                <w:b/>
                <w:bCs/>
                <w:noProof/>
                <w:sz w:val="20"/>
              </w:rPr>
            </w:pPr>
            <w:r>
              <w:rPr>
                <w:rFonts w:ascii="Times New Roman" w:hAnsi="Times New Roman"/>
                <w:b/>
                <w:noProof/>
                <w:sz w:val="20"/>
              </w:rPr>
              <w:lastRenderedPageBreak/>
              <w:t>Dochód brutto do dyspozycji gospodarstwa domowego</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-0,1 %</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0,6 %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od 0,6 % do 2,0 %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2,0 %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2,7 %</w:t>
            </w:r>
          </w:p>
        </w:tc>
      </w:tr>
      <w:tr w:rsidR="000F2E63">
        <w:trPr>
          <w:trHeight w:val="298"/>
        </w:trPr>
        <w:tc>
          <w:tcPr>
            <w:tcW w:w="1428" w:type="dxa"/>
            <w:vMerge w:val="restart"/>
            <w:tcBorders>
              <w:top w:val="single" w:sz="8" w:space="0" w:color="auto"/>
              <w:left w:val="single" w:sz="8" w:space="0" w:color="auto"/>
              <w:right w:val="single" w:sz="8" w:space="0" w:color="auto"/>
            </w:tcBorders>
            <w:vAlign w:val="center"/>
          </w:tcPr>
          <w:p w:rsidR="000F2E63" w:rsidRDefault="0010263F">
            <w:pPr>
              <w:spacing w:after="0"/>
              <w:ind w:left="108"/>
              <w:rPr>
                <w:rFonts w:ascii="Times New Roman" w:hAnsi="Times New Roman"/>
                <w:b/>
                <w:bCs/>
                <w:noProof/>
                <w:sz w:val="20"/>
              </w:rPr>
            </w:pPr>
            <w:r>
              <w:rPr>
                <w:rFonts w:ascii="Times New Roman" w:hAnsi="Times New Roman"/>
                <w:b/>
                <w:noProof/>
                <w:sz w:val="20"/>
              </w:rPr>
              <w:t>Wskaźnik zagrożenia ubóstwem (18-64 lat)</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Poziomy roczne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12,2 %</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13,9 %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od 13,9 % do 17,3 %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17,3 %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19,0 %</w:t>
            </w:r>
          </w:p>
        </w:tc>
      </w:tr>
      <w:tr w:rsidR="000F2E63">
        <w:trPr>
          <w:trHeight w:val="298"/>
        </w:trPr>
        <w:tc>
          <w:tcPr>
            <w:tcW w:w="1428" w:type="dxa"/>
            <w:vMerge/>
            <w:tcBorders>
              <w:left w:val="single" w:sz="8" w:space="0" w:color="auto"/>
              <w:bottom w:val="single" w:sz="8" w:space="0" w:color="auto"/>
              <w:right w:val="single" w:sz="8" w:space="0" w:color="auto"/>
            </w:tcBorders>
            <w:vAlign w:val="center"/>
          </w:tcPr>
          <w:p w:rsidR="000F2E63" w:rsidRDefault="000F2E63">
            <w:pPr>
              <w:spacing w:after="0"/>
              <w:rPr>
                <w:rFonts w:ascii="Times New Roman" w:hAnsi="Times New Roman"/>
                <w:b/>
                <w:bCs/>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-0,6 p.p.</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-0,2 p.p.</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od -0,2</w:t>
            </w:r>
            <w:r>
              <w:rPr>
                <w:rFonts w:ascii="Times New Roman" w:hAnsi="Times New Roman"/>
                <w:noProof/>
                <w:sz w:val="20"/>
              </w:rPr>
              <w:t xml:space="preserve"> p.p. do 0,6 p.p.</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0,6 p.p.</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1,0 p.p.</w:t>
            </w:r>
          </w:p>
        </w:tc>
      </w:tr>
      <w:tr w:rsidR="000F2E63">
        <w:trPr>
          <w:trHeight w:val="298"/>
        </w:trPr>
        <w:tc>
          <w:tcPr>
            <w:tcW w:w="1428" w:type="dxa"/>
            <w:vMerge w:val="restart"/>
            <w:tcBorders>
              <w:top w:val="single" w:sz="8" w:space="0" w:color="auto"/>
              <w:left w:val="single" w:sz="8" w:space="0" w:color="auto"/>
              <w:right w:val="single" w:sz="8" w:space="0" w:color="auto"/>
            </w:tcBorders>
            <w:vAlign w:val="center"/>
          </w:tcPr>
          <w:p w:rsidR="000F2E63" w:rsidRDefault="0010263F">
            <w:pPr>
              <w:spacing w:after="0"/>
              <w:ind w:left="108"/>
              <w:rPr>
                <w:rFonts w:ascii="Times New Roman" w:hAnsi="Times New Roman"/>
                <w:b/>
                <w:bCs/>
                <w:noProof/>
                <w:sz w:val="20"/>
              </w:rPr>
            </w:pPr>
            <w:r>
              <w:rPr>
                <w:rFonts w:ascii="Times New Roman" w:hAnsi="Times New Roman"/>
                <w:b/>
                <w:noProof/>
                <w:sz w:val="20"/>
              </w:rPr>
              <w:t>Nierówność rozkładu dochodów S80/S20</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Poziomy roczne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3,8</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4,3</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od 4,3 do 5,4</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5,4</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5,9</w:t>
            </w:r>
          </w:p>
        </w:tc>
      </w:tr>
      <w:tr w:rsidR="000F2E63">
        <w:trPr>
          <w:trHeight w:val="298"/>
        </w:trPr>
        <w:tc>
          <w:tcPr>
            <w:tcW w:w="1428" w:type="dxa"/>
            <w:vMerge/>
            <w:tcBorders>
              <w:left w:val="single" w:sz="8" w:space="0" w:color="auto"/>
              <w:bottom w:val="single" w:sz="8" w:space="0" w:color="auto"/>
              <w:right w:val="single" w:sz="8" w:space="0" w:color="auto"/>
            </w:tcBorders>
            <w:vAlign w:val="center"/>
          </w:tcPr>
          <w:p w:rsidR="000F2E63" w:rsidRDefault="000F2E63">
            <w:pPr>
              <w:spacing w:after="0"/>
              <w:rPr>
                <w:rFonts w:ascii="Times New Roman" w:hAnsi="Times New Roman"/>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Zmiany</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-0,2</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poniżej -0,1</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od -0,1 do 0,2</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0,2</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F2E63" w:rsidRDefault="0010263F">
            <w:pPr>
              <w:spacing w:after="0"/>
              <w:rPr>
                <w:rFonts w:ascii="Times New Roman" w:hAnsi="Times New Roman"/>
                <w:noProof/>
                <w:sz w:val="20"/>
              </w:rPr>
            </w:pPr>
            <w:r>
              <w:rPr>
                <w:rFonts w:ascii="Times New Roman" w:hAnsi="Times New Roman"/>
                <w:noProof/>
                <w:sz w:val="20"/>
              </w:rPr>
              <w:t>ponad 0,3</w:t>
            </w:r>
          </w:p>
        </w:tc>
      </w:tr>
    </w:tbl>
    <w:p w:rsidR="000F2E63" w:rsidRDefault="0010263F">
      <w:pPr>
        <w:rPr>
          <w:rFonts w:ascii="Times New Roman" w:hAnsi="Times New Roman"/>
          <w:b/>
          <w:noProof/>
          <w:szCs w:val="24"/>
        </w:rPr>
      </w:pPr>
      <w:r>
        <w:rPr>
          <w:rFonts w:ascii="Times New Roman" w:hAnsi="Times New Roman"/>
          <w:noProof/>
        </w:rPr>
        <w:br/>
      </w:r>
      <w:r>
        <w:rPr>
          <w:rFonts w:ascii="Times New Roman" w:hAnsi="Times New Roman"/>
          <w:noProof/>
        </w:rPr>
        <w:br w:type="page"/>
      </w:r>
    </w:p>
    <w:p w:rsidR="000F2E63" w:rsidRDefault="0010263F">
      <w:pPr>
        <w:rPr>
          <w:rFonts w:ascii="Times New Roman" w:hAnsi="Times New Roman"/>
          <w:b/>
          <w:noProof/>
          <w:szCs w:val="24"/>
        </w:rPr>
      </w:pPr>
      <w:r>
        <w:rPr>
          <w:rFonts w:ascii="Times New Roman" w:hAnsi="Times New Roman"/>
          <w:b/>
          <w:noProof/>
        </w:rPr>
        <w:t xml:space="preserve">Załącznik 6: Przegląd </w:t>
      </w:r>
      <w:r>
        <w:rPr>
          <w:rFonts w:ascii="Times New Roman" w:hAnsi="Times New Roman"/>
          <w:b/>
          <w:noProof/>
        </w:rPr>
        <w:t>najważniejszych wyzwań w obszarze zatrudnienia i szczególnie korzystnych wyników na rynku pracy w oparciu o Przegląd sytuacji w dziedzinie zatrudnienia (W=wyzwanie; D= dobry wynik na rynku pracy) – przyjęty w czerwcu 2015 r.</w:t>
      </w:r>
      <w:r>
        <w:rPr>
          <w:rFonts w:ascii="Times New Roman" w:hAnsi="Times New Roman"/>
          <w:b/>
          <w:noProof/>
          <w:vertAlign w:val="superscript"/>
        </w:rPr>
        <w:footnoteReference w:id="42"/>
      </w:r>
      <w:r>
        <w:rPr>
          <w:rFonts w:ascii="Times New Roman" w:hAnsi="Times New Roman"/>
          <w:b/>
          <w:noProof/>
        </w:rPr>
        <w:t xml:space="preserve"> </w:t>
      </w:r>
    </w:p>
    <w:p w:rsidR="000F2E63" w:rsidRDefault="0010263F">
      <w:pPr>
        <w:rPr>
          <w:rFonts w:ascii="Times New Roman" w:hAnsi="Times New Roman"/>
          <w:b/>
          <w:noProof/>
          <w:szCs w:val="24"/>
        </w:rPr>
      </w:pPr>
      <w:r>
        <w:rPr>
          <w:noProof/>
        </w:rPr>
        <w:drawing>
          <wp:inline distT="0" distB="0" distL="0" distR="0">
            <wp:extent cx="5963920" cy="4373880"/>
            <wp:effectExtent l="0" t="0" r="0" b="7620"/>
            <wp:docPr id="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3920" cy="4373880"/>
                    </a:xfrm>
                    <a:prstGeom prst="rect">
                      <a:avLst/>
                    </a:prstGeom>
                    <a:noFill/>
                    <a:ln>
                      <a:noFill/>
                    </a:ln>
                  </pic:spPr>
                </pic:pic>
              </a:graphicData>
            </a:graphic>
          </wp:inline>
        </w:drawing>
      </w:r>
      <w:r>
        <w:rPr>
          <w:rFonts w:ascii="Times New Roman" w:hAnsi="Times New Roman"/>
          <w:noProof/>
        </w:rPr>
        <w:br w:type="page"/>
      </w:r>
    </w:p>
    <w:p w:rsidR="000F2E63" w:rsidRDefault="000F2E63">
      <w:pPr>
        <w:rPr>
          <w:rFonts w:ascii="Times New Roman" w:hAnsi="Times New Roman"/>
          <w:b/>
          <w:noProof/>
          <w:szCs w:val="24"/>
        </w:rPr>
      </w:pPr>
    </w:p>
    <w:p w:rsidR="000F2E63" w:rsidRDefault="0010263F">
      <w:pPr>
        <w:ind w:left="960" w:hanging="840"/>
        <w:rPr>
          <w:rFonts w:ascii="Times New Roman" w:hAnsi="Times New Roman"/>
          <w:b/>
          <w:noProof/>
          <w:szCs w:val="24"/>
        </w:rPr>
      </w:pPr>
      <w:r>
        <w:rPr>
          <w:rFonts w:ascii="Times New Roman" w:hAnsi="Times New Roman"/>
          <w:b/>
          <w:noProof/>
        </w:rPr>
        <w:t>Załącznik 7: Krótki przeg</w:t>
      </w:r>
      <w:r>
        <w:rPr>
          <w:rFonts w:ascii="Times New Roman" w:hAnsi="Times New Roman"/>
          <w:b/>
          <w:noProof/>
        </w:rPr>
        <w:t>ląd tendencji społecznych wymagających obserwacji i państw członkowskich, w których nastąpiły znaczne statystyczne pogorszenie lub poprawa, zgodnie z ustaleniami Komitetu Ochrony Socjalnej</w:t>
      </w:r>
    </w:p>
    <w:p w:rsidR="000F2E63" w:rsidRDefault="0010263F">
      <w:pPr>
        <w:rPr>
          <w:rFonts w:ascii="Times New Roman" w:hAnsi="Times New Roman"/>
          <w:noProof/>
          <w:szCs w:val="24"/>
        </w:rPr>
      </w:pPr>
      <w:r>
        <w:rPr>
          <w:noProof/>
        </w:rPr>
        <w:drawing>
          <wp:inline distT="0" distB="0" distL="0" distR="0">
            <wp:extent cx="4790440" cy="4626610"/>
            <wp:effectExtent l="0" t="0" r="0" b="2540"/>
            <wp:docPr id="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90440" cy="4626610"/>
                    </a:xfrm>
                    <a:prstGeom prst="rect">
                      <a:avLst/>
                    </a:prstGeom>
                    <a:noFill/>
                    <a:ln>
                      <a:noFill/>
                    </a:ln>
                  </pic:spPr>
                </pic:pic>
              </a:graphicData>
            </a:graphic>
          </wp:inline>
        </w:drawing>
      </w:r>
    </w:p>
    <w:p w:rsidR="000F2E63" w:rsidRDefault="0010263F">
      <w:pPr>
        <w:rPr>
          <w:rFonts w:ascii="Times New Roman" w:hAnsi="Times New Roman"/>
          <w:noProof/>
        </w:rPr>
      </w:pPr>
      <w:r>
        <w:rPr>
          <w:noProof/>
        </w:rPr>
        <w:lastRenderedPageBreak/>
        <w:drawing>
          <wp:inline distT="0" distB="0" distL="0" distR="0">
            <wp:extent cx="8898255" cy="5022215"/>
            <wp:effectExtent l="0" t="0" r="0" b="6985"/>
            <wp:docPr id="3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8255" cy="5022215"/>
                    </a:xfrm>
                    <a:prstGeom prst="rect">
                      <a:avLst/>
                    </a:prstGeom>
                    <a:noFill/>
                    <a:ln>
                      <a:noFill/>
                    </a:ln>
                  </pic:spPr>
                </pic:pic>
              </a:graphicData>
            </a:graphic>
          </wp:inline>
        </w:drawing>
      </w:r>
    </w:p>
    <w:p w:rsidR="000F2E63" w:rsidRDefault="0010263F">
      <w:pPr>
        <w:spacing w:line="360" w:lineRule="auto"/>
        <w:jc w:val="both"/>
        <w:rPr>
          <w:rFonts w:ascii="Times New Roman" w:hAnsi="Times New Roman"/>
          <w:noProof/>
          <w:sz w:val="24"/>
          <w:szCs w:val="24"/>
        </w:rPr>
      </w:pPr>
      <w:r>
        <w:rPr>
          <w:rFonts w:ascii="Times New Roman" w:hAnsi="Times New Roman"/>
          <w:noProof/>
          <w:sz w:val="24"/>
        </w:rPr>
        <w:t>Uwaga: w opracowaniu dotyczącym tendencji społecznych wymagając</w:t>
      </w:r>
      <w:r>
        <w:rPr>
          <w:rFonts w:ascii="Times New Roman" w:hAnsi="Times New Roman"/>
          <w:noProof/>
          <w:sz w:val="24"/>
        </w:rPr>
        <w:t xml:space="preserve">ych obserwacji za lata 2012–2013, przyjętym przez Komitet Ochrony Socjalnej w dniu 23 lutego 2015 r. na podstawie dostępnych wówczas danych, wykazano pogorszenie w ponad 1/3 państw członkowskich, które </w:t>
      </w:r>
      <w:r>
        <w:rPr>
          <w:rFonts w:ascii="Times New Roman" w:hAnsi="Times New Roman"/>
          <w:noProof/>
          <w:sz w:val="24"/>
        </w:rPr>
        <w:lastRenderedPageBreak/>
        <w:t>oznaczono na czerwono w powyższej tabeli (źródło: „Soc</w:t>
      </w:r>
      <w:r>
        <w:rPr>
          <w:rFonts w:ascii="Times New Roman" w:hAnsi="Times New Roman"/>
          <w:noProof/>
          <w:sz w:val="24"/>
        </w:rPr>
        <w:t>ial Europe: Aiming for inclusive growth” – roczne sprawozdanie Komitetu Ochrony Socjalnej na temat sytuacji społecznej w Unii Europejskiej w 2014 r.).</w:t>
      </w:r>
    </w:p>
    <w:p w:rsidR="000F2E63" w:rsidRDefault="000F2E63">
      <w:pPr>
        <w:spacing w:before="120" w:after="120" w:line="360" w:lineRule="auto"/>
        <w:jc w:val="both"/>
        <w:rPr>
          <w:rFonts w:ascii="Times New Roman" w:eastAsia="EC Square Sans Pro Medium" w:hAnsi="Times New Roman"/>
          <w:noProof/>
          <w:spacing w:val="-3"/>
          <w:sz w:val="24"/>
          <w:szCs w:val="24"/>
        </w:rPr>
      </w:pPr>
    </w:p>
    <w:sectPr w:rsidR="000F2E63">
      <w:headerReference w:type="even" r:id="rId54"/>
      <w:headerReference w:type="default" r:id="rId55"/>
      <w:footerReference w:type="even" r:id="rId56"/>
      <w:footerReference w:type="default" r:id="rId57"/>
      <w:headerReference w:type="first" r:id="rId58"/>
      <w:footerReference w:type="first" r:id="rId59"/>
      <w:pgSz w:w="16838" w:h="11906" w:orient="landscape"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E63" w:rsidRDefault="0010263F">
      <w:pPr>
        <w:spacing w:after="0" w:line="240" w:lineRule="auto"/>
      </w:pPr>
      <w:r>
        <w:separator/>
      </w:r>
    </w:p>
  </w:endnote>
  <w:endnote w:type="continuationSeparator" w:id="0">
    <w:p w:rsidR="000F2E63" w:rsidRDefault="0010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C Square Sans Pro Medium">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10263F">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10263F">
    <w:pPr>
      <w:pStyle w:val="Stopka"/>
      <w:jc w:val="center"/>
    </w:pPr>
    <w:r>
      <w:fldChar w:fldCharType="begin"/>
    </w:r>
    <w:r>
      <w:instrText xml:space="preserve"> PAGE   \* MERGEFORMAT </w:instrText>
    </w:r>
    <w:r>
      <w:fldChar w:fldCharType="separate"/>
    </w:r>
    <w:r>
      <w:rPr>
        <w:noProof/>
      </w:rPr>
      <w:t>3</w:t>
    </w:r>
    <w:r>
      <w:fldChar w:fldCharType="end"/>
    </w:r>
  </w:p>
  <w:p w:rsidR="000F2E63" w:rsidRDefault="000F2E6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10263F">
    <w:pPr>
      <w:pStyle w:val="Stopka"/>
      <w:jc w:val="center"/>
    </w:pPr>
    <w:r>
      <w:fldChar w:fldCharType="begin"/>
    </w:r>
    <w:r>
      <w:instrText xml:space="preserve"> PAGE   \* MERGEFORMAT </w:instrText>
    </w:r>
    <w:r>
      <w:fldChar w:fldCharType="separate"/>
    </w:r>
    <w:r>
      <w:rPr>
        <w:noProof/>
      </w:rPr>
      <w:t>69</w:t>
    </w:r>
    <w:r>
      <w:fldChar w:fldCharType="end"/>
    </w:r>
  </w:p>
  <w:p w:rsidR="000F2E63" w:rsidRDefault="000F2E63">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E63" w:rsidRDefault="0010263F">
      <w:pPr>
        <w:spacing w:after="0" w:line="240" w:lineRule="auto"/>
      </w:pPr>
      <w:r>
        <w:separator/>
      </w:r>
    </w:p>
  </w:footnote>
  <w:footnote w:type="continuationSeparator" w:id="0">
    <w:p w:rsidR="000F2E63" w:rsidRDefault="0010263F">
      <w:pPr>
        <w:spacing w:after="0" w:line="240" w:lineRule="auto"/>
      </w:pPr>
      <w:r>
        <w:continuationSeparator/>
      </w:r>
    </w:p>
  </w:footnote>
  <w:footnote w:id="1">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Decyzja Rady w sprawie wytycznych dotyczących polityki zatrudnienia państw członkowskich na rok 2015, Bruksela, dnia 21 września 2015 r., 11360/15.</w:t>
      </w:r>
    </w:p>
  </w:footnote>
  <w:footnote w:id="2">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Dostępne na stronie internetowej: </w:t>
      </w:r>
      <w:hyperlink r:id="rId1" w:history="1">
        <w:r>
          <w:rPr>
            <w:rStyle w:val="Hipercze"/>
            <w:rFonts w:ascii="Times New Roman" w:hAnsi="Times New Roman"/>
          </w:rPr>
          <w:t>http://ec.europa.eu/priorities/economic-monetary-union/docs/5-presidents-report_pl.pdf</w:t>
        </w:r>
      </w:hyperlink>
    </w:p>
  </w:footnote>
  <w:footnote w:id="3">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COM (2015) 600 final z 5.5.2015.</w:t>
      </w:r>
    </w:p>
  </w:footnote>
  <w:footnote w:id="4">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Por. sprawozdanie przedkładane w ramach mechanizmu ostrzegania (AMR) na 2016 r. </w:t>
      </w:r>
    </w:p>
  </w:footnote>
  <w:footnote w:id="5">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Szczegółowe omów</w:t>
      </w:r>
      <w:r>
        <w:rPr>
          <w:rFonts w:ascii="Times New Roman" w:hAnsi="Times New Roman"/>
        </w:rPr>
        <w:t>ienie każdego wskaźnika znajduje się każdorazowo w sekcji poprzedzającej dany wykres.</w:t>
      </w:r>
    </w:p>
  </w:footnote>
  <w:footnote w:id="6">
    <w:p w:rsidR="000F2E63" w:rsidRDefault="0010263F">
      <w:pPr>
        <w:pStyle w:val="Tekstprzypisudolnego"/>
        <w:rPr>
          <w:lang w:val="en-GB"/>
        </w:rPr>
      </w:pPr>
      <w:r>
        <w:rPr>
          <w:rStyle w:val="Odwoanieprzypisudolnego"/>
        </w:rPr>
        <w:footnoteRef/>
      </w:r>
      <w:r>
        <w:rPr>
          <w:lang w:val="en-GB"/>
        </w:rPr>
        <w:t xml:space="preserve"> [2015 update when available]</w:t>
      </w:r>
    </w:p>
  </w:footnote>
  <w:footnote w:id="7">
    <w:p w:rsidR="000F2E63" w:rsidRDefault="0010263F">
      <w:pPr>
        <w:pStyle w:val="Tekstprzypisudolnego"/>
        <w:rPr>
          <w:lang w:val="en-GB"/>
        </w:rPr>
      </w:pPr>
      <w:r>
        <w:rPr>
          <w:rStyle w:val="Odwoanieprzypisudolnego"/>
        </w:rPr>
        <w:footnoteRef/>
      </w:r>
      <w:r>
        <w:rPr>
          <w:lang w:val="en-GB"/>
        </w:rPr>
        <w:t xml:space="preserve"> OECD (2015) – </w:t>
      </w:r>
      <w:r>
        <w:rPr>
          <w:i/>
          <w:lang w:val="en-GB"/>
        </w:rPr>
        <w:t>In it together:</w:t>
      </w:r>
      <w:r>
        <w:rPr>
          <w:lang w:val="en-GB"/>
        </w:rPr>
        <w:t xml:space="preserve"> </w:t>
      </w:r>
      <w:r>
        <w:rPr>
          <w:i/>
          <w:lang w:val="en-GB"/>
        </w:rPr>
        <w:t>Why Less Inequality Benefits All</w:t>
      </w:r>
      <w:r>
        <w:rPr>
          <w:lang w:val="en-GB"/>
        </w:rPr>
        <w:t xml:space="preserve"> </w:t>
      </w:r>
    </w:p>
  </w:footnote>
  <w:footnote w:id="8">
    <w:p w:rsidR="000F2E63" w:rsidRDefault="0010263F">
      <w:pPr>
        <w:pStyle w:val="Tekstprzypisudolnego"/>
        <w:rPr>
          <w:lang w:val="en-GB"/>
        </w:rPr>
      </w:pPr>
      <w:r>
        <w:rPr>
          <w:rStyle w:val="Odwoanieprzypisudolnego"/>
        </w:rPr>
        <w:footnoteRef/>
      </w:r>
      <w:r>
        <w:rPr>
          <w:lang w:val="en-GB"/>
        </w:rPr>
        <w:t xml:space="preserve"> Eurofound (2015) – </w:t>
      </w:r>
      <w:r>
        <w:rPr>
          <w:i/>
          <w:lang w:val="en-GB"/>
        </w:rPr>
        <w:t>Developments in working life in Europe: EurWORK annu</w:t>
      </w:r>
      <w:r>
        <w:rPr>
          <w:i/>
          <w:lang w:val="en-GB"/>
        </w:rPr>
        <w:t>al review 2014</w:t>
      </w:r>
    </w:p>
  </w:footnote>
  <w:footnote w:id="9">
    <w:p w:rsidR="000F2E63" w:rsidRDefault="0010263F">
      <w:pPr>
        <w:pStyle w:val="Tekstprzypisudolnego"/>
        <w:rPr>
          <w:lang w:val="en-GB"/>
        </w:rPr>
      </w:pPr>
      <w:r>
        <w:rPr>
          <w:rStyle w:val="Odwoanieprzypisudolnego"/>
        </w:rPr>
        <w:footnoteRef/>
      </w:r>
      <w:r>
        <w:rPr>
          <w:lang w:val="en-GB"/>
        </w:rPr>
        <w:t xml:space="preserve"> Zob. </w:t>
      </w:r>
      <w:r>
        <w:rPr>
          <w:rFonts w:ascii="Times New Roman" w:hAnsi="Times New Roman"/>
          <w:lang w:val="en-GB"/>
        </w:rPr>
        <w:t>„Education and Training Monitor 2015” (http://ec.europa.eu/education/tools/et-monitor_en.htm)</w:t>
      </w:r>
    </w:p>
  </w:footnote>
  <w:footnote w:id="10">
    <w:p w:rsidR="000F2E63" w:rsidRDefault="0010263F">
      <w:pPr>
        <w:pStyle w:val="Tekstprzypisudolnego"/>
        <w:rPr>
          <w:rFonts w:ascii="Times New Roman" w:hAnsi="Times New Roman"/>
          <w:lang w:val="en-GB"/>
        </w:rPr>
      </w:pPr>
      <w:r>
        <w:rPr>
          <w:rStyle w:val="Odwoanieprzypisudolnego"/>
          <w:rFonts w:ascii="Times New Roman" w:hAnsi="Times New Roman"/>
        </w:rPr>
        <w:footnoteRef/>
      </w:r>
      <w:r>
        <w:rPr>
          <w:rFonts w:ascii="Times New Roman" w:hAnsi="Times New Roman"/>
          <w:lang w:val="en-GB"/>
        </w:rPr>
        <w:t xml:space="preserve"> „Zapobieganie i zwalczanie długotrwałego bezrobocia”, w: </w:t>
      </w:r>
      <w:r>
        <w:rPr>
          <w:rFonts w:ascii="Times New Roman" w:hAnsi="Times New Roman"/>
          <w:i/>
          <w:lang w:val="en-GB"/>
        </w:rPr>
        <w:t>Employment and social developments in Europe (ESDE) 2015</w:t>
      </w:r>
      <w:r>
        <w:rPr>
          <w:rFonts w:ascii="Times New Roman" w:hAnsi="Times New Roman"/>
          <w:lang w:val="en-GB"/>
        </w:rPr>
        <w:t>, Komisja Europejska.</w:t>
      </w:r>
    </w:p>
  </w:footnote>
  <w:footnote w:id="11">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t>
      </w:r>
      <w:r>
        <w:rPr>
          <w:rFonts w:ascii="Times New Roman" w:hAnsi="Times New Roman"/>
        </w:rPr>
        <w:t xml:space="preserve">Wspieranie zdobywania i dostosowywania umiejętności w UE”, w: </w:t>
      </w:r>
      <w:r>
        <w:rPr>
          <w:rFonts w:ascii="Times New Roman" w:hAnsi="Times New Roman"/>
          <w:i/>
        </w:rPr>
        <w:t>Employment and social developments in Europe 2015</w:t>
      </w:r>
      <w:r>
        <w:rPr>
          <w:rFonts w:ascii="Times New Roman" w:hAnsi="Times New Roman"/>
        </w:rPr>
        <w:t>, Komisja Europejska.</w:t>
      </w:r>
    </w:p>
  </w:footnote>
  <w:footnote w:id="12">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Zgodnie ze złożonym wskaźnikiem umiejętności cyfrowych w oparciu o ramy kompetencji informatycznych, </w:t>
      </w:r>
      <w:hyperlink r:id="rId2" w:history="1">
        <w:r>
          <w:rPr>
            <w:rStyle w:val="Hipercze"/>
            <w:rFonts w:ascii="Times New Roman" w:hAnsi="Times New Roman"/>
          </w:rPr>
          <w:t>https://ec.europa.eu/jrc/sites/default/files/lb-na-26035-enn.pdf</w:t>
        </w:r>
      </w:hyperlink>
      <w:r>
        <w:rPr>
          <w:rStyle w:val="Hipercze"/>
          <w:rFonts w:ascii="Times New Roman" w:hAnsi="Times New Roman"/>
        </w:rPr>
        <w:t>.</w:t>
      </w:r>
      <w:r>
        <w:rPr>
          <w:rFonts w:ascii="Times New Roman" w:hAnsi="Times New Roman"/>
        </w:rPr>
        <w:t xml:space="preserve"> </w:t>
      </w:r>
    </w:p>
  </w:footnote>
  <w:footnote w:id="13">
    <w:p w:rsidR="000F2E63" w:rsidRDefault="0010263F">
      <w:pPr>
        <w:pStyle w:val="Tekstprzypisudolnego"/>
        <w:rPr>
          <w:rFonts w:ascii="Times New Roman" w:hAnsi="Times New Roman"/>
          <w:lang w:val="en-GB"/>
        </w:rPr>
      </w:pPr>
      <w:r>
        <w:rPr>
          <w:rStyle w:val="Odwoanieprzypisudolnego"/>
          <w:rFonts w:ascii="Times New Roman" w:hAnsi="Times New Roman"/>
        </w:rPr>
        <w:footnoteRef/>
      </w:r>
      <w:r>
        <w:rPr>
          <w:rFonts w:ascii="Times New Roman" w:hAnsi="Times New Roman"/>
          <w:lang w:val="en-GB"/>
        </w:rPr>
        <w:t xml:space="preserve"> </w:t>
      </w:r>
      <w:r>
        <w:rPr>
          <w:rFonts w:ascii="Times New Roman" w:hAnsi="Times New Roman"/>
          <w:i/>
          <w:lang w:val="en-GB"/>
        </w:rPr>
        <w:t>Employment and social developments in Europe 2015</w:t>
      </w:r>
      <w:r>
        <w:rPr>
          <w:rFonts w:ascii="Times New Roman" w:hAnsi="Times New Roman"/>
          <w:lang w:val="en-GB"/>
        </w:rPr>
        <w:t>, Komisja Europejska.</w:t>
      </w:r>
    </w:p>
    <w:p w:rsidR="000F2E63" w:rsidRDefault="000F2E63">
      <w:pPr>
        <w:pStyle w:val="Tekstprzypisudolnego"/>
        <w:rPr>
          <w:rFonts w:ascii="Times New Roman" w:hAnsi="Times New Roman"/>
          <w:lang w:val="en-GB"/>
        </w:rPr>
      </w:pPr>
    </w:p>
  </w:footnote>
  <w:footnote w:id="14">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Na klin podatkowy składają się podatek dochodowy od </w:t>
      </w:r>
      <w:r>
        <w:rPr>
          <w:rFonts w:ascii="Times New Roman" w:hAnsi="Times New Roman"/>
        </w:rPr>
        <w:t>osób fizycznych oraz przypadające na pracodawcę i pracownika składki na ubezpieczenie społeczne.</w:t>
      </w:r>
    </w:p>
  </w:footnote>
  <w:footnote w:id="15">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Zob. liczne oświadczenia Eurogrupy, np. deklaracja Eurogrupy „Program reform strukturalnych – dyskusje tematyczne dotyczące wzrostu i zatrudnienia – wspólne </w:t>
      </w:r>
      <w:r>
        <w:rPr>
          <w:rFonts w:ascii="Times New Roman" w:hAnsi="Times New Roman"/>
        </w:rPr>
        <w:t>zasady reform na rzecz zmniejszenia klina podatkowego” [Structural reform agenda - thematic discussions on growth and jobs - Common principles for reforms reducing the tax burden on labour], Mediolan, 12 września 2014 r.</w:t>
      </w:r>
    </w:p>
  </w:footnote>
  <w:footnote w:id="16">
    <w:p w:rsidR="000F2E63" w:rsidRDefault="0010263F">
      <w:pPr>
        <w:pStyle w:val="Tekstprzypisudolnego"/>
        <w:jc w:val="both"/>
      </w:pPr>
      <w:r>
        <w:rPr>
          <w:rStyle w:val="Odwoanieprzypisudolnego"/>
        </w:rPr>
        <w:footnoteRef/>
      </w:r>
      <w:r>
        <w:t xml:space="preserve"> Dane dotyczące dochodu brutto do dyspozycji gospodarstwa domowego uzyskane w dniu 28 października 2015 r. Wartości za 2014 r. są na ten dzień niedostępne w odniesieniu do dziewięciu państw członkowskich (Bułgaria, Irlandia, Grecja, Chorwacja, Cypr, Luksem</w:t>
      </w:r>
      <w:r>
        <w:t>burg, Malta, Polska i Rumunia).</w:t>
      </w:r>
    </w:p>
  </w:footnote>
  <w:footnote w:id="17">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Eurostat stosuje współczynnik ekwiwalencji zgodnie ze skalą zmodyfikowaną przez OECD. Przyznaje się w nim wagę 1,0 pierwszej osobie w wieku 14 lat lub więcej, wagę 0,5 pozostałym osobom w wieku 14 lat lub więcej oraz wagę </w:t>
      </w:r>
      <w:r>
        <w:rPr>
          <w:rFonts w:ascii="Times New Roman" w:hAnsi="Times New Roman"/>
        </w:rPr>
        <w:t xml:space="preserve">0,3 osobom w wieku 0–13 lat. Eurostat podaje szczegółową definicję na stronie </w:t>
      </w:r>
      <w:hyperlink r:id="rId3" w:history="1">
        <w:r>
          <w:rPr>
            <w:rStyle w:val="Hipercze"/>
            <w:rFonts w:ascii="Times New Roman" w:hAnsi="Times New Roman"/>
          </w:rPr>
          <w:t>http://ec.europa.eu/eurostat/statistics-explained/index.php/Glossary:Mat</w:t>
        </w:r>
        <w:r>
          <w:rPr>
            <w:rStyle w:val="Hipercze"/>
            <w:rFonts w:ascii="Times New Roman" w:hAnsi="Times New Roman"/>
          </w:rPr>
          <w:t>erial_deprivation</w:t>
        </w:r>
      </w:hyperlink>
    </w:p>
  </w:footnote>
  <w:footnote w:id="18">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Osobę uznaje się za doświadczającą pogłębionej deprywacji, jeżeli nie może sobie ona pozwolić na zakup co najmniej 3 pozycji (towarów i usług) figurujących w wykazie 10 pozycji uznanych za ważne. </w:t>
      </w:r>
    </w:p>
  </w:footnote>
  <w:footnote w:id="19">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Osoby żyjące w gospodarstwach domowych o bardzo małej intensywności pracy to osoby w wieku 0–59 lat zamieszkujące gospodarstwa domowe, w których osoby dorosłe (w wieku 18–59 lat) w minionym roku przepracowały mniej niż 20% swego łącznego potencjału pracy.</w:t>
      </w:r>
    </w:p>
  </w:footnote>
  <w:footnote w:id="20">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Dane dotyczące AROPE za 2014 r. są danymi szacunkowymi podanymi przez Eurostat na podstawie danych dostarczonych przez państwa członkowskie. </w:t>
      </w:r>
    </w:p>
  </w:footnote>
  <w:footnote w:id="21">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t>
      </w:r>
      <w:r>
        <w:rPr>
          <w:rFonts w:ascii="Times New Roman" w:hAnsi="Times New Roman"/>
          <w:color w:val="262626"/>
        </w:rPr>
        <w:t xml:space="preserve">Więcej informacji na temat pierwszych danych statystycznych dotyczących deprywacji materialnej można uzyskać </w:t>
      </w:r>
      <w:r>
        <w:rPr>
          <w:rFonts w:ascii="Times New Roman" w:hAnsi="Times New Roman"/>
          <w:color w:val="262626"/>
        </w:rPr>
        <w:t xml:space="preserve">z odpowiedniej publikacji EUROSTATU dostępnej pod adresem: </w:t>
      </w:r>
      <w:hyperlink r:id="rId4" w:history="1">
        <w:r>
          <w:rPr>
            <w:rStyle w:val="Hipercze"/>
            <w:rFonts w:ascii="Times New Roman" w:hAnsi="Times New Roman"/>
          </w:rPr>
          <w:t>http://ec.europa.eu/eurostat/statistics-explained/index.php/Material_depr</w:t>
        </w:r>
        <w:r>
          <w:rPr>
            <w:rStyle w:val="Hipercze"/>
            <w:rFonts w:ascii="Times New Roman" w:hAnsi="Times New Roman"/>
          </w:rPr>
          <w:t>ivation_statistics_-_early_results</w:t>
        </w:r>
      </w:hyperlink>
    </w:p>
  </w:footnote>
  <w:footnote w:id="22">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Mniej niż 60 % krajowej mediany dochodu gospodarstwa domowego po uwzględnieniu transferów socjalnych.</w:t>
      </w:r>
    </w:p>
  </w:footnote>
  <w:footnote w:id="23">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Na podstawie danych z badania EU-SILC obliczono przedziały ufności wokół oszacowań punktowych dla wskaźników zagro</w:t>
      </w:r>
      <w:r>
        <w:rPr>
          <w:rFonts w:ascii="Times New Roman" w:hAnsi="Times New Roman"/>
        </w:rPr>
        <w:t>żenia ubóstwem i nierówności w dochodach (S80/S20). Wyniki tych obliczeń zostały włączone do metodyki klasyfikacji państw członkowskich. W związku z tym na wykresach 16 i 18 roczne zmiany statystycznie nieróżniące się od zera zastąpiono tą właśnie wartości</w:t>
      </w:r>
      <w:r>
        <w:rPr>
          <w:rFonts w:ascii="Times New Roman" w:hAnsi="Times New Roman"/>
        </w:rPr>
        <w:t>ą. Analogicznie, poziomy statystycznie nieróżniące się od (nieważonej) średniej UE zastąpiono tą właśnie wartością. Szczegółowe informacje na temat metodologii znajdują się w załączniku.</w:t>
      </w:r>
    </w:p>
  </w:footnote>
  <w:footnote w:id="24">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Zob. Zatrudnienie i kwestie społeczne w Europie, 2013 r.</w:t>
      </w:r>
    </w:p>
  </w:footnote>
  <w:footnote w:id="25">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Wskaźnik</w:t>
      </w:r>
      <w:r>
        <w:rPr>
          <w:rFonts w:ascii="Times New Roman" w:hAnsi="Times New Roman"/>
        </w:rPr>
        <w:t xml:space="preserve"> S80/S20 służy do mierzenia stosunku dochodów uzyskiwanych przez 20 % ludności o najwyższych dochodach do dochodów uzyskiwanych przez 20 % ludności o najniższych dochodach, biorąc za podstawę dane SILC.</w:t>
      </w:r>
    </w:p>
  </w:footnote>
  <w:footnote w:id="26">
    <w:p w:rsidR="000F2E63" w:rsidRDefault="0010263F">
      <w:pPr>
        <w:pStyle w:val="Tekstprzypisudolnego"/>
        <w:rPr>
          <w:rFonts w:ascii="Times New Roman" w:hAnsi="Times New Roman"/>
          <w:lang w:val="en-GB"/>
        </w:rPr>
      </w:pPr>
      <w:r>
        <w:rPr>
          <w:rStyle w:val="Odwoanieprzypisudolnego"/>
          <w:rFonts w:ascii="Times New Roman" w:hAnsi="Times New Roman"/>
        </w:rPr>
        <w:footnoteRef/>
      </w:r>
      <w:r>
        <w:rPr>
          <w:rFonts w:ascii="Times New Roman" w:hAnsi="Times New Roman"/>
          <w:lang w:val="en-GB"/>
        </w:rPr>
        <w:t xml:space="preserve"> De Agostini i in. (2015), The effect of tax-benefit</w:t>
      </w:r>
      <w:r>
        <w:rPr>
          <w:rFonts w:ascii="Times New Roman" w:hAnsi="Times New Roman"/>
          <w:lang w:val="en-GB"/>
        </w:rPr>
        <w:t xml:space="preserve"> changes on income distribution in 2008-2014.</w:t>
      </w:r>
    </w:p>
  </w:footnote>
  <w:footnote w:id="27">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Są to osoby podające, że nie chodzą do lekarza, nawet gdyby było to konieczne, ponieważ jest to dla nich za drogie, czas oczekiwania jest zbyt długi lub mają do lekarza za daleko. </w:t>
      </w:r>
    </w:p>
  </w:footnote>
  <w:footnote w:id="28">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Wniosek Komisji dotyczący</w:t>
      </w:r>
      <w:r>
        <w:rPr>
          <w:rFonts w:ascii="Times New Roman" w:hAnsi="Times New Roman"/>
        </w:rPr>
        <w:t xml:space="preserve"> decyzji Rady w sprawie wytycznych dotyczących polityk zatrudnienia państw członkowskich, 2 marca 2015 r.; decyzja Rady w sprawie wytycznych dotyczących polityk zatrudnienia państw członkowskich, 5 października 2015 r.</w:t>
      </w:r>
    </w:p>
  </w:footnote>
  <w:footnote w:id="29">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Wyczerpująca analiza sytuacji na ry</w:t>
      </w:r>
      <w:r>
        <w:rPr>
          <w:rFonts w:ascii="Times New Roman" w:hAnsi="Times New Roman"/>
        </w:rPr>
        <w:t xml:space="preserve">nku pracy i sytuacji płacowej od 2008 r. znajduje się w sprawozdaniu pt. „Zmiany na rynku pracy i zmiany płacowe w Europie w 2015 r.”, Komisja Europejska, DG ds. Zatrudnienia, Spraw Społecznych i Włączenia Społecznego, 2015 r.  </w:t>
      </w:r>
    </w:p>
  </w:footnote>
  <w:footnote w:id="30">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Skills Governance in the </w:t>
      </w:r>
      <w:r>
        <w:rPr>
          <w:rFonts w:ascii="Times New Roman" w:hAnsi="Times New Roman"/>
        </w:rPr>
        <w:t>EU Member States, sprawozdanie podsumowujące, październik 2015 r. (w najbliższym czasie C4 doda odpowiedni link).</w:t>
      </w:r>
    </w:p>
  </w:footnote>
  <w:footnote w:id="31">
    <w:p w:rsidR="000F2E63" w:rsidRDefault="0010263F">
      <w:pPr>
        <w:pStyle w:val="Tekstprzypisudolnego"/>
        <w:rPr>
          <w:lang w:val="en-GB"/>
        </w:rPr>
      </w:pPr>
      <w:r>
        <w:rPr>
          <w:rStyle w:val="Odwoanieprzypisudolnego"/>
        </w:rPr>
        <w:footnoteRef/>
      </w:r>
      <w:r>
        <w:rPr>
          <w:lang w:val="en-GB"/>
        </w:rPr>
        <w:t xml:space="preserve"> Dane za 2013 r., Education and Training Monitor 2015.</w:t>
      </w:r>
    </w:p>
  </w:footnote>
  <w:footnote w:id="32">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Sprawozdanie na temat starzenia się za 2015 r., </w:t>
      </w:r>
      <w:hyperlink r:id="rId5" w:history="1">
        <w:r>
          <w:rPr>
            <w:rStyle w:val="Hipercze"/>
            <w:rFonts w:ascii="Times New Roman" w:hAnsi="Times New Roman"/>
          </w:rPr>
          <w:t>http://ec.europa.eu/economy_finance/publications/european_economy/2015/pdf/ee3_en.pdf</w:t>
        </w:r>
      </w:hyperlink>
      <w:r>
        <w:rPr>
          <w:rFonts w:ascii="Times New Roman" w:hAnsi="Times New Roman"/>
        </w:rPr>
        <w:t xml:space="preserve"> </w:t>
      </w:r>
    </w:p>
  </w:footnote>
  <w:footnote w:id="33">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Sprawozdanie na temat adekwatności emerytur za 2015 r., </w:t>
      </w:r>
      <w:hyperlink r:id="rId6" w:history="1">
        <w:r>
          <w:rPr>
            <w:rStyle w:val="Hipercze"/>
            <w:rFonts w:ascii="Times New Roman" w:hAnsi="Times New Roman"/>
          </w:rPr>
          <w:t>http://ec.europa.eu/social/BlobServlet?docId=14529&amp;langId=en</w:t>
        </w:r>
      </w:hyperlink>
    </w:p>
    <w:p w:rsidR="000F2E63" w:rsidRDefault="000F2E63">
      <w:pPr>
        <w:pStyle w:val="Tekstprzypisudolnego"/>
        <w:rPr>
          <w:rFonts w:ascii="Times New Roman" w:hAnsi="Times New Roman"/>
        </w:rPr>
      </w:pPr>
    </w:p>
  </w:footnote>
  <w:footnote w:id="34">
    <w:p w:rsidR="000F2E63" w:rsidRDefault="0010263F">
      <w:pPr>
        <w:pStyle w:val="Tekstprzypisudolnego"/>
      </w:pPr>
      <w:r>
        <w:rPr>
          <w:rStyle w:val="Odwoanieprzypisudolnego"/>
        </w:rPr>
        <w:footnoteRef/>
      </w:r>
      <w:r>
        <w:t xml:space="preserve"> Zob.</w:t>
      </w:r>
      <w:r>
        <w:rPr>
          <w:rStyle w:val="Pogrubienie"/>
        </w:rPr>
        <w:t xml:space="preserve"> </w:t>
      </w:r>
      <w:r>
        <w:rPr>
          <w:rStyle w:val="Pogrubienie"/>
          <w:b w:val="0"/>
        </w:rPr>
        <w:t xml:space="preserve">dyrektywa Parlamentu Europejskiego i Rady 2013/33/UE z dnia 26 czerwca 2013 r. w sprawie ustanowienia norm dotyczących przyjmowania wnioskodawców </w:t>
      </w:r>
      <w:r>
        <w:rPr>
          <w:rStyle w:val="Pogrubienie"/>
          <w:b w:val="0"/>
        </w:rPr>
        <w:t>ubiegających się o ochronę międzynarodową.</w:t>
      </w:r>
    </w:p>
  </w:footnote>
  <w:footnote w:id="35">
    <w:p w:rsidR="000F2E63" w:rsidRDefault="0010263F">
      <w:pPr>
        <w:pStyle w:val="Tekstprzypisudolnego"/>
      </w:pPr>
      <w:r>
        <w:rPr>
          <w:rStyle w:val="Odwoanieprzypisudolnego"/>
        </w:rPr>
        <w:footnoteRef/>
      </w:r>
      <w:r>
        <w:t xml:space="preserve"> Komunikat Komisji do Parlamentu Europejskiego i Rady w sprawie zasad udzielania zamówień publicznych w związku z obecnym kryzysem azylowym, COM(2015) 454.</w:t>
      </w:r>
    </w:p>
  </w:footnote>
  <w:footnote w:id="36">
    <w:p w:rsidR="000F2E63" w:rsidRDefault="0010263F">
      <w:pPr>
        <w:pStyle w:val="Tekstprzypisudolnego"/>
      </w:pPr>
      <w:r>
        <w:rPr>
          <w:rStyle w:val="Odwoanieprzypisudolnego"/>
        </w:rPr>
        <w:footnoteRef/>
      </w:r>
      <w:r>
        <w:t xml:space="preserve"> Europejska prognoza gospodarcza – jesień 2015 r.</w:t>
      </w:r>
    </w:p>
  </w:footnote>
  <w:footnote w:id="37">
    <w:p w:rsidR="000F2E63" w:rsidRDefault="0010263F">
      <w:pPr>
        <w:pStyle w:val="Tekstprzypisudolnego"/>
        <w:rPr>
          <w:rFonts w:ascii="Times New Roman" w:hAnsi="Times New Roman"/>
          <w:lang w:val="en-GB"/>
        </w:rPr>
      </w:pPr>
      <w:r>
        <w:rPr>
          <w:rStyle w:val="Odwoanieprzypisudolnego"/>
          <w:rFonts w:ascii="Times New Roman" w:hAnsi="Times New Roman"/>
        </w:rPr>
        <w:footnoteRef/>
      </w:r>
      <w:r>
        <w:rPr>
          <w:rFonts w:ascii="Times New Roman" w:hAnsi="Times New Roman"/>
          <w:lang w:val="en-GB"/>
        </w:rPr>
        <w:t xml:space="preserve"> Kom</w:t>
      </w:r>
      <w:r>
        <w:rPr>
          <w:rFonts w:ascii="Times New Roman" w:hAnsi="Times New Roman"/>
          <w:lang w:val="en-GB"/>
        </w:rPr>
        <w:t>isja Europejska (2008 r.), „The LIME Assessment Framework (LAF): A methodological tool to compare, in the context of the Lisbon Strategy, the performance of EU Member States in terms of GDP and in terms of twenty policy areas affecting growth”, European Ec</w:t>
      </w:r>
      <w:r>
        <w:rPr>
          <w:rFonts w:ascii="Times New Roman" w:hAnsi="Times New Roman"/>
          <w:lang w:val="en-GB"/>
        </w:rPr>
        <w:t>onomy Occasional Papers, nr 41/2008.</w:t>
      </w:r>
    </w:p>
  </w:footnote>
  <w:footnote w:id="38">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Przeprowadzono zarówno testy normalności rozkładu, jak i testy t-Studenta; ich wynik spowodował odrzucenie jakiejkolwiek hipotezy rozkładu.</w:t>
      </w:r>
    </w:p>
  </w:footnote>
  <w:footnote w:id="39">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Na forum grupy roboczej omawiano różne możliwe punkty odcięcia. Niniejsza p</w:t>
      </w:r>
      <w:r>
        <w:rPr>
          <w:rFonts w:ascii="Times New Roman" w:hAnsi="Times New Roman"/>
        </w:rPr>
        <w:t>ropozycja jest odzwierciedleniem tego procesu.</w:t>
      </w:r>
    </w:p>
  </w:footnote>
  <w:footnote w:id="40">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W przypadku normalności wybrane punkty odcięcia odpowiadają w przybliżeniu 15 %, 30 %, 50 %, 70 % i 85 % skumulowanego rozkładu.</w:t>
      </w:r>
    </w:p>
  </w:footnote>
  <w:footnote w:id="41">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Dzięki temu ostatniemu kryterium wyniki państwa członkowskiego, którego pozi</w:t>
      </w:r>
      <w:r>
        <w:rPr>
          <w:rFonts w:ascii="Times New Roman" w:hAnsi="Times New Roman"/>
        </w:rPr>
        <w:t>om roczny jest niski lub bardzo niski, nie zostaną uznane za pogarszające się, w przypadku gdy zmiana jest znacznie powyżej średniej, lecz zmniejsza się.</w:t>
      </w:r>
    </w:p>
  </w:footnote>
  <w:footnote w:id="42">
    <w:p w:rsidR="000F2E63" w:rsidRDefault="0010263F">
      <w:pPr>
        <w:pStyle w:val="Tekstprzypisudolnego"/>
        <w:rPr>
          <w:rFonts w:ascii="Times New Roman" w:hAnsi="Times New Roman"/>
        </w:rPr>
      </w:pPr>
      <w:r>
        <w:rPr>
          <w:rStyle w:val="Odwoanieprzypisudolnego"/>
          <w:rFonts w:ascii="Times New Roman" w:hAnsi="Times New Roman"/>
        </w:rPr>
        <w:footnoteRef/>
      </w:r>
      <w:r>
        <w:rPr>
          <w:rFonts w:ascii="Times New Roman" w:hAnsi="Times New Roman"/>
        </w:rPr>
        <w:t xml:space="preserve"> http://data.consilium.europa.eu/doc/document/ST-9307-2015-INIT/pl/pdf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63" w:rsidRDefault="000F2E6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18D"/>
    <w:multiLevelType w:val="hybridMultilevel"/>
    <w:tmpl w:val="CDCE1096"/>
    <w:lvl w:ilvl="0" w:tplc="051A2268">
      <w:numFmt w:val="bullet"/>
      <w:lvlText w:val="•"/>
      <w:lvlJc w:val="left"/>
      <w:pPr>
        <w:ind w:left="720" w:hanging="360"/>
      </w:pPr>
      <w:rPr>
        <w:rFonts w:ascii="Times New Roman" w:eastAsia="Calibri" w:hAnsi="Times New Roman" w:cs="Times New Roman" w:hint="default"/>
      </w:rPr>
    </w:lvl>
    <w:lvl w:ilvl="1" w:tplc="4F26E1B2" w:tentative="1">
      <w:start w:val="1"/>
      <w:numFmt w:val="bullet"/>
      <w:lvlText w:val="o"/>
      <w:lvlJc w:val="left"/>
      <w:pPr>
        <w:ind w:left="1440" w:hanging="360"/>
      </w:pPr>
      <w:rPr>
        <w:rFonts w:ascii="Courier New" w:hAnsi="Courier New" w:cs="Courier New" w:hint="default"/>
      </w:rPr>
    </w:lvl>
    <w:lvl w:ilvl="2" w:tplc="01CEAE72" w:tentative="1">
      <w:start w:val="1"/>
      <w:numFmt w:val="bullet"/>
      <w:lvlText w:val=""/>
      <w:lvlJc w:val="left"/>
      <w:pPr>
        <w:ind w:left="2160" w:hanging="360"/>
      </w:pPr>
      <w:rPr>
        <w:rFonts w:ascii="Wingdings" w:hAnsi="Wingdings" w:hint="default"/>
      </w:rPr>
    </w:lvl>
    <w:lvl w:ilvl="3" w:tplc="F39081B0" w:tentative="1">
      <w:start w:val="1"/>
      <w:numFmt w:val="bullet"/>
      <w:lvlText w:val=""/>
      <w:lvlJc w:val="left"/>
      <w:pPr>
        <w:ind w:left="2880" w:hanging="360"/>
      </w:pPr>
      <w:rPr>
        <w:rFonts w:ascii="Symbol" w:hAnsi="Symbol" w:hint="default"/>
      </w:rPr>
    </w:lvl>
    <w:lvl w:ilvl="4" w:tplc="BA2CDB82" w:tentative="1">
      <w:start w:val="1"/>
      <w:numFmt w:val="bullet"/>
      <w:lvlText w:val="o"/>
      <w:lvlJc w:val="left"/>
      <w:pPr>
        <w:ind w:left="3600" w:hanging="360"/>
      </w:pPr>
      <w:rPr>
        <w:rFonts w:ascii="Courier New" w:hAnsi="Courier New" w:cs="Courier New" w:hint="default"/>
      </w:rPr>
    </w:lvl>
    <w:lvl w:ilvl="5" w:tplc="BED456E4" w:tentative="1">
      <w:start w:val="1"/>
      <w:numFmt w:val="bullet"/>
      <w:lvlText w:val=""/>
      <w:lvlJc w:val="left"/>
      <w:pPr>
        <w:ind w:left="4320" w:hanging="360"/>
      </w:pPr>
      <w:rPr>
        <w:rFonts w:ascii="Wingdings" w:hAnsi="Wingdings" w:hint="default"/>
      </w:rPr>
    </w:lvl>
    <w:lvl w:ilvl="6" w:tplc="F4A618EA" w:tentative="1">
      <w:start w:val="1"/>
      <w:numFmt w:val="bullet"/>
      <w:lvlText w:val=""/>
      <w:lvlJc w:val="left"/>
      <w:pPr>
        <w:ind w:left="5040" w:hanging="360"/>
      </w:pPr>
      <w:rPr>
        <w:rFonts w:ascii="Symbol" w:hAnsi="Symbol" w:hint="default"/>
      </w:rPr>
    </w:lvl>
    <w:lvl w:ilvl="7" w:tplc="37F8A582" w:tentative="1">
      <w:start w:val="1"/>
      <w:numFmt w:val="bullet"/>
      <w:lvlText w:val="o"/>
      <w:lvlJc w:val="left"/>
      <w:pPr>
        <w:ind w:left="5760" w:hanging="360"/>
      </w:pPr>
      <w:rPr>
        <w:rFonts w:ascii="Courier New" w:hAnsi="Courier New" w:cs="Courier New" w:hint="default"/>
      </w:rPr>
    </w:lvl>
    <w:lvl w:ilvl="8" w:tplc="D3FA9D10" w:tentative="1">
      <w:start w:val="1"/>
      <w:numFmt w:val="bullet"/>
      <w:lvlText w:val=""/>
      <w:lvlJc w:val="left"/>
      <w:pPr>
        <w:ind w:left="6480" w:hanging="360"/>
      </w:pPr>
      <w:rPr>
        <w:rFonts w:ascii="Wingdings" w:hAnsi="Wingdings" w:hint="default"/>
      </w:rPr>
    </w:lvl>
  </w:abstractNum>
  <w:abstractNum w:abstractNumId="1">
    <w:nsid w:val="16D33FB6"/>
    <w:multiLevelType w:val="hybridMultilevel"/>
    <w:tmpl w:val="F8905928"/>
    <w:lvl w:ilvl="0" w:tplc="D3889774">
      <w:start w:val="1"/>
      <w:numFmt w:val="bullet"/>
      <w:lvlText w:val=""/>
      <w:lvlJc w:val="left"/>
      <w:pPr>
        <w:ind w:left="720" w:hanging="360"/>
      </w:pPr>
      <w:rPr>
        <w:rFonts w:ascii="Symbol" w:hAnsi="Symbol" w:hint="default"/>
      </w:rPr>
    </w:lvl>
    <w:lvl w:ilvl="1" w:tplc="B93A6592" w:tentative="1">
      <w:start w:val="1"/>
      <w:numFmt w:val="bullet"/>
      <w:lvlText w:val="o"/>
      <w:lvlJc w:val="left"/>
      <w:pPr>
        <w:ind w:left="1440" w:hanging="360"/>
      </w:pPr>
      <w:rPr>
        <w:rFonts w:ascii="Courier New" w:hAnsi="Courier New" w:cs="Courier New" w:hint="default"/>
      </w:rPr>
    </w:lvl>
    <w:lvl w:ilvl="2" w:tplc="1486A54C" w:tentative="1">
      <w:start w:val="1"/>
      <w:numFmt w:val="bullet"/>
      <w:lvlText w:val=""/>
      <w:lvlJc w:val="left"/>
      <w:pPr>
        <w:ind w:left="2160" w:hanging="360"/>
      </w:pPr>
      <w:rPr>
        <w:rFonts w:ascii="Wingdings" w:hAnsi="Wingdings" w:hint="default"/>
      </w:rPr>
    </w:lvl>
    <w:lvl w:ilvl="3" w:tplc="EE700888" w:tentative="1">
      <w:start w:val="1"/>
      <w:numFmt w:val="bullet"/>
      <w:lvlText w:val=""/>
      <w:lvlJc w:val="left"/>
      <w:pPr>
        <w:ind w:left="2880" w:hanging="360"/>
      </w:pPr>
      <w:rPr>
        <w:rFonts w:ascii="Symbol" w:hAnsi="Symbol" w:hint="default"/>
      </w:rPr>
    </w:lvl>
    <w:lvl w:ilvl="4" w:tplc="C9149CF8" w:tentative="1">
      <w:start w:val="1"/>
      <w:numFmt w:val="bullet"/>
      <w:lvlText w:val="o"/>
      <w:lvlJc w:val="left"/>
      <w:pPr>
        <w:ind w:left="3600" w:hanging="360"/>
      </w:pPr>
      <w:rPr>
        <w:rFonts w:ascii="Courier New" w:hAnsi="Courier New" w:cs="Courier New" w:hint="default"/>
      </w:rPr>
    </w:lvl>
    <w:lvl w:ilvl="5" w:tplc="7B304C8E" w:tentative="1">
      <w:start w:val="1"/>
      <w:numFmt w:val="bullet"/>
      <w:lvlText w:val=""/>
      <w:lvlJc w:val="left"/>
      <w:pPr>
        <w:ind w:left="4320" w:hanging="360"/>
      </w:pPr>
      <w:rPr>
        <w:rFonts w:ascii="Wingdings" w:hAnsi="Wingdings" w:hint="default"/>
      </w:rPr>
    </w:lvl>
    <w:lvl w:ilvl="6" w:tplc="4E06C134" w:tentative="1">
      <w:start w:val="1"/>
      <w:numFmt w:val="bullet"/>
      <w:lvlText w:val=""/>
      <w:lvlJc w:val="left"/>
      <w:pPr>
        <w:ind w:left="5040" w:hanging="360"/>
      </w:pPr>
      <w:rPr>
        <w:rFonts w:ascii="Symbol" w:hAnsi="Symbol" w:hint="default"/>
      </w:rPr>
    </w:lvl>
    <w:lvl w:ilvl="7" w:tplc="9C2CAB8A" w:tentative="1">
      <w:start w:val="1"/>
      <w:numFmt w:val="bullet"/>
      <w:lvlText w:val="o"/>
      <w:lvlJc w:val="left"/>
      <w:pPr>
        <w:ind w:left="5760" w:hanging="360"/>
      </w:pPr>
      <w:rPr>
        <w:rFonts w:ascii="Courier New" w:hAnsi="Courier New" w:cs="Courier New" w:hint="default"/>
      </w:rPr>
    </w:lvl>
    <w:lvl w:ilvl="8" w:tplc="4C1C54AE" w:tentative="1">
      <w:start w:val="1"/>
      <w:numFmt w:val="bullet"/>
      <w:lvlText w:val=""/>
      <w:lvlJc w:val="left"/>
      <w:pPr>
        <w:ind w:left="6480" w:hanging="360"/>
      </w:pPr>
      <w:rPr>
        <w:rFonts w:ascii="Wingdings" w:hAnsi="Wingdings" w:hint="default"/>
      </w:rPr>
    </w:lvl>
  </w:abstractNum>
  <w:abstractNum w:abstractNumId="2">
    <w:nsid w:val="23EB14A3"/>
    <w:multiLevelType w:val="hybridMultilevel"/>
    <w:tmpl w:val="A098652E"/>
    <w:lvl w:ilvl="0" w:tplc="84FC5040">
      <w:start w:val="1"/>
      <w:numFmt w:val="decimal"/>
      <w:lvlText w:val="%1."/>
      <w:lvlJc w:val="left"/>
      <w:pPr>
        <w:ind w:left="720" w:hanging="360"/>
      </w:pPr>
      <w:rPr>
        <w:rFonts w:ascii="Calibri" w:hAnsi="Calibri" w:cs="TimesNewRoman" w:hint="default"/>
        <w:i w:val="0"/>
      </w:rPr>
    </w:lvl>
    <w:lvl w:ilvl="1" w:tplc="36B2B5C8" w:tentative="1">
      <w:start w:val="1"/>
      <w:numFmt w:val="lowerLetter"/>
      <w:lvlText w:val="%2."/>
      <w:lvlJc w:val="left"/>
      <w:pPr>
        <w:ind w:left="1440" w:hanging="360"/>
      </w:pPr>
    </w:lvl>
    <w:lvl w:ilvl="2" w:tplc="37B22BA8" w:tentative="1">
      <w:start w:val="1"/>
      <w:numFmt w:val="lowerRoman"/>
      <w:lvlText w:val="%3."/>
      <w:lvlJc w:val="right"/>
      <w:pPr>
        <w:ind w:left="2160" w:hanging="180"/>
      </w:pPr>
    </w:lvl>
    <w:lvl w:ilvl="3" w:tplc="33ACB94A" w:tentative="1">
      <w:start w:val="1"/>
      <w:numFmt w:val="decimal"/>
      <w:lvlText w:val="%4."/>
      <w:lvlJc w:val="left"/>
      <w:pPr>
        <w:ind w:left="2880" w:hanging="360"/>
      </w:pPr>
    </w:lvl>
    <w:lvl w:ilvl="4" w:tplc="EAF45952" w:tentative="1">
      <w:start w:val="1"/>
      <w:numFmt w:val="lowerLetter"/>
      <w:lvlText w:val="%5."/>
      <w:lvlJc w:val="left"/>
      <w:pPr>
        <w:ind w:left="3600" w:hanging="360"/>
      </w:pPr>
    </w:lvl>
    <w:lvl w:ilvl="5" w:tplc="2C26F782" w:tentative="1">
      <w:start w:val="1"/>
      <w:numFmt w:val="lowerRoman"/>
      <w:lvlText w:val="%6."/>
      <w:lvlJc w:val="right"/>
      <w:pPr>
        <w:ind w:left="4320" w:hanging="180"/>
      </w:pPr>
    </w:lvl>
    <w:lvl w:ilvl="6" w:tplc="E1B68BAE" w:tentative="1">
      <w:start w:val="1"/>
      <w:numFmt w:val="decimal"/>
      <w:lvlText w:val="%7."/>
      <w:lvlJc w:val="left"/>
      <w:pPr>
        <w:ind w:left="5040" w:hanging="360"/>
      </w:pPr>
    </w:lvl>
    <w:lvl w:ilvl="7" w:tplc="35E61658" w:tentative="1">
      <w:start w:val="1"/>
      <w:numFmt w:val="lowerLetter"/>
      <w:lvlText w:val="%8."/>
      <w:lvlJc w:val="left"/>
      <w:pPr>
        <w:ind w:left="5760" w:hanging="360"/>
      </w:pPr>
    </w:lvl>
    <w:lvl w:ilvl="8" w:tplc="ABB2670E" w:tentative="1">
      <w:start w:val="1"/>
      <w:numFmt w:val="lowerRoman"/>
      <w:lvlText w:val="%9."/>
      <w:lvlJc w:val="right"/>
      <w:pPr>
        <w:ind w:left="6480" w:hanging="180"/>
      </w:pPr>
    </w:lvl>
  </w:abstractNum>
  <w:abstractNum w:abstractNumId="3">
    <w:nsid w:val="7B33148B"/>
    <w:multiLevelType w:val="hybridMultilevel"/>
    <w:tmpl w:val="FC3AE95A"/>
    <w:lvl w:ilvl="0" w:tplc="156628B0">
      <w:start w:val="1"/>
      <w:numFmt w:val="decimal"/>
      <w:lvlText w:val="%1."/>
      <w:lvlJc w:val="left"/>
      <w:pPr>
        <w:ind w:left="720" w:hanging="360"/>
      </w:pPr>
      <w:rPr>
        <w:rFonts w:ascii="Calibri" w:hAnsi="Calibri" w:cs="TimesNewRoman" w:hint="default"/>
        <w:i w:val="0"/>
      </w:rPr>
    </w:lvl>
    <w:lvl w:ilvl="1" w:tplc="61B8509E" w:tentative="1">
      <w:start w:val="1"/>
      <w:numFmt w:val="lowerLetter"/>
      <w:lvlText w:val="%2."/>
      <w:lvlJc w:val="left"/>
      <w:pPr>
        <w:ind w:left="1440" w:hanging="360"/>
      </w:pPr>
    </w:lvl>
    <w:lvl w:ilvl="2" w:tplc="290E7034" w:tentative="1">
      <w:start w:val="1"/>
      <w:numFmt w:val="lowerRoman"/>
      <w:lvlText w:val="%3."/>
      <w:lvlJc w:val="right"/>
      <w:pPr>
        <w:ind w:left="2160" w:hanging="180"/>
      </w:pPr>
    </w:lvl>
    <w:lvl w:ilvl="3" w:tplc="F44A72AA" w:tentative="1">
      <w:start w:val="1"/>
      <w:numFmt w:val="decimal"/>
      <w:lvlText w:val="%4."/>
      <w:lvlJc w:val="left"/>
      <w:pPr>
        <w:ind w:left="2880" w:hanging="360"/>
      </w:pPr>
    </w:lvl>
    <w:lvl w:ilvl="4" w:tplc="42E0D61A" w:tentative="1">
      <w:start w:val="1"/>
      <w:numFmt w:val="lowerLetter"/>
      <w:lvlText w:val="%5."/>
      <w:lvlJc w:val="left"/>
      <w:pPr>
        <w:ind w:left="3600" w:hanging="360"/>
      </w:pPr>
    </w:lvl>
    <w:lvl w:ilvl="5" w:tplc="3390A4AA" w:tentative="1">
      <w:start w:val="1"/>
      <w:numFmt w:val="lowerRoman"/>
      <w:lvlText w:val="%6."/>
      <w:lvlJc w:val="right"/>
      <w:pPr>
        <w:ind w:left="4320" w:hanging="180"/>
      </w:pPr>
    </w:lvl>
    <w:lvl w:ilvl="6" w:tplc="961E9736" w:tentative="1">
      <w:start w:val="1"/>
      <w:numFmt w:val="decimal"/>
      <w:lvlText w:val="%7."/>
      <w:lvlJc w:val="left"/>
      <w:pPr>
        <w:ind w:left="5040" w:hanging="360"/>
      </w:pPr>
    </w:lvl>
    <w:lvl w:ilvl="7" w:tplc="60A28450" w:tentative="1">
      <w:start w:val="1"/>
      <w:numFmt w:val="lowerLetter"/>
      <w:lvlText w:val="%8."/>
      <w:lvlJc w:val="left"/>
      <w:pPr>
        <w:ind w:left="5760" w:hanging="360"/>
      </w:pPr>
    </w:lvl>
    <w:lvl w:ilvl="8" w:tplc="6C8225FC"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D0BCCCE719AD46068E332E69473CF373"/>
    <w:docVar w:name="LW_CROSSREFERENCE" w:val="&lt;UNUSED&gt;"/>
    <w:docVar w:name="LW_DocType" w:val="NORMAL"/>
    <w:docVar w:name="LW_EMISSION" w:val="26.11.2015"/>
    <w:docVar w:name="LW_EMISSION_ISODATE" w:val="2015-11-26"/>
    <w:docVar w:name="LW_EMISSION_LOCATION" w:val="BRX"/>
    <w:docVar w:name="LW_EMISSION_PREFIX" w:val="Bruksela, dnia "/>
    <w:docVar w:name="LW_EMISSION_SUFFIX" w:val=" r."/>
    <w:docVar w:name="LW_ID_DOCTYPE_NONLW" w:val="CP-035"/>
    <w:docVar w:name="LW_LANGUE" w:val="PL"/>
    <w:docVar w:name="LW_MARKING" w:val="&lt;UNUSED&gt;"/>
    <w:docVar w:name="LW_NOM.INST" w:val="KOMISJA EUROPEJSKA"/>
    <w:docVar w:name="LW_NOM.INST_JOINTDOC" w:val="&lt;EMPTY&gt;"/>
    <w:docVar w:name="LW_PART_NBR" w:val="1"/>
    <w:docVar w:name="LW_PART_NBR_TOTAL" w:val="1"/>
    <w:docVar w:name="LW_REF.II.NEW.CP" w:val="&lt;UNUSED&gt;"/>
    <w:docVar w:name="LW_REF.II.NEW.CP_NUMBER" w:val="&lt;UNUSED&gt;"/>
    <w:docVar w:name="LW_REF.II.NEW.CP_YEAR" w:val="2015"/>
    <w:docVar w:name="LW_REF.INST.NEW" w:val="COM"/>
    <w:docVar w:name="LW_REF.INST.NEW_ADOPTED" w:val="final"/>
    <w:docVar w:name="LW_REF.INST.NEW_TEXT" w:val="(2015) 700"/>
    <w:docVar w:name="LW_REF.INTERNE" w:val="&lt;UNUSED&gt;"/>
    <w:docVar w:name="LW_SOUS.TITRE.OBJ.CP" w:val="&lt;UNUSED&gt;"/>
    <w:docVar w:name="LW_SUPERTITRE" w:val="&lt;UNUSED&gt;"/>
    <w:docVar w:name="LW_TITRE.OBJ.CP" w:val="towarzysz\u261?cego komunikatowi Komisji _x000b_w sprawie rocznej analizy wzrostu gospodarczego na 2016 r."/>
    <w:docVar w:name="LW_TYPE.DOC.CP" w:val="PROJEKT WSPÓLNEGO SPRAWOZDANIA O ZATRUDNIENIU_x000b_ KOMISJI I RADY _x000b_"/>
  </w:docVars>
  <w:rsids>
    <w:rsidRoot w:val="000F2E63"/>
    <w:rsid w:val="000F2E63"/>
    <w:rsid w:val="00102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val="pl-PL" w:eastAsia="pl-PL"/>
    </w:rPr>
  </w:style>
  <w:style w:type="paragraph" w:styleId="Nagwek2">
    <w:name w:val="heading 2"/>
    <w:basedOn w:val="Normalny"/>
    <w:next w:val="Normalny"/>
    <w:link w:val="Nagwek2Znak"/>
    <w:uiPriority w:val="9"/>
    <w:unhideWhenUsed/>
    <w:qFormat/>
    <w:pPr>
      <w:keepNext/>
      <w:keepLines/>
      <w:spacing w:before="200" w:after="0"/>
      <w:outlineLvl w:val="1"/>
    </w:pPr>
    <w:rPr>
      <w:rFonts w:ascii="Cambria" w:eastAsia="Times New Roman" w:hAnsi="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link w:val="Tekstdymka"/>
    <w:uiPriority w:val="99"/>
    <w:semiHidden/>
    <w:rPr>
      <w:rFonts w:ascii="Tahoma" w:hAnsi="Tahoma" w:cs="Tahoma"/>
      <w:sz w:val="16"/>
      <w:szCs w:val="16"/>
      <w:lang w:val="pl-PL" w:eastAsia="pl-PL"/>
    </w:r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tabs>
        <w:tab w:val="center" w:pos="4536"/>
        <w:tab w:val="right" w:pos="9072"/>
      </w:tabs>
      <w:spacing w:after="0" w:line="240" w:lineRule="auto"/>
    </w:pPr>
  </w:style>
  <w:style w:type="character" w:customStyle="1" w:styleId="StopkaZnak">
    <w:name w:val="Stopka Znak"/>
    <w:basedOn w:val="Domylnaczcionkaakapitu"/>
    <w:link w:val="Stopka"/>
    <w:uiPriority w:val="99"/>
  </w:style>
  <w:style w:type="paragraph" w:styleId="Legenda">
    <w:name w:val="caption"/>
    <w:basedOn w:val="Normalny"/>
    <w:next w:val="Normalny"/>
    <w:qFormat/>
    <w:pPr>
      <w:keepNext/>
      <w:pBdr>
        <w:top w:val="nil"/>
        <w:left w:val="nil"/>
        <w:bottom w:val="nil"/>
        <w:right w:val="nil"/>
        <w:between w:val="nil"/>
        <w:bar w:val="nil"/>
      </w:pBdr>
      <w:spacing w:before="120" w:after="0" w:line="240" w:lineRule="auto"/>
    </w:pPr>
    <w:rPr>
      <w:rFonts w:ascii="Times New Roman" w:eastAsia="Arial Unicode MS" w:hAnsi="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line="276" w:lineRule="auto"/>
      <w:jc w:val="both"/>
    </w:pPr>
    <w:rPr>
      <w:rFonts w:eastAsia="Arial Unicode MS"/>
      <w:color w:val="000000"/>
      <w:sz w:val="18"/>
      <w:szCs w:val="22"/>
      <w:bdr w:val="nil"/>
      <w:lang w:val="pl-PL" w:eastAsia="pl-PL"/>
    </w:rPr>
  </w:style>
  <w:style w:type="paragraph" w:customStyle="1" w:styleId="GraphFootnote">
    <w:name w:val="Graph Footnote"/>
    <w:basedOn w:val="Normalny"/>
    <w:pPr>
      <w:pBdr>
        <w:top w:val="single" w:sz="2" w:space="2" w:color="auto"/>
        <w:bottom w:val="single" w:sz="2" w:space="2" w:color="auto"/>
      </w:pBdr>
      <w:spacing w:after="0" w:line="240" w:lineRule="auto"/>
      <w:ind w:right="79"/>
    </w:pPr>
    <w:rPr>
      <w:rFonts w:ascii="Century Gothic" w:eastAsia="Times New Roman" w:hAnsi="Century Gothic"/>
      <w:color w:val="333333"/>
      <w:sz w:val="14"/>
      <w:szCs w:val="24"/>
    </w:rPr>
  </w:style>
  <w:style w:type="paragraph" w:styleId="Tekstprzypisudolnego">
    <w:name w:val="footnote text"/>
    <w:aliases w:val="Footnote Text Char1,Footnote Text Char1 Char,Footnote Text Char Char Char,Fußnote,Schriftart: 9 pt,Schriftart: 8 pt,Fußnotentext Char,Fußnote Char,Schriftart: 9 pt Char,Schriftart: 10 pt Char,Schriftart: 8 pt Char,Char Ch"/>
    <w:basedOn w:val="Normalny"/>
    <w:link w:val="TekstprzypisudolnegoZnak"/>
    <w:uiPriority w:val="99"/>
    <w:unhideWhenUsed/>
    <w:qFormat/>
    <w:pPr>
      <w:spacing w:after="0" w:line="240" w:lineRule="auto"/>
    </w:pPr>
    <w:rPr>
      <w:sz w:val="20"/>
      <w:szCs w:val="20"/>
    </w:rPr>
  </w:style>
  <w:style w:type="character" w:customStyle="1" w:styleId="TekstprzypisudolnegoZnak">
    <w:name w:val="Tekst przypisu dolnego Znak"/>
    <w:aliases w:val="Footnote Text Char1 Znak,Footnote Text Char1 Char Znak,Footnote Text Char Char Char Znak,Fußnote Znak,Schriftart: 9 pt Znak,Schriftart: 8 pt Znak,Fußnotentext Char Znak,Fußnote Char Znak,Schriftart: 9 pt Char Znak"/>
    <w:link w:val="Tekstprzypisudolnego"/>
    <w:uiPriority w:val="99"/>
    <w:rPr>
      <w:sz w:val="20"/>
      <w:szCs w:val="20"/>
      <w:lang w:val="pl-PL" w:eastAsia="pl-PL"/>
    </w:rPr>
  </w:style>
  <w:style w:type="character" w:styleId="Odwoanieprzypisudolnego">
    <w:name w:val="footnote reference"/>
    <w:aliases w:val="Footnote symbol,Footnote,Footnote number,fr,o,Footnotemark,FR,Footnotemark1,Footnotemark2,FR1,Footnotemark3,FR2,Footnotemark4,FR3,Footnotemark5,FR4,Footnotemark6,Footnotemark7,Footnotemark8,FR5,Footnotemark11,Footnotemark21"/>
    <w:link w:val="BVIfnr"/>
    <w:uiPriority w:val="99"/>
    <w:unhideWhenUsed/>
    <w:qFormat/>
    <w:rPr>
      <w:vertAlign w:val="superscript"/>
      <w:lang w:val="pl-PL" w:eastAsia="pl-PL"/>
    </w:rPr>
  </w:style>
  <w:style w:type="paragraph" w:styleId="Akapitzlist">
    <w:name w:val="List Paragraph"/>
    <w:basedOn w:val="Normalny"/>
    <w:uiPriority w:val="34"/>
    <w:qFormat/>
    <w:pPr>
      <w:ind w:left="720"/>
      <w:contextualSpacing/>
    </w:p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ny"/>
    <w:link w:val="Odwoanieprzypisudolnego"/>
    <w:uiPriority w:val="99"/>
    <w:pPr>
      <w:spacing w:after="160" w:line="240" w:lineRule="exact"/>
    </w:pPr>
    <w:rPr>
      <w:vertAlign w:val="superscript"/>
    </w:rPr>
  </w:style>
  <w:style w:type="character" w:styleId="Hipercze">
    <w:name w:val="Hyperlink"/>
    <w:uiPriority w:val="99"/>
    <w:unhideWhenUsed/>
    <w:rPr>
      <w:color w:val="0000FF"/>
      <w:u w:val="single"/>
      <w:lang w:val="pl-PL" w:eastAsia="pl-PL"/>
    </w:rPr>
  </w:style>
  <w:style w:type="character" w:customStyle="1" w:styleId="Nagwek2Znak">
    <w:name w:val="Nagłówek 2 Znak"/>
    <w:link w:val="Nagwek2"/>
    <w:uiPriority w:val="9"/>
    <w:rPr>
      <w:rFonts w:ascii="Cambria" w:eastAsia="Times New Roman" w:hAnsi="Cambria" w:cs="Times New Roman"/>
      <w:b/>
      <w:bCs/>
      <w:color w:val="4F81BD"/>
      <w:sz w:val="26"/>
      <w:szCs w:val="26"/>
      <w:lang w:val="pl-PL" w:eastAsia="pl-PL"/>
    </w:rPr>
  </w:style>
  <w:style w:type="table" w:styleId="Jasnecieniowanieakcent1">
    <w:name w:val="Light Shading Accent 1"/>
    <w:basedOn w:val="Standardowy"/>
    <w:uiPriority w:val="60"/>
    <w:rPr>
      <w:color w:val="365F91"/>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Odwoaniedokomentarza">
    <w:name w:val="annotation reference"/>
    <w:uiPriority w:val="99"/>
    <w:semiHidden/>
    <w:unhideWhenUsed/>
    <w:rPr>
      <w:sz w:val="16"/>
      <w:szCs w:val="16"/>
      <w:lang w:val="pl-PL" w:eastAsia="pl-PL"/>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link w:val="Tekstkomentarza"/>
    <w:uiPriority w:val="99"/>
    <w:semiHidden/>
    <w:rPr>
      <w:sz w:val="20"/>
      <w:szCs w:val="20"/>
      <w:lang w:val="pl-PL" w:eastAsia="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link w:val="Tematkomentarza"/>
    <w:uiPriority w:val="99"/>
    <w:semiHidden/>
    <w:rPr>
      <w:b/>
      <w:bCs/>
      <w:sz w:val="20"/>
      <w:szCs w:val="20"/>
      <w:lang w:val="pl-PL" w:eastAsia="pl-PL"/>
    </w:rPr>
  </w:style>
  <w:style w:type="paragraph" w:customStyle="1" w:styleId="ESSQRFootnotetext">
    <w:name w:val="ESSQR Footnote text"/>
    <w:basedOn w:val="Normalny"/>
    <w:autoRedefine/>
    <w:qFormat/>
    <w:pPr>
      <w:keepLines/>
      <w:spacing w:after="0" w:line="240" w:lineRule="auto"/>
      <w:jc w:val="both"/>
    </w:pPr>
    <w:rPr>
      <w:rFonts w:ascii="Verdana" w:hAnsi="Verdana"/>
      <w:color w:val="262626"/>
      <w:sz w:val="14"/>
    </w:rPr>
  </w:style>
  <w:style w:type="character" w:styleId="Pogrubienie">
    <w:name w:val="Strong"/>
    <w:uiPriority w:val="22"/>
    <w:qFormat/>
    <w:rPr>
      <w:b/>
      <w:bCs/>
      <w:lang w:val="pl-PL" w:eastAsia="pl-PL"/>
    </w:rPr>
  </w:style>
  <w:style w:type="character" w:customStyle="1" w:styleId="Marker">
    <w:name w:val="Marker"/>
    <w:rPr>
      <w:color w:val="0000FF"/>
      <w:lang w:val="pl-PL" w:eastAsia="pl-PL"/>
    </w:rPr>
  </w:style>
  <w:style w:type="paragraph" w:customStyle="1" w:styleId="Pagedecouverture">
    <w:name w:val="Page de couverture"/>
    <w:basedOn w:val="Normalny"/>
    <w:next w:val="Normalny"/>
    <w:pPr>
      <w:spacing w:after="0" w:line="240" w:lineRule="auto"/>
      <w:jc w:val="both"/>
    </w:pPr>
    <w:rPr>
      <w:rFonts w:ascii="Times New Roman" w:hAnsi="Times New Roman"/>
      <w:sz w:val="24"/>
    </w:rPr>
  </w:style>
  <w:style w:type="paragraph" w:customStyle="1" w:styleId="FooterCoverPage">
    <w:name w:val="Footer Cover Page"/>
    <w:basedOn w:val="Normalny"/>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lang w:val="pl-PL" w:eastAsia="pl-PL"/>
    </w:rPr>
  </w:style>
  <w:style w:type="paragraph" w:customStyle="1" w:styleId="HeaderCoverPage">
    <w:name w:val="Header Cover Page"/>
    <w:basedOn w:val="Normalny"/>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val="pl-PL" w:eastAsia="pl-PL"/>
    </w:rPr>
  </w:style>
  <w:style w:type="paragraph" w:styleId="Nagwek2">
    <w:name w:val="heading 2"/>
    <w:basedOn w:val="Normalny"/>
    <w:next w:val="Normalny"/>
    <w:link w:val="Nagwek2Znak"/>
    <w:uiPriority w:val="9"/>
    <w:unhideWhenUsed/>
    <w:qFormat/>
    <w:pPr>
      <w:keepNext/>
      <w:keepLines/>
      <w:spacing w:before="200" w:after="0"/>
      <w:outlineLvl w:val="1"/>
    </w:pPr>
    <w:rPr>
      <w:rFonts w:ascii="Cambria" w:eastAsia="Times New Roman" w:hAnsi="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link w:val="Tekstdymka"/>
    <w:uiPriority w:val="99"/>
    <w:semiHidden/>
    <w:rPr>
      <w:rFonts w:ascii="Tahoma" w:hAnsi="Tahoma" w:cs="Tahoma"/>
      <w:sz w:val="16"/>
      <w:szCs w:val="16"/>
      <w:lang w:val="pl-PL" w:eastAsia="pl-PL"/>
    </w:r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tabs>
        <w:tab w:val="center" w:pos="4536"/>
        <w:tab w:val="right" w:pos="9072"/>
      </w:tabs>
      <w:spacing w:after="0" w:line="240" w:lineRule="auto"/>
    </w:pPr>
  </w:style>
  <w:style w:type="character" w:customStyle="1" w:styleId="StopkaZnak">
    <w:name w:val="Stopka Znak"/>
    <w:basedOn w:val="Domylnaczcionkaakapitu"/>
    <w:link w:val="Stopka"/>
    <w:uiPriority w:val="99"/>
  </w:style>
  <w:style w:type="paragraph" w:styleId="Legenda">
    <w:name w:val="caption"/>
    <w:basedOn w:val="Normalny"/>
    <w:next w:val="Normalny"/>
    <w:qFormat/>
    <w:pPr>
      <w:keepNext/>
      <w:pBdr>
        <w:top w:val="nil"/>
        <w:left w:val="nil"/>
        <w:bottom w:val="nil"/>
        <w:right w:val="nil"/>
        <w:between w:val="nil"/>
        <w:bar w:val="nil"/>
      </w:pBdr>
      <w:spacing w:before="120" w:after="0" w:line="240" w:lineRule="auto"/>
    </w:pPr>
    <w:rPr>
      <w:rFonts w:ascii="Times New Roman" w:eastAsia="Arial Unicode MS" w:hAnsi="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line="276" w:lineRule="auto"/>
      <w:jc w:val="both"/>
    </w:pPr>
    <w:rPr>
      <w:rFonts w:eastAsia="Arial Unicode MS"/>
      <w:color w:val="000000"/>
      <w:sz w:val="18"/>
      <w:szCs w:val="22"/>
      <w:bdr w:val="nil"/>
      <w:lang w:val="pl-PL" w:eastAsia="pl-PL"/>
    </w:rPr>
  </w:style>
  <w:style w:type="paragraph" w:customStyle="1" w:styleId="GraphFootnote">
    <w:name w:val="Graph Footnote"/>
    <w:basedOn w:val="Normalny"/>
    <w:pPr>
      <w:pBdr>
        <w:top w:val="single" w:sz="2" w:space="2" w:color="auto"/>
        <w:bottom w:val="single" w:sz="2" w:space="2" w:color="auto"/>
      </w:pBdr>
      <w:spacing w:after="0" w:line="240" w:lineRule="auto"/>
      <w:ind w:right="79"/>
    </w:pPr>
    <w:rPr>
      <w:rFonts w:ascii="Century Gothic" w:eastAsia="Times New Roman" w:hAnsi="Century Gothic"/>
      <w:color w:val="333333"/>
      <w:sz w:val="14"/>
      <w:szCs w:val="24"/>
    </w:rPr>
  </w:style>
  <w:style w:type="paragraph" w:styleId="Tekstprzypisudolnego">
    <w:name w:val="footnote text"/>
    <w:aliases w:val="Footnote Text Char1,Footnote Text Char1 Char,Footnote Text Char Char Char,Fußnote,Schriftart: 9 pt,Schriftart: 8 pt,Fußnotentext Char,Fußnote Char,Schriftart: 9 pt Char,Schriftart: 10 pt Char,Schriftart: 8 pt Char,Char Ch"/>
    <w:basedOn w:val="Normalny"/>
    <w:link w:val="TekstprzypisudolnegoZnak"/>
    <w:uiPriority w:val="99"/>
    <w:unhideWhenUsed/>
    <w:qFormat/>
    <w:pPr>
      <w:spacing w:after="0" w:line="240" w:lineRule="auto"/>
    </w:pPr>
    <w:rPr>
      <w:sz w:val="20"/>
      <w:szCs w:val="20"/>
    </w:rPr>
  </w:style>
  <w:style w:type="character" w:customStyle="1" w:styleId="TekstprzypisudolnegoZnak">
    <w:name w:val="Tekst przypisu dolnego Znak"/>
    <w:aliases w:val="Footnote Text Char1 Znak,Footnote Text Char1 Char Znak,Footnote Text Char Char Char Znak,Fußnote Znak,Schriftart: 9 pt Znak,Schriftart: 8 pt Znak,Fußnotentext Char Znak,Fußnote Char Znak,Schriftart: 9 pt Char Znak"/>
    <w:link w:val="Tekstprzypisudolnego"/>
    <w:uiPriority w:val="99"/>
    <w:rPr>
      <w:sz w:val="20"/>
      <w:szCs w:val="20"/>
      <w:lang w:val="pl-PL" w:eastAsia="pl-PL"/>
    </w:rPr>
  </w:style>
  <w:style w:type="character" w:styleId="Odwoanieprzypisudolnego">
    <w:name w:val="footnote reference"/>
    <w:aliases w:val="Footnote symbol,Footnote,Footnote number,fr,o,Footnotemark,FR,Footnotemark1,Footnotemark2,FR1,Footnotemark3,FR2,Footnotemark4,FR3,Footnotemark5,FR4,Footnotemark6,Footnotemark7,Footnotemark8,FR5,Footnotemark11,Footnotemark21"/>
    <w:link w:val="BVIfnr"/>
    <w:uiPriority w:val="99"/>
    <w:unhideWhenUsed/>
    <w:qFormat/>
    <w:rPr>
      <w:vertAlign w:val="superscript"/>
      <w:lang w:val="pl-PL" w:eastAsia="pl-PL"/>
    </w:rPr>
  </w:style>
  <w:style w:type="paragraph" w:styleId="Akapitzlist">
    <w:name w:val="List Paragraph"/>
    <w:basedOn w:val="Normalny"/>
    <w:uiPriority w:val="34"/>
    <w:qFormat/>
    <w:pPr>
      <w:ind w:left="720"/>
      <w:contextualSpacing/>
    </w:p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ny"/>
    <w:link w:val="Odwoanieprzypisudolnego"/>
    <w:uiPriority w:val="99"/>
    <w:pPr>
      <w:spacing w:after="160" w:line="240" w:lineRule="exact"/>
    </w:pPr>
    <w:rPr>
      <w:vertAlign w:val="superscript"/>
    </w:rPr>
  </w:style>
  <w:style w:type="character" w:styleId="Hipercze">
    <w:name w:val="Hyperlink"/>
    <w:uiPriority w:val="99"/>
    <w:unhideWhenUsed/>
    <w:rPr>
      <w:color w:val="0000FF"/>
      <w:u w:val="single"/>
      <w:lang w:val="pl-PL" w:eastAsia="pl-PL"/>
    </w:rPr>
  </w:style>
  <w:style w:type="character" w:customStyle="1" w:styleId="Nagwek2Znak">
    <w:name w:val="Nagłówek 2 Znak"/>
    <w:link w:val="Nagwek2"/>
    <w:uiPriority w:val="9"/>
    <w:rPr>
      <w:rFonts w:ascii="Cambria" w:eastAsia="Times New Roman" w:hAnsi="Cambria" w:cs="Times New Roman"/>
      <w:b/>
      <w:bCs/>
      <w:color w:val="4F81BD"/>
      <w:sz w:val="26"/>
      <w:szCs w:val="26"/>
      <w:lang w:val="pl-PL" w:eastAsia="pl-PL"/>
    </w:rPr>
  </w:style>
  <w:style w:type="table" w:styleId="Jasnecieniowanieakcent1">
    <w:name w:val="Light Shading Accent 1"/>
    <w:basedOn w:val="Standardowy"/>
    <w:uiPriority w:val="60"/>
    <w:rPr>
      <w:color w:val="365F91"/>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Odwoaniedokomentarza">
    <w:name w:val="annotation reference"/>
    <w:uiPriority w:val="99"/>
    <w:semiHidden/>
    <w:unhideWhenUsed/>
    <w:rPr>
      <w:sz w:val="16"/>
      <w:szCs w:val="16"/>
      <w:lang w:val="pl-PL" w:eastAsia="pl-PL"/>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link w:val="Tekstkomentarza"/>
    <w:uiPriority w:val="99"/>
    <w:semiHidden/>
    <w:rPr>
      <w:sz w:val="20"/>
      <w:szCs w:val="20"/>
      <w:lang w:val="pl-PL" w:eastAsia="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link w:val="Tematkomentarza"/>
    <w:uiPriority w:val="99"/>
    <w:semiHidden/>
    <w:rPr>
      <w:b/>
      <w:bCs/>
      <w:sz w:val="20"/>
      <w:szCs w:val="20"/>
      <w:lang w:val="pl-PL" w:eastAsia="pl-PL"/>
    </w:rPr>
  </w:style>
  <w:style w:type="paragraph" w:customStyle="1" w:styleId="ESSQRFootnotetext">
    <w:name w:val="ESSQR Footnote text"/>
    <w:basedOn w:val="Normalny"/>
    <w:autoRedefine/>
    <w:qFormat/>
    <w:pPr>
      <w:keepLines/>
      <w:spacing w:after="0" w:line="240" w:lineRule="auto"/>
      <w:jc w:val="both"/>
    </w:pPr>
    <w:rPr>
      <w:rFonts w:ascii="Verdana" w:hAnsi="Verdana"/>
      <w:color w:val="262626"/>
      <w:sz w:val="14"/>
    </w:rPr>
  </w:style>
  <w:style w:type="character" w:styleId="Pogrubienie">
    <w:name w:val="Strong"/>
    <w:uiPriority w:val="22"/>
    <w:qFormat/>
    <w:rPr>
      <w:b/>
      <w:bCs/>
      <w:lang w:val="pl-PL" w:eastAsia="pl-PL"/>
    </w:rPr>
  </w:style>
  <w:style w:type="character" w:customStyle="1" w:styleId="Marker">
    <w:name w:val="Marker"/>
    <w:rPr>
      <w:color w:val="0000FF"/>
      <w:lang w:val="pl-PL" w:eastAsia="pl-PL"/>
    </w:rPr>
  </w:style>
  <w:style w:type="paragraph" w:customStyle="1" w:styleId="Pagedecouverture">
    <w:name w:val="Page de couverture"/>
    <w:basedOn w:val="Normalny"/>
    <w:next w:val="Normalny"/>
    <w:pPr>
      <w:spacing w:after="0" w:line="240" w:lineRule="auto"/>
      <w:jc w:val="both"/>
    </w:pPr>
    <w:rPr>
      <w:rFonts w:ascii="Times New Roman" w:hAnsi="Times New Roman"/>
      <w:sz w:val="24"/>
    </w:rPr>
  </w:style>
  <w:style w:type="paragraph" w:customStyle="1" w:styleId="FooterCoverPage">
    <w:name w:val="Footer Cover Page"/>
    <w:basedOn w:val="Normalny"/>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lang w:val="pl-PL" w:eastAsia="pl-PL"/>
    </w:rPr>
  </w:style>
  <w:style w:type="paragraph" w:customStyle="1" w:styleId="HeaderCoverPage">
    <w:name w:val="Header Cover Page"/>
    <w:basedOn w:val="Normalny"/>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oter" Target="footer4.xml"/><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eader" Target="header5.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image" Target="media/image33.emf"/><Relationship Id="rId58"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29.emf"/><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header" Target="header6.xml"/><Relationship Id="rId52" Type="http://schemas.openxmlformats.org/officeDocument/2006/relationships/image" Target="media/image3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5.xml"/><Relationship Id="rId48" Type="http://schemas.openxmlformats.org/officeDocument/2006/relationships/image" Target="media/image28.emf"/><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6.emf"/><Relationship Id="rId59"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stat/statistics-explained/index.php/Glossary:Material_deprivation" TargetMode="External"/><Relationship Id="rId2" Type="http://schemas.openxmlformats.org/officeDocument/2006/relationships/hyperlink" Target="https://ec.europa.eu/jrc/sites/default/files/lb-na-26035-enn.pdf" TargetMode="External"/><Relationship Id="rId1" Type="http://schemas.openxmlformats.org/officeDocument/2006/relationships/hyperlink" Target="http://ec.europa.eu/priorities/economic-monetary-union/docs/5-presidents-report_pl.pdf" TargetMode="External"/><Relationship Id="rId6" Type="http://schemas.openxmlformats.org/officeDocument/2006/relationships/hyperlink" Target="http://ec.europa.eu/social/BlobServlet?docId=14529&amp;langId=en" TargetMode="External"/><Relationship Id="rId5" Type="http://schemas.openxmlformats.org/officeDocument/2006/relationships/hyperlink" Target="http://ec.europa.eu/economy_finance/publications/european_economy/2015/pdf/ee3_en.pdf" TargetMode="External"/><Relationship Id="rId4" Type="http://schemas.openxmlformats.org/officeDocument/2006/relationships/hyperlink" Target="http://ec.europa.eu/eurostat/statistics-explained/index.php/Material_deprivation_statistics_-_early_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11CEA-05BF-4DF7-8D1D-D432ADB14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16562</Words>
  <Characters>99373</Characters>
  <Application>Microsoft Office Word</Application>
  <DocSecurity>4</DocSecurity>
  <Lines>828</Lines>
  <Paragraphs>231</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Ministerstwo Spraw Zagranicznych</Company>
  <LinksUpToDate>false</LinksUpToDate>
  <CharactersWithSpaces>115704</CharactersWithSpaces>
  <SharedDoc>false</SharedDoc>
  <HLinks>
    <vt:vector size="24" baseType="variant">
      <vt:variant>
        <vt:i4>2031657</vt:i4>
      </vt:variant>
      <vt:variant>
        <vt:i4>9</vt:i4>
      </vt:variant>
      <vt:variant>
        <vt:i4>0</vt:i4>
      </vt:variant>
      <vt:variant>
        <vt:i4>5</vt:i4>
      </vt:variant>
      <vt:variant>
        <vt:lpwstr>http://ec.europa.eu/eurostat/statistics-explained/index.php/Material_deprivation_statistics_-_early_results</vt:lpwstr>
      </vt:variant>
      <vt:variant>
        <vt:lpwstr/>
      </vt:variant>
      <vt:variant>
        <vt:i4>7798873</vt:i4>
      </vt:variant>
      <vt:variant>
        <vt:i4>6</vt:i4>
      </vt:variant>
      <vt:variant>
        <vt:i4>0</vt:i4>
      </vt:variant>
      <vt:variant>
        <vt:i4>5</vt:i4>
      </vt:variant>
      <vt:variant>
        <vt:lpwstr>http://ec.europa.eu/eurostat/statistics-explained/index.php/Glossary:Material_deprivation</vt:lpwstr>
      </vt:variant>
      <vt:variant>
        <vt:lpwstr/>
      </vt:variant>
      <vt:variant>
        <vt:i4>4390925</vt:i4>
      </vt:variant>
      <vt:variant>
        <vt:i4>3</vt:i4>
      </vt:variant>
      <vt:variant>
        <vt:i4>0</vt:i4>
      </vt:variant>
      <vt:variant>
        <vt:i4>5</vt:i4>
      </vt:variant>
      <vt:variant>
        <vt:lpwstr>https://ec.europa.eu/jrc/sites/default/files/lb-na-26035-enn.pdf</vt:lpwstr>
      </vt:variant>
      <vt:variant>
        <vt:lpwstr/>
      </vt:variant>
      <vt:variant>
        <vt:i4>5636139</vt:i4>
      </vt:variant>
      <vt:variant>
        <vt:i4>0</vt:i4>
      </vt:variant>
      <vt:variant>
        <vt:i4>0</vt:i4>
      </vt:variant>
      <vt:variant>
        <vt:i4>5</vt:i4>
      </vt:variant>
      <vt:variant>
        <vt:lpwstr>http://ec.europa.eu/priorities/economic-monetary-union/docs/5-presidents-report_pl.pdf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Floriańczyk Izabela</dc:creator>
  <cp:lastModifiedBy>Floriańczyk Izabela</cp:lastModifiedBy>
  <cp:revision>2</cp:revision>
  <cp:lastPrinted>2015-11-12T12:13:00Z</cp:lastPrinted>
  <dcterms:created xsi:type="dcterms:W3CDTF">2015-12-21T09:54:00Z</dcterms:created>
  <dcterms:modified xsi:type="dcterms:W3CDTF">2015-12-21T09:54:00Z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