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C3C" w:rsidRDefault="004E66E0">
      <w:pPr>
        <w:pStyle w:val="NormalnyWeb"/>
        <w:spacing w:after="0" w:line="276" w:lineRule="auto"/>
        <w:jc w:val="center"/>
        <w:rPr>
          <w:rFonts w:ascii="Century Gothic" w:hAnsi="Century Gothic"/>
          <w:b/>
          <w:bCs/>
          <w:color w:val="000000"/>
          <w:sz w:val="22"/>
          <w:szCs w:val="22"/>
        </w:rPr>
      </w:pPr>
      <w:r>
        <w:rPr>
          <w:rFonts w:ascii="Century Gothic" w:hAnsi="Century Gothic"/>
          <w:b/>
          <w:bCs/>
          <w:color w:val="000000"/>
          <w:sz w:val="22"/>
          <w:szCs w:val="22"/>
        </w:rPr>
        <w:t>Umowa dzierżawy</w:t>
      </w:r>
    </w:p>
    <w:p w:rsidR="00E27C3C" w:rsidRDefault="004E66E0">
      <w:pPr>
        <w:pStyle w:val="NormalnyWeb"/>
        <w:spacing w:after="0" w:line="276" w:lineRule="auto"/>
        <w:rPr>
          <w:rFonts w:ascii="Century Gothic" w:hAnsi="Century Gothic"/>
          <w:color w:val="000000"/>
          <w:sz w:val="22"/>
          <w:szCs w:val="22"/>
        </w:rPr>
      </w:pPr>
      <w:r>
        <w:rPr>
          <w:rFonts w:ascii="Century Gothic" w:hAnsi="Century Gothic"/>
          <w:color w:val="000000"/>
          <w:sz w:val="22"/>
          <w:szCs w:val="22"/>
        </w:rPr>
        <w:t>zawarta w dniu ………………. 2021 roku  w ………………….</w:t>
      </w:r>
    </w:p>
    <w:p w:rsidR="00E27C3C" w:rsidRDefault="004E66E0">
      <w:pPr>
        <w:pStyle w:val="NormalnyWeb"/>
        <w:spacing w:after="0" w:line="276" w:lineRule="auto"/>
        <w:rPr>
          <w:rFonts w:ascii="Century Gothic" w:hAnsi="Century Gothic"/>
          <w:color w:val="000000"/>
          <w:sz w:val="22"/>
          <w:szCs w:val="22"/>
        </w:rPr>
      </w:pPr>
      <w:r>
        <w:rPr>
          <w:rFonts w:ascii="Century Gothic" w:hAnsi="Century Gothic"/>
          <w:color w:val="000000"/>
          <w:sz w:val="22"/>
          <w:szCs w:val="22"/>
        </w:rPr>
        <w:t>pomiędzy:</w:t>
      </w:r>
    </w:p>
    <w:p w:rsidR="00E27C3C" w:rsidRDefault="004E66E0">
      <w:pPr>
        <w:pStyle w:val="NormalnyWeb"/>
        <w:numPr>
          <w:ilvl w:val="0"/>
          <w:numId w:val="19"/>
        </w:numPr>
        <w:spacing w:before="62" w:after="0" w:line="276" w:lineRule="auto"/>
        <w:jc w:val="both"/>
      </w:pPr>
      <w:r>
        <w:rPr>
          <w:rFonts w:ascii="Century Gothic" w:hAnsi="Century Gothic"/>
          <w:b/>
          <w:bCs/>
          <w:sz w:val="22"/>
          <w:szCs w:val="22"/>
        </w:rPr>
        <w:t>Niezależnym Samorządnym Związkiem Zawodowym „Solidarność”</w:t>
      </w:r>
      <w:r>
        <w:rPr>
          <w:rFonts w:ascii="Century Gothic" w:hAnsi="Century Gothic"/>
          <w:sz w:val="22"/>
          <w:szCs w:val="22"/>
        </w:rPr>
        <w:t xml:space="preserve"> z siedzibą w Gdańsku, ul. Wały Piastowskie 24, wpisanym do Krajowego Rejestru Sądowego prowadzonego przez Sąd Rejonowy Gdańsk-Północ w Gdańsku, VII Wydział Gospodarczy Krajowego Rejestru Sądowego pod numerem KRS 0000059630, NIP 583-000-96-42, REGON 001376842</w:t>
      </w:r>
      <w:r>
        <w:rPr>
          <w:rFonts w:ascii="Century Gothic" w:hAnsi="Century Gothic"/>
          <w:color w:val="000000"/>
          <w:sz w:val="22"/>
          <w:szCs w:val="22"/>
        </w:rPr>
        <w:t>, reprezentowanym przez:</w:t>
      </w:r>
    </w:p>
    <w:p w:rsidR="00E27C3C" w:rsidRDefault="004E66E0">
      <w:pPr>
        <w:pStyle w:val="NormalnyWeb"/>
        <w:numPr>
          <w:ilvl w:val="0"/>
          <w:numId w:val="20"/>
        </w:numPr>
        <w:tabs>
          <w:tab w:val="left" w:pos="2136"/>
        </w:tabs>
        <w:spacing w:before="62" w:after="0" w:line="276" w:lineRule="auto"/>
        <w:ind w:left="1068" w:firstLine="0"/>
        <w:rPr>
          <w:rFonts w:ascii="Century Gothic" w:hAnsi="Century Gothic"/>
          <w:color w:val="000000"/>
          <w:sz w:val="22"/>
          <w:szCs w:val="22"/>
        </w:rPr>
      </w:pPr>
      <w:r>
        <w:rPr>
          <w:rFonts w:ascii="Century Gothic" w:hAnsi="Century Gothic"/>
          <w:color w:val="000000"/>
          <w:sz w:val="22"/>
          <w:szCs w:val="22"/>
        </w:rPr>
        <w:t>Pana/Panią ………………………………</w:t>
      </w:r>
    </w:p>
    <w:p w:rsidR="00E27C3C" w:rsidRDefault="004E66E0">
      <w:pPr>
        <w:pStyle w:val="NormalnyWeb"/>
        <w:numPr>
          <w:ilvl w:val="0"/>
          <w:numId w:val="9"/>
        </w:numPr>
        <w:tabs>
          <w:tab w:val="left" w:pos="2136"/>
        </w:tabs>
        <w:spacing w:before="62" w:after="0" w:line="276" w:lineRule="auto"/>
        <w:ind w:left="1068" w:firstLine="0"/>
      </w:pPr>
      <w:bookmarkStart w:id="0" w:name="Bookmark"/>
      <w:r>
        <w:rPr>
          <w:rFonts w:ascii="Century Gothic" w:hAnsi="Century Gothic"/>
          <w:color w:val="000000"/>
          <w:sz w:val="22"/>
          <w:szCs w:val="22"/>
        </w:rPr>
        <w:t xml:space="preserve">Pana/Panią </w:t>
      </w:r>
      <w:bookmarkEnd w:id="0"/>
      <w:r>
        <w:rPr>
          <w:rFonts w:ascii="Century Gothic" w:hAnsi="Century Gothic"/>
          <w:color w:val="000000"/>
          <w:sz w:val="22"/>
          <w:szCs w:val="22"/>
        </w:rPr>
        <w:t>………………………………</w:t>
      </w:r>
    </w:p>
    <w:p w:rsidR="00E27C3C" w:rsidRDefault="00E27C3C">
      <w:pPr>
        <w:pStyle w:val="NormalnyWeb"/>
        <w:spacing w:before="62" w:after="0" w:line="276" w:lineRule="auto"/>
        <w:ind w:left="348"/>
        <w:rPr>
          <w:rFonts w:ascii="Century Gothic" w:hAnsi="Century Gothic"/>
          <w:sz w:val="22"/>
          <w:szCs w:val="22"/>
        </w:rPr>
      </w:pPr>
    </w:p>
    <w:p w:rsidR="00E27C3C" w:rsidRDefault="004E66E0">
      <w:pPr>
        <w:pStyle w:val="NormalnyWeb"/>
        <w:spacing w:before="62" w:after="0" w:line="276" w:lineRule="auto"/>
      </w:pPr>
      <w:r>
        <w:rPr>
          <w:rFonts w:ascii="Century Gothic" w:hAnsi="Century Gothic"/>
          <w:color w:val="000000"/>
          <w:sz w:val="22"/>
          <w:szCs w:val="22"/>
        </w:rPr>
        <w:t xml:space="preserve">zwanym dalej </w:t>
      </w:r>
      <w:r>
        <w:rPr>
          <w:rFonts w:ascii="Century Gothic" w:hAnsi="Century Gothic"/>
          <w:b/>
          <w:color w:val="000000"/>
          <w:sz w:val="22"/>
          <w:szCs w:val="22"/>
        </w:rPr>
        <w:t>Wydzierżawiającym</w:t>
      </w:r>
      <w:r>
        <w:rPr>
          <w:rFonts w:ascii="Century Gothic" w:hAnsi="Century Gothic"/>
          <w:color w:val="000000"/>
          <w:sz w:val="22"/>
          <w:szCs w:val="22"/>
        </w:rPr>
        <w:t xml:space="preserve"> </w:t>
      </w:r>
      <w:r>
        <w:rPr>
          <w:rFonts w:ascii="Century Gothic" w:hAnsi="Century Gothic"/>
          <w:b/>
          <w:bCs/>
          <w:sz w:val="22"/>
          <w:szCs w:val="22"/>
        </w:rPr>
        <w:t>(Stroną)</w:t>
      </w:r>
    </w:p>
    <w:p w:rsidR="00E27C3C" w:rsidRDefault="004E66E0">
      <w:pPr>
        <w:pStyle w:val="NormalnyWeb"/>
        <w:spacing w:before="238" w:after="0" w:line="276" w:lineRule="auto"/>
        <w:rPr>
          <w:rFonts w:ascii="Century Gothic" w:hAnsi="Century Gothic"/>
          <w:sz w:val="22"/>
          <w:szCs w:val="22"/>
        </w:rPr>
      </w:pPr>
      <w:r>
        <w:rPr>
          <w:rFonts w:ascii="Century Gothic" w:hAnsi="Century Gothic"/>
          <w:sz w:val="22"/>
          <w:szCs w:val="22"/>
        </w:rPr>
        <w:t>a</w:t>
      </w:r>
    </w:p>
    <w:p w:rsidR="00E27C3C" w:rsidRDefault="004E66E0">
      <w:pPr>
        <w:pStyle w:val="NormalnyWeb"/>
        <w:numPr>
          <w:ilvl w:val="0"/>
          <w:numId w:val="8"/>
        </w:numPr>
        <w:spacing w:before="119" w:after="0" w:line="276" w:lineRule="auto"/>
        <w:rPr>
          <w:rFonts w:ascii="Century Gothic" w:hAnsi="Century Gothic"/>
          <w:color w:val="000000"/>
          <w:sz w:val="22"/>
          <w:szCs w:val="22"/>
        </w:rPr>
      </w:pPr>
      <w:r>
        <w:rPr>
          <w:rFonts w:ascii="Century Gothic" w:hAnsi="Century Gothic"/>
          <w:color w:val="000000"/>
          <w:sz w:val="22"/>
          <w:szCs w:val="22"/>
        </w:rPr>
        <w:t>…………………………………………………………………, reprezentowanym przez:</w:t>
      </w:r>
    </w:p>
    <w:p w:rsidR="00E27C3C" w:rsidRDefault="004E66E0">
      <w:pPr>
        <w:pStyle w:val="NormalnyWeb"/>
        <w:numPr>
          <w:ilvl w:val="0"/>
          <w:numId w:val="21"/>
        </w:numPr>
        <w:spacing w:before="62" w:after="0" w:line="276" w:lineRule="auto"/>
        <w:rPr>
          <w:rFonts w:ascii="Century Gothic" w:hAnsi="Century Gothic"/>
          <w:sz w:val="22"/>
          <w:szCs w:val="22"/>
        </w:rPr>
      </w:pPr>
      <w:r>
        <w:rPr>
          <w:rFonts w:ascii="Century Gothic" w:hAnsi="Century Gothic"/>
          <w:sz w:val="22"/>
          <w:szCs w:val="22"/>
        </w:rPr>
        <w:t>Pana/Panią ………………………………</w:t>
      </w:r>
    </w:p>
    <w:p w:rsidR="00E27C3C" w:rsidRDefault="004E66E0">
      <w:pPr>
        <w:pStyle w:val="NormalnyWeb"/>
        <w:numPr>
          <w:ilvl w:val="0"/>
          <w:numId w:val="12"/>
        </w:numPr>
        <w:spacing w:before="62" w:after="0" w:line="276" w:lineRule="auto"/>
        <w:rPr>
          <w:rFonts w:ascii="Century Gothic" w:hAnsi="Century Gothic"/>
          <w:sz w:val="22"/>
          <w:szCs w:val="22"/>
        </w:rPr>
      </w:pPr>
      <w:r>
        <w:rPr>
          <w:rFonts w:ascii="Century Gothic" w:hAnsi="Century Gothic"/>
          <w:sz w:val="22"/>
          <w:szCs w:val="22"/>
        </w:rPr>
        <w:t>Pana/Panią ………………………………</w:t>
      </w:r>
    </w:p>
    <w:p w:rsidR="00E27C3C" w:rsidRDefault="004E66E0">
      <w:pPr>
        <w:pStyle w:val="NormalnyWeb"/>
        <w:spacing w:before="62" w:after="0" w:line="276" w:lineRule="auto"/>
      </w:pPr>
      <w:r>
        <w:rPr>
          <w:rFonts w:ascii="Century Gothic" w:hAnsi="Century Gothic"/>
          <w:color w:val="000000"/>
          <w:sz w:val="22"/>
          <w:szCs w:val="22"/>
        </w:rPr>
        <w:t>zwanym dalej</w:t>
      </w:r>
      <w:r>
        <w:rPr>
          <w:rFonts w:ascii="Century Gothic" w:hAnsi="Century Gothic"/>
          <w:b/>
          <w:color w:val="000000"/>
          <w:sz w:val="22"/>
          <w:szCs w:val="22"/>
        </w:rPr>
        <w:t xml:space="preserve"> Dzierżawcą</w:t>
      </w:r>
      <w:r>
        <w:rPr>
          <w:rFonts w:ascii="Century Gothic" w:hAnsi="Century Gothic"/>
          <w:b/>
          <w:bCs/>
          <w:color w:val="000000"/>
          <w:sz w:val="22"/>
          <w:szCs w:val="22"/>
        </w:rPr>
        <w:t xml:space="preserve"> (Stroną)</w:t>
      </w:r>
    </w:p>
    <w:p w:rsidR="00E27C3C" w:rsidRDefault="004E66E0">
      <w:pPr>
        <w:pStyle w:val="NormalnyWeb"/>
        <w:spacing w:after="0" w:line="276" w:lineRule="auto"/>
        <w:rPr>
          <w:rFonts w:ascii="Century Gothic" w:hAnsi="Century Gothic"/>
          <w:b/>
          <w:bCs/>
          <w:color w:val="000000"/>
          <w:sz w:val="22"/>
          <w:szCs w:val="22"/>
        </w:rPr>
      </w:pPr>
      <w:r>
        <w:rPr>
          <w:rFonts w:ascii="Century Gothic" w:hAnsi="Century Gothic"/>
          <w:b/>
          <w:bCs/>
          <w:color w:val="000000"/>
          <w:sz w:val="22"/>
          <w:szCs w:val="22"/>
        </w:rPr>
        <w:t>o następującej treści:</w:t>
      </w:r>
    </w:p>
    <w:p w:rsidR="00E27C3C" w:rsidRDefault="004E66E0">
      <w:pPr>
        <w:pStyle w:val="NormalnyWeb"/>
        <w:spacing w:after="0" w:line="276" w:lineRule="auto"/>
        <w:jc w:val="center"/>
        <w:rPr>
          <w:rFonts w:ascii="Century Gothic" w:hAnsi="Century Gothic"/>
          <w:b/>
          <w:bCs/>
          <w:color w:val="000000"/>
          <w:sz w:val="22"/>
          <w:szCs w:val="22"/>
        </w:rPr>
      </w:pPr>
      <w:bookmarkStart w:id="1" w:name="Bookmark1"/>
      <w:r>
        <w:rPr>
          <w:rFonts w:ascii="Century Gothic" w:hAnsi="Century Gothic"/>
          <w:b/>
          <w:bCs/>
          <w:color w:val="000000"/>
          <w:sz w:val="22"/>
          <w:szCs w:val="22"/>
        </w:rPr>
        <w:t>§ 1</w:t>
      </w:r>
    </w:p>
    <w:bookmarkEnd w:id="1"/>
    <w:p w:rsidR="00E27C3C" w:rsidRDefault="004E66E0">
      <w:pPr>
        <w:pStyle w:val="NormalnyWeb"/>
        <w:spacing w:after="0" w:line="276" w:lineRule="auto"/>
        <w:jc w:val="both"/>
        <w:rPr>
          <w:rFonts w:ascii="Century Gothic" w:hAnsi="Century Gothic"/>
          <w:color w:val="000000"/>
          <w:sz w:val="22"/>
          <w:szCs w:val="22"/>
        </w:rPr>
      </w:pPr>
      <w:r>
        <w:rPr>
          <w:rFonts w:ascii="Century Gothic" w:hAnsi="Century Gothic"/>
          <w:color w:val="000000"/>
          <w:sz w:val="22"/>
          <w:szCs w:val="22"/>
        </w:rPr>
        <w:t>Wydzierżawiający oświadcza, że:</w:t>
      </w:r>
    </w:p>
    <w:p w:rsidR="00E27C3C" w:rsidRDefault="004E66E0">
      <w:pPr>
        <w:pStyle w:val="NormalnyWeb"/>
        <w:numPr>
          <w:ilvl w:val="0"/>
          <w:numId w:val="22"/>
        </w:numPr>
        <w:spacing w:line="276" w:lineRule="auto"/>
        <w:jc w:val="both"/>
      </w:pPr>
      <w:r>
        <w:rPr>
          <w:rFonts w:ascii="Century Gothic" w:hAnsi="Century Gothic"/>
          <w:color w:val="000000"/>
          <w:sz w:val="22"/>
          <w:szCs w:val="22"/>
        </w:rPr>
        <w:t xml:space="preserve">jest użytkownikiem wieczystym </w:t>
      </w:r>
      <w:r>
        <w:rPr>
          <w:rFonts w:ascii="Century Gothic" w:hAnsi="Century Gothic"/>
          <w:sz w:val="22"/>
          <w:szCs w:val="22"/>
        </w:rPr>
        <w:t>nieruchomości o powierzchni 955 m2, położonej w Warszawie przy ul. Nasielskiej 50, dzielnica Praga-Południe, obręb 3-04-05, działka ewidencyjna nr 255, dla której Sąd Rejonowy dla Warszawy-Mokotowa w Warszawie, XV Wydział Ksiąg Wieczystych prowadzi księgę wieczystą nr WA6M/00139009/5,</w:t>
      </w:r>
    </w:p>
    <w:p w:rsidR="00E27C3C" w:rsidRDefault="004E66E0">
      <w:pPr>
        <w:pStyle w:val="NormalnyWeb"/>
        <w:numPr>
          <w:ilvl w:val="0"/>
          <w:numId w:val="13"/>
        </w:numPr>
        <w:spacing w:before="0" w:line="276" w:lineRule="auto"/>
        <w:jc w:val="both"/>
        <w:rPr>
          <w:rFonts w:ascii="Century Gothic" w:hAnsi="Century Gothic"/>
          <w:sz w:val="22"/>
          <w:szCs w:val="22"/>
        </w:rPr>
      </w:pPr>
      <w:r>
        <w:rPr>
          <w:rFonts w:ascii="Century Gothic" w:hAnsi="Century Gothic"/>
          <w:sz w:val="22"/>
          <w:szCs w:val="22"/>
        </w:rPr>
        <w:t>jest właścicielem posadowionych na opisanej w pkt 1) nieruchomości gruntowej budynków:</w:t>
      </w:r>
    </w:p>
    <w:p w:rsidR="00E27C3C" w:rsidRDefault="004E66E0">
      <w:pPr>
        <w:pStyle w:val="NormalnyWeb"/>
        <w:numPr>
          <w:ilvl w:val="0"/>
          <w:numId w:val="23"/>
        </w:numPr>
        <w:spacing w:before="0" w:after="0" w:line="276" w:lineRule="auto"/>
        <w:jc w:val="both"/>
      </w:pPr>
      <w:r>
        <w:rPr>
          <w:rFonts w:ascii="Century Gothic" w:hAnsi="Century Gothic"/>
          <w:sz w:val="22"/>
          <w:szCs w:val="22"/>
        </w:rPr>
        <w:t>hali magazynowo - ekspozycyjno - szkoleniowej o powierzchni użytkowej 662 m</w:t>
      </w:r>
      <w:r>
        <w:rPr>
          <w:rFonts w:ascii="Century Gothic" w:hAnsi="Century Gothic"/>
          <w:sz w:val="22"/>
          <w:szCs w:val="22"/>
          <w:vertAlign w:val="superscript"/>
        </w:rPr>
        <w:t>2</w:t>
      </w:r>
      <w:r>
        <w:rPr>
          <w:rFonts w:ascii="Century Gothic" w:hAnsi="Century Gothic"/>
          <w:sz w:val="22"/>
          <w:szCs w:val="22"/>
        </w:rPr>
        <w:t xml:space="preserve"> oraz o kubaturze 2699,6 m</w:t>
      </w:r>
      <w:r>
        <w:rPr>
          <w:rFonts w:ascii="Century Gothic" w:hAnsi="Century Gothic"/>
          <w:sz w:val="22"/>
          <w:szCs w:val="22"/>
          <w:vertAlign w:val="superscript"/>
        </w:rPr>
        <w:t>3</w:t>
      </w:r>
      <w:r>
        <w:rPr>
          <w:rFonts w:ascii="Century Gothic" w:hAnsi="Century Gothic"/>
          <w:sz w:val="22"/>
          <w:szCs w:val="22"/>
        </w:rPr>
        <w:t>,</w:t>
      </w:r>
    </w:p>
    <w:p w:rsidR="00E27C3C" w:rsidRDefault="004E66E0">
      <w:pPr>
        <w:pStyle w:val="NormalnyWeb"/>
        <w:numPr>
          <w:ilvl w:val="0"/>
          <w:numId w:val="15"/>
        </w:numPr>
        <w:spacing w:after="0" w:line="276" w:lineRule="auto"/>
        <w:jc w:val="both"/>
      </w:pPr>
      <w:r>
        <w:rPr>
          <w:rFonts w:ascii="Century Gothic" w:hAnsi="Century Gothic"/>
          <w:sz w:val="22"/>
          <w:szCs w:val="22"/>
        </w:rPr>
        <w:t>budynku garażowo – magazynowego o powierzchni zabudowy 115 m</w:t>
      </w:r>
      <w:r>
        <w:rPr>
          <w:rFonts w:ascii="Century Gothic" w:hAnsi="Century Gothic"/>
          <w:sz w:val="22"/>
          <w:szCs w:val="22"/>
          <w:vertAlign w:val="superscript"/>
        </w:rPr>
        <w:t>2</w:t>
      </w:r>
      <w:r>
        <w:rPr>
          <w:rFonts w:ascii="Century Gothic" w:hAnsi="Century Gothic"/>
          <w:sz w:val="22"/>
          <w:szCs w:val="22"/>
        </w:rPr>
        <w:t>.</w:t>
      </w:r>
    </w:p>
    <w:p w:rsidR="00E27C3C" w:rsidRDefault="00E27C3C">
      <w:pPr>
        <w:pStyle w:val="NormalnyWeb"/>
        <w:spacing w:before="119" w:after="0" w:line="276" w:lineRule="auto"/>
        <w:jc w:val="center"/>
        <w:rPr>
          <w:rFonts w:ascii="Century Gothic" w:hAnsi="Century Gothic"/>
          <w:b/>
          <w:bCs/>
          <w:color w:val="000000"/>
          <w:sz w:val="22"/>
          <w:szCs w:val="22"/>
        </w:rPr>
      </w:pPr>
    </w:p>
    <w:p w:rsidR="00E27C3C" w:rsidRDefault="004E66E0">
      <w:pPr>
        <w:pStyle w:val="NormalnyWeb"/>
        <w:spacing w:before="119" w:after="0" w:line="276" w:lineRule="auto"/>
        <w:jc w:val="center"/>
        <w:rPr>
          <w:rFonts w:ascii="Century Gothic" w:hAnsi="Century Gothic"/>
          <w:b/>
          <w:bCs/>
          <w:color w:val="000000"/>
          <w:sz w:val="22"/>
          <w:szCs w:val="22"/>
        </w:rPr>
      </w:pPr>
      <w:r>
        <w:rPr>
          <w:rFonts w:ascii="Century Gothic" w:hAnsi="Century Gothic"/>
          <w:b/>
          <w:bCs/>
          <w:color w:val="000000"/>
          <w:sz w:val="22"/>
          <w:szCs w:val="22"/>
        </w:rPr>
        <w:t>§ 2</w:t>
      </w:r>
    </w:p>
    <w:p w:rsidR="00E27C3C" w:rsidRDefault="004E66E0">
      <w:pPr>
        <w:pStyle w:val="NormalnyWeb"/>
        <w:numPr>
          <w:ilvl w:val="0"/>
          <w:numId w:val="24"/>
        </w:numPr>
        <w:spacing w:before="119" w:after="0" w:line="276" w:lineRule="auto"/>
        <w:jc w:val="both"/>
        <w:rPr>
          <w:rFonts w:ascii="Century Gothic" w:hAnsi="Century Gothic"/>
          <w:sz w:val="22"/>
          <w:szCs w:val="22"/>
        </w:rPr>
      </w:pPr>
      <w:r>
        <w:rPr>
          <w:rFonts w:ascii="Century Gothic" w:hAnsi="Century Gothic"/>
          <w:sz w:val="22"/>
          <w:szCs w:val="22"/>
        </w:rPr>
        <w:t>Wydzierżawiający oddaje Dzierżawcy nieruchomość opisaną w § 1 umowy do użytkowania i pobierania pożytków.</w:t>
      </w:r>
    </w:p>
    <w:p w:rsidR="00E27C3C" w:rsidRDefault="004E66E0">
      <w:pPr>
        <w:pStyle w:val="NormalnyWeb"/>
        <w:numPr>
          <w:ilvl w:val="0"/>
          <w:numId w:val="2"/>
        </w:numPr>
        <w:spacing w:before="238" w:after="0" w:line="276" w:lineRule="auto"/>
        <w:jc w:val="both"/>
        <w:rPr>
          <w:rFonts w:ascii="Century Gothic" w:hAnsi="Century Gothic"/>
          <w:sz w:val="22"/>
          <w:szCs w:val="22"/>
        </w:rPr>
      </w:pPr>
      <w:r>
        <w:rPr>
          <w:rFonts w:ascii="Century Gothic" w:hAnsi="Century Gothic"/>
          <w:sz w:val="22"/>
          <w:szCs w:val="22"/>
        </w:rPr>
        <w:t>Najemca nie wnosi zastrzeżeń do stanu technicznego budynku, którego odzwierciedlenie dokumentuje protokół zdawczo – odbiorczy przedmiotu niniejszej umowy, stanowiący załącznik nr 1 do niniejszej umowy.</w:t>
      </w:r>
    </w:p>
    <w:p w:rsidR="00E27C3C" w:rsidRDefault="004E66E0">
      <w:pPr>
        <w:pStyle w:val="NormalnyWeb"/>
        <w:spacing w:before="119" w:after="0" w:line="276" w:lineRule="auto"/>
        <w:jc w:val="center"/>
        <w:rPr>
          <w:rFonts w:ascii="Century Gothic" w:hAnsi="Century Gothic"/>
          <w:b/>
          <w:bCs/>
          <w:color w:val="000000"/>
          <w:sz w:val="22"/>
          <w:szCs w:val="22"/>
        </w:rPr>
      </w:pPr>
      <w:r>
        <w:rPr>
          <w:rFonts w:ascii="Century Gothic" w:hAnsi="Century Gothic"/>
          <w:b/>
          <w:bCs/>
          <w:color w:val="000000"/>
          <w:sz w:val="22"/>
          <w:szCs w:val="22"/>
        </w:rPr>
        <w:lastRenderedPageBreak/>
        <w:t>§ 3</w:t>
      </w:r>
    </w:p>
    <w:p w:rsidR="00E27C3C" w:rsidRDefault="004E66E0">
      <w:pPr>
        <w:pStyle w:val="NormalnyWeb"/>
        <w:numPr>
          <w:ilvl w:val="0"/>
          <w:numId w:val="25"/>
        </w:numPr>
        <w:spacing w:before="119" w:after="0" w:line="276" w:lineRule="auto"/>
        <w:ind w:left="709" w:hanging="363"/>
        <w:jc w:val="both"/>
      </w:pPr>
      <w:r>
        <w:rPr>
          <w:rFonts w:ascii="Century Gothic" w:hAnsi="Century Gothic"/>
          <w:color w:val="000000"/>
          <w:sz w:val="22"/>
          <w:szCs w:val="22"/>
        </w:rPr>
        <w:t xml:space="preserve">Dzierżawca zobowiązuje się płacić Wydzierżawiającemu czynsz dzierżawny w wysokości …………. ……………………….. (słownie: ………………) miesięcznie netto powiększony o </w:t>
      </w:r>
      <w:r>
        <w:rPr>
          <w:rFonts w:ascii="Century Gothic" w:hAnsi="Century Gothic"/>
          <w:sz w:val="22"/>
          <w:szCs w:val="22"/>
        </w:rPr>
        <w:t>należny podatek VAT</w:t>
      </w:r>
    </w:p>
    <w:p w:rsidR="00E27C3C" w:rsidRDefault="004E66E0">
      <w:pPr>
        <w:pStyle w:val="NormalnyWeb"/>
        <w:numPr>
          <w:ilvl w:val="0"/>
          <w:numId w:val="25"/>
        </w:numPr>
        <w:spacing w:before="119" w:after="0" w:line="276" w:lineRule="auto"/>
        <w:ind w:left="709" w:hanging="363"/>
        <w:jc w:val="both"/>
      </w:pPr>
      <w:r>
        <w:rPr>
          <w:rFonts w:ascii="Century Gothic" w:hAnsi="Century Gothic"/>
          <w:color w:val="000000"/>
          <w:sz w:val="22"/>
          <w:szCs w:val="22"/>
        </w:rPr>
        <w:t>Czynsz  będzie co roku waloryzowany o wskaźnik inflacji GUS i będzie obowiązywał automatycznie od następnego miesiąca po okresie przeliczeniowym.</w:t>
      </w:r>
    </w:p>
    <w:p w:rsidR="00F74885" w:rsidRDefault="004E66E0">
      <w:pPr>
        <w:pStyle w:val="NormalnyWeb"/>
        <w:spacing w:before="119" w:after="0" w:line="276" w:lineRule="auto"/>
        <w:ind w:left="709" w:hanging="284"/>
        <w:jc w:val="both"/>
        <w:rPr>
          <w:rFonts w:ascii="Century Gothic" w:hAnsi="Century Gothic"/>
          <w:color w:val="000000"/>
          <w:sz w:val="22"/>
          <w:szCs w:val="22"/>
        </w:rPr>
      </w:pPr>
      <w:r>
        <w:rPr>
          <w:rFonts w:ascii="Century Gothic" w:hAnsi="Century Gothic"/>
          <w:color w:val="000000"/>
          <w:sz w:val="22"/>
          <w:szCs w:val="22"/>
        </w:rPr>
        <w:t xml:space="preserve">2. Czynsz płatny będzie w terminie 7 ni od dnia doręczenia Dzierżawcy  faktury VAT ze wskazaniem rachunku bankowego Wydzierżawiającego, przy czym za dzień zapłaty przyjmuje się dzień zaksięgowania środków pieniężnych na rachunku Wydzierżawiającego. </w:t>
      </w:r>
    </w:p>
    <w:p w:rsidR="00E27C3C" w:rsidRDefault="004E66E0">
      <w:pPr>
        <w:pStyle w:val="NormalnyWeb"/>
        <w:spacing w:before="119" w:after="0" w:line="276" w:lineRule="auto"/>
        <w:ind w:left="709" w:hanging="284"/>
        <w:jc w:val="both"/>
      </w:pPr>
      <w:r>
        <w:rPr>
          <w:rFonts w:ascii="Century Gothic" w:hAnsi="Century Gothic"/>
          <w:color w:val="000000"/>
          <w:sz w:val="22"/>
          <w:szCs w:val="22"/>
        </w:rPr>
        <w:t>3. Czynsz nie obejmuje opłat związanych z bieżącą działalnością przedmiotu dzierżawy: opłat za korzystanie z energii elektrycznej, gazu, c.o., wody i odprowadzania ścieków komunalnych. Należności z tego tytułu Dzierżawca obowiązany jest opłacać bezpośrednio  usługodawcom na podstawie ich rachunków, zobowiązując się do wcześniejszego zawarcia stosownych umów.  Dodatkowo, Dzierżawca zobowiązuje się również do ponoszenia kosztów monitoringu oraz uiszczania podatku od dzierżawionej nieruchomości</w:t>
      </w:r>
      <w:r w:rsidR="00F74885">
        <w:rPr>
          <w:rFonts w:ascii="Century Gothic" w:hAnsi="Century Gothic"/>
          <w:color w:val="000000"/>
          <w:sz w:val="22"/>
          <w:szCs w:val="22"/>
        </w:rPr>
        <w:t xml:space="preserve"> oraz opłaty za użytkowanie wieczyste grunt</w:t>
      </w:r>
      <w:bookmarkStart w:id="2" w:name="_GoBack"/>
      <w:bookmarkEnd w:id="2"/>
      <w:r w:rsidR="00F74885">
        <w:rPr>
          <w:rFonts w:ascii="Century Gothic" w:hAnsi="Century Gothic"/>
          <w:color w:val="000000"/>
          <w:sz w:val="22"/>
          <w:szCs w:val="22"/>
        </w:rPr>
        <w:t>ów</w:t>
      </w:r>
      <w:r>
        <w:rPr>
          <w:rFonts w:ascii="Century Gothic" w:hAnsi="Century Gothic"/>
          <w:color w:val="000000"/>
          <w:sz w:val="22"/>
          <w:szCs w:val="22"/>
        </w:rPr>
        <w:t xml:space="preserve"> – na rachunek wskazany przez Wydzierżawiającego.</w:t>
      </w:r>
    </w:p>
    <w:p w:rsidR="00E27C3C" w:rsidRDefault="00E27C3C">
      <w:pPr>
        <w:pStyle w:val="NormalnyWeb"/>
        <w:spacing w:before="119" w:after="0" w:line="276" w:lineRule="auto"/>
        <w:ind w:left="709" w:hanging="284"/>
        <w:jc w:val="both"/>
      </w:pPr>
    </w:p>
    <w:p w:rsidR="00E27C3C" w:rsidRDefault="004E66E0">
      <w:pPr>
        <w:pStyle w:val="NormalnyWeb"/>
        <w:spacing w:before="119" w:after="0" w:line="276" w:lineRule="auto"/>
        <w:jc w:val="center"/>
        <w:rPr>
          <w:rFonts w:ascii="Century Gothic" w:hAnsi="Century Gothic"/>
          <w:b/>
          <w:bCs/>
          <w:color w:val="000000"/>
          <w:sz w:val="22"/>
          <w:szCs w:val="22"/>
        </w:rPr>
      </w:pPr>
      <w:r>
        <w:rPr>
          <w:rFonts w:ascii="Century Gothic" w:hAnsi="Century Gothic"/>
          <w:b/>
          <w:bCs/>
          <w:color w:val="000000"/>
          <w:sz w:val="22"/>
          <w:szCs w:val="22"/>
        </w:rPr>
        <w:t>§ 4</w:t>
      </w:r>
    </w:p>
    <w:p w:rsidR="00E27C3C" w:rsidRDefault="004E66E0">
      <w:pPr>
        <w:pStyle w:val="NormalnyWeb"/>
        <w:numPr>
          <w:ilvl w:val="0"/>
          <w:numId w:val="26"/>
        </w:numPr>
        <w:spacing w:before="119" w:after="0" w:line="276" w:lineRule="auto"/>
        <w:jc w:val="both"/>
      </w:pPr>
      <w:r>
        <w:rPr>
          <w:rFonts w:ascii="Century Gothic" w:hAnsi="Century Gothic"/>
          <w:color w:val="000000"/>
          <w:sz w:val="22"/>
          <w:szCs w:val="22"/>
        </w:rPr>
        <w:t>Przedmiot umowy służyć będzie Dzierżawcy do………/w celu</w:t>
      </w:r>
      <w:r>
        <w:rPr>
          <w:rFonts w:ascii="Century Gothic" w:hAnsi="Century Gothic"/>
          <w:sz w:val="22"/>
          <w:szCs w:val="22"/>
        </w:rPr>
        <w:t xml:space="preserve"> </w:t>
      </w:r>
      <w:r>
        <w:rPr>
          <w:rFonts w:ascii="Century Gothic" w:hAnsi="Century Gothic"/>
          <w:color w:val="000000"/>
          <w:sz w:val="22"/>
          <w:szCs w:val="22"/>
        </w:rPr>
        <w:t>. . . . . . . . . . . . . . . . . . . . . . . . . . . . . . . . . . . . . . . . . . . . . . . . . . . . . . . . . . . . . . . . . . . . . . . . . . . . . . . . . . . . . . . . . . . . . . . . . . . . . . . . . . . . . . . . . . . . . . . . . . . . . . . . . . . . . . . . . . . . . . . . . . . . . . . . . . . . . . . . . . . . . . . . . . . . . . . . . . . . .</w:t>
      </w:r>
    </w:p>
    <w:p w:rsidR="00E27C3C" w:rsidRDefault="004E66E0">
      <w:pPr>
        <w:pStyle w:val="NormalnyWeb"/>
        <w:numPr>
          <w:ilvl w:val="0"/>
          <w:numId w:val="4"/>
        </w:numPr>
        <w:spacing w:before="119" w:after="0" w:line="276" w:lineRule="auto"/>
        <w:jc w:val="both"/>
        <w:rPr>
          <w:rFonts w:ascii="Century Gothic" w:hAnsi="Century Gothic"/>
          <w:color w:val="000000"/>
          <w:sz w:val="22"/>
          <w:szCs w:val="22"/>
        </w:rPr>
      </w:pPr>
      <w:r>
        <w:rPr>
          <w:rFonts w:ascii="Century Gothic" w:hAnsi="Century Gothic"/>
          <w:color w:val="000000"/>
          <w:sz w:val="22"/>
          <w:szCs w:val="22"/>
        </w:rPr>
        <w:t>Dzierżawca nie może, bez pisemnej zgody Wydzierżawiającego, zmienić przeznaczenia budynku, przedmiotu dzierżawy ani dokonywać w budynku przeróbek i adaptacji. Koszty przeróbek i adaptacji dokonanych za pisemną zgodą Wydzierżawiającego ponosi Dzierżawca. W przypadku dokonania zmian w przedmiocie dzierżawy bez stosownego upoważnienia, Wydzierżawiający może żądać od Dzierżawcy przywrócenia stanu poprzedniego oraz zapłaty kary umownej w wysokości wartości czynszu za ………………... miesiące, co nie wyklucza dochodzenia przez Wydzierżawiającego naprawienia szkody przewyższającej wartość należnej mu kary umownej.</w:t>
      </w:r>
    </w:p>
    <w:p w:rsidR="00E27C3C" w:rsidRDefault="004E66E0">
      <w:pPr>
        <w:pStyle w:val="NormalnyWeb"/>
        <w:numPr>
          <w:ilvl w:val="0"/>
          <w:numId w:val="4"/>
        </w:numPr>
        <w:spacing w:before="119" w:after="0" w:line="276" w:lineRule="auto"/>
        <w:jc w:val="both"/>
        <w:rPr>
          <w:rFonts w:ascii="Century Gothic" w:hAnsi="Century Gothic"/>
          <w:color w:val="000000"/>
          <w:sz w:val="22"/>
          <w:szCs w:val="22"/>
        </w:rPr>
      </w:pPr>
      <w:r>
        <w:rPr>
          <w:rFonts w:ascii="Century Gothic" w:hAnsi="Century Gothic"/>
          <w:color w:val="000000"/>
          <w:sz w:val="22"/>
          <w:szCs w:val="22"/>
        </w:rPr>
        <w:t>Dzierżawca nie może, bez pisemnej zgody Wydzierżawiającego, oddać osobie trzeciej przedmiotu dzierżawy lub jego części do używania.</w:t>
      </w:r>
    </w:p>
    <w:p w:rsidR="00E27C3C" w:rsidRDefault="004E66E0">
      <w:pPr>
        <w:pStyle w:val="NormalnyWeb"/>
        <w:numPr>
          <w:ilvl w:val="0"/>
          <w:numId w:val="4"/>
        </w:numPr>
        <w:spacing w:before="119" w:after="0" w:line="276" w:lineRule="auto"/>
        <w:jc w:val="both"/>
        <w:rPr>
          <w:rFonts w:ascii="Century Gothic" w:hAnsi="Century Gothic"/>
          <w:sz w:val="22"/>
          <w:szCs w:val="22"/>
        </w:rPr>
      </w:pPr>
      <w:r>
        <w:rPr>
          <w:rFonts w:ascii="Century Gothic" w:hAnsi="Century Gothic"/>
          <w:sz w:val="22"/>
          <w:szCs w:val="22"/>
        </w:rPr>
        <w:t>Dzierżawca zobowiązuje się używać dzierżawioną nieruchomość zgodnie z jej przeznaczeniem i utrzymywać ją w należytym porządku, dokonując bieżących napraw  obiektu i urządzeń.</w:t>
      </w:r>
    </w:p>
    <w:p w:rsidR="00E27C3C" w:rsidRDefault="00E27C3C">
      <w:pPr>
        <w:pStyle w:val="NormalnyWeb"/>
        <w:spacing w:before="119" w:after="0" w:line="276" w:lineRule="auto"/>
        <w:jc w:val="center"/>
        <w:rPr>
          <w:rFonts w:ascii="Century Gothic" w:hAnsi="Century Gothic"/>
          <w:b/>
          <w:bCs/>
          <w:color w:val="FF0000"/>
          <w:sz w:val="22"/>
          <w:szCs w:val="22"/>
        </w:rPr>
      </w:pPr>
      <w:bookmarkStart w:id="3" w:name="Bookmark2"/>
      <w:bookmarkEnd w:id="3"/>
    </w:p>
    <w:p w:rsidR="00E27C3C" w:rsidRDefault="004E66E0">
      <w:pPr>
        <w:pStyle w:val="NormalnyWeb"/>
        <w:spacing w:before="119" w:after="0" w:line="276" w:lineRule="auto"/>
        <w:jc w:val="center"/>
        <w:rPr>
          <w:rFonts w:ascii="Century Gothic" w:hAnsi="Century Gothic"/>
          <w:b/>
          <w:bCs/>
          <w:color w:val="000000"/>
          <w:sz w:val="22"/>
          <w:szCs w:val="22"/>
        </w:rPr>
      </w:pPr>
      <w:r>
        <w:rPr>
          <w:rFonts w:ascii="Century Gothic" w:hAnsi="Century Gothic"/>
          <w:b/>
          <w:bCs/>
          <w:color w:val="000000"/>
          <w:sz w:val="22"/>
          <w:szCs w:val="22"/>
        </w:rPr>
        <w:t>§ 5</w:t>
      </w:r>
    </w:p>
    <w:p w:rsidR="00E27C3C" w:rsidRDefault="004E66E0">
      <w:pPr>
        <w:pStyle w:val="NormalnyWeb"/>
        <w:numPr>
          <w:ilvl w:val="0"/>
          <w:numId w:val="27"/>
        </w:numPr>
        <w:spacing w:before="119" w:after="0" w:line="276" w:lineRule="auto"/>
        <w:jc w:val="both"/>
      </w:pPr>
      <w:r>
        <w:rPr>
          <w:rFonts w:ascii="Century Gothic" w:hAnsi="Century Gothic"/>
          <w:color w:val="000000"/>
          <w:sz w:val="22"/>
          <w:szCs w:val="22"/>
        </w:rPr>
        <w:t xml:space="preserve">W dniu zawarcia niniejszej umowy Dzierżawca dokona wpłaty na rachunek bankowy Wydzierżawiającego </w:t>
      </w:r>
      <w:r>
        <w:rPr>
          <w:rFonts w:ascii="Century Gothic" w:hAnsi="Century Gothic"/>
          <w:sz w:val="22"/>
          <w:szCs w:val="22"/>
        </w:rPr>
        <w:t xml:space="preserve">kaucji </w:t>
      </w:r>
      <w:r>
        <w:rPr>
          <w:rFonts w:ascii="Century Gothic" w:hAnsi="Century Gothic"/>
          <w:color w:val="000000"/>
          <w:sz w:val="22"/>
          <w:szCs w:val="22"/>
        </w:rPr>
        <w:t>w wysokości . . . . . . . . . . (słownie: . . . . . . . . . . . . . . . . . . . . . . . . . . . . . . . . . . .) celem zabezpieczenia zapłaty czynszu wraz z odsetkami za opóźnienie oraz wszelkich innych roszczeń Wynajmującego, związanych z niniejszą umową.</w:t>
      </w:r>
    </w:p>
    <w:p w:rsidR="00E27C3C" w:rsidRDefault="004E66E0">
      <w:pPr>
        <w:pStyle w:val="NormalnyWeb"/>
        <w:numPr>
          <w:ilvl w:val="0"/>
          <w:numId w:val="3"/>
        </w:numPr>
        <w:spacing w:before="119" w:after="0" w:line="276" w:lineRule="auto"/>
        <w:jc w:val="both"/>
      </w:pPr>
      <w:r>
        <w:rPr>
          <w:rFonts w:ascii="Century Gothic" w:hAnsi="Century Gothic"/>
          <w:color w:val="000000"/>
          <w:sz w:val="22"/>
          <w:szCs w:val="22"/>
        </w:rPr>
        <w:t xml:space="preserve">Dowód wpłaty kaucji, o której mowa w § 1, stanowi załącznik </w:t>
      </w:r>
      <w:r>
        <w:rPr>
          <w:rFonts w:ascii="Century Gothic" w:hAnsi="Century Gothic"/>
          <w:sz w:val="22"/>
          <w:szCs w:val="22"/>
        </w:rPr>
        <w:t xml:space="preserve">nr 2 </w:t>
      </w:r>
      <w:r>
        <w:rPr>
          <w:rFonts w:ascii="Century Gothic" w:hAnsi="Century Gothic"/>
          <w:color w:val="000000"/>
          <w:sz w:val="22"/>
          <w:szCs w:val="22"/>
        </w:rPr>
        <w:t>do niniejszej umowy.</w:t>
      </w:r>
    </w:p>
    <w:p w:rsidR="00E27C3C" w:rsidRDefault="004E66E0">
      <w:pPr>
        <w:pStyle w:val="NormalnyWeb"/>
        <w:numPr>
          <w:ilvl w:val="0"/>
          <w:numId w:val="3"/>
        </w:numPr>
        <w:spacing w:before="119" w:after="0" w:line="276" w:lineRule="auto"/>
        <w:jc w:val="both"/>
        <w:rPr>
          <w:rFonts w:ascii="Century Gothic" w:hAnsi="Century Gothic"/>
          <w:sz w:val="22"/>
          <w:szCs w:val="22"/>
        </w:rPr>
      </w:pPr>
      <w:r>
        <w:rPr>
          <w:rFonts w:ascii="Century Gothic" w:hAnsi="Century Gothic"/>
          <w:sz w:val="22"/>
          <w:szCs w:val="22"/>
        </w:rPr>
        <w:t>Kaucja nie podlega oprocentowaniu.</w:t>
      </w:r>
    </w:p>
    <w:p w:rsidR="00E27C3C" w:rsidRDefault="004E66E0">
      <w:pPr>
        <w:pStyle w:val="NormalnyWeb"/>
        <w:numPr>
          <w:ilvl w:val="0"/>
          <w:numId w:val="3"/>
        </w:numPr>
        <w:spacing w:before="119" w:after="0" w:line="276" w:lineRule="auto"/>
        <w:jc w:val="both"/>
        <w:rPr>
          <w:rFonts w:ascii="Century Gothic" w:hAnsi="Century Gothic"/>
          <w:color w:val="000000"/>
          <w:sz w:val="22"/>
          <w:szCs w:val="22"/>
        </w:rPr>
      </w:pPr>
      <w:r>
        <w:rPr>
          <w:rFonts w:ascii="Century Gothic" w:hAnsi="Century Gothic"/>
          <w:color w:val="000000"/>
          <w:sz w:val="22"/>
          <w:szCs w:val="22"/>
        </w:rPr>
        <w:t>Zwrot wartości nominalnej kaucji nastąpi w terminie ………….. dni od daty wygaśnięcia umowy i wydania przedmiotu dzierżawy.</w:t>
      </w:r>
    </w:p>
    <w:p w:rsidR="00E27C3C" w:rsidRDefault="004E66E0">
      <w:pPr>
        <w:pStyle w:val="NormalnyWeb"/>
        <w:numPr>
          <w:ilvl w:val="0"/>
          <w:numId w:val="3"/>
        </w:numPr>
        <w:spacing w:before="119" w:after="0" w:line="276" w:lineRule="auto"/>
        <w:jc w:val="both"/>
        <w:rPr>
          <w:rFonts w:ascii="Century Gothic" w:hAnsi="Century Gothic"/>
          <w:color w:val="000000"/>
          <w:sz w:val="22"/>
          <w:szCs w:val="22"/>
        </w:rPr>
      </w:pPr>
      <w:r>
        <w:rPr>
          <w:rFonts w:ascii="Century Gothic" w:hAnsi="Century Gothic"/>
          <w:color w:val="000000"/>
          <w:sz w:val="22"/>
          <w:szCs w:val="22"/>
        </w:rPr>
        <w:t>Wydzierżawiający może dokonać potrącenia z kaucji wszelkich roszczeń pieniężnych przysługujących mu przeciwko Dzierżawcy na dzień zwrotu nieruchomości stanowiącej przedmiot dzierżawy, a w szczególności z tytułu niezapłaconego czynszu, odsetek za nieterminowe płatności czynszu czy naprawienia szkód wyrządzonych przez Najemcę w przedmiocie najmu.</w:t>
      </w:r>
    </w:p>
    <w:p w:rsidR="00E27C3C" w:rsidRDefault="004E66E0">
      <w:pPr>
        <w:pStyle w:val="NormalnyWeb"/>
        <w:spacing w:after="0" w:line="276" w:lineRule="auto"/>
        <w:jc w:val="center"/>
        <w:rPr>
          <w:rFonts w:ascii="Century Gothic" w:hAnsi="Century Gothic"/>
          <w:b/>
          <w:bCs/>
          <w:color w:val="000000"/>
          <w:sz w:val="22"/>
          <w:szCs w:val="22"/>
        </w:rPr>
      </w:pPr>
      <w:r>
        <w:rPr>
          <w:rFonts w:ascii="Century Gothic" w:hAnsi="Century Gothic"/>
          <w:b/>
          <w:bCs/>
          <w:color w:val="000000"/>
          <w:sz w:val="22"/>
          <w:szCs w:val="22"/>
        </w:rPr>
        <w:t>§ 6</w:t>
      </w:r>
    </w:p>
    <w:p w:rsidR="00E27C3C" w:rsidRDefault="004E66E0">
      <w:pPr>
        <w:pStyle w:val="NormalnyWeb"/>
        <w:numPr>
          <w:ilvl w:val="0"/>
          <w:numId w:val="28"/>
        </w:numPr>
        <w:spacing w:before="119" w:after="0" w:line="276" w:lineRule="auto"/>
        <w:rPr>
          <w:rFonts w:ascii="Century Gothic" w:hAnsi="Century Gothic"/>
          <w:color w:val="000000"/>
          <w:sz w:val="22"/>
          <w:szCs w:val="22"/>
        </w:rPr>
      </w:pPr>
      <w:r>
        <w:rPr>
          <w:rFonts w:ascii="Century Gothic" w:hAnsi="Century Gothic"/>
          <w:color w:val="000000"/>
          <w:sz w:val="22"/>
          <w:szCs w:val="22"/>
        </w:rPr>
        <w:t>Umowa dzierżawy zawarta jest na czas . . . . . . . . . . . . . . . . . . . . . . . . . . . . . . . . . . . . . . . . . . . . . . . . . . . . .</w:t>
      </w:r>
    </w:p>
    <w:p w:rsidR="00E27C3C" w:rsidRDefault="004E66E0">
      <w:pPr>
        <w:pStyle w:val="NormalnyWeb"/>
        <w:numPr>
          <w:ilvl w:val="0"/>
          <w:numId w:val="18"/>
        </w:numPr>
        <w:spacing w:before="119" w:after="0" w:line="276" w:lineRule="auto"/>
        <w:rPr>
          <w:rFonts w:ascii="Century Gothic" w:hAnsi="Century Gothic"/>
          <w:color w:val="000000"/>
          <w:sz w:val="22"/>
          <w:szCs w:val="22"/>
        </w:rPr>
      </w:pPr>
      <w:r>
        <w:rPr>
          <w:rFonts w:ascii="Century Gothic" w:hAnsi="Century Gothic"/>
          <w:color w:val="000000"/>
          <w:sz w:val="22"/>
          <w:szCs w:val="22"/>
        </w:rPr>
        <w:t>Po wygaśnięciu bądź rozwiązaniu umowy Dzierżawca zobowiązany jest w terminie . . . . . . dni zwrócić przedmiot dzierżawy Wydzierżawiającemu w stanie niepogorszonym z uwzględnieniem jego normalnego używania. W dniu zwrotu Strony sporządzą protokół zdawczo-odbiorczy.</w:t>
      </w:r>
    </w:p>
    <w:p w:rsidR="00E27C3C" w:rsidRDefault="004E66E0">
      <w:pPr>
        <w:pStyle w:val="NormalnyWeb"/>
        <w:spacing w:before="119" w:after="0" w:line="276" w:lineRule="auto"/>
        <w:jc w:val="center"/>
        <w:rPr>
          <w:rFonts w:ascii="Century Gothic" w:hAnsi="Century Gothic"/>
          <w:b/>
          <w:bCs/>
          <w:color w:val="000000"/>
          <w:sz w:val="22"/>
          <w:szCs w:val="22"/>
        </w:rPr>
      </w:pPr>
      <w:r>
        <w:rPr>
          <w:rFonts w:ascii="Century Gothic" w:hAnsi="Century Gothic"/>
          <w:b/>
          <w:bCs/>
          <w:color w:val="000000"/>
          <w:sz w:val="22"/>
          <w:szCs w:val="22"/>
        </w:rPr>
        <w:t>§ 7</w:t>
      </w:r>
    </w:p>
    <w:p w:rsidR="00E27C3C" w:rsidRDefault="004E66E0">
      <w:pPr>
        <w:pStyle w:val="NormalnyWeb"/>
        <w:spacing w:line="276" w:lineRule="auto"/>
        <w:jc w:val="both"/>
        <w:rPr>
          <w:rFonts w:ascii="Century Gothic" w:hAnsi="Century Gothic"/>
          <w:sz w:val="22"/>
          <w:szCs w:val="22"/>
        </w:rPr>
      </w:pPr>
      <w:r>
        <w:rPr>
          <w:rFonts w:ascii="Century Gothic" w:hAnsi="Century Gothic"/>
          <w:sz w:val="22"/>
          <w:szCs w:val="22"/>
        </w:rPr>
        <w:t>Zgodnie rozporządzeniem Parlamentu Europejskiego i Rady (UE) 2016/679 z dnia 27.04.2016 r. w sprawie ochrony osób fizycznych w związku z przetwarzaniem danych osobowych i w sprawie swobodnego przepływu takich danych („RODO”), Wydzierżawiający przekazuje, a Dzierżawca przyjmuje poniższe informacje:</w:t>
      </w:r>
    </w:p>
    <w:p w:rsidR="00E27C3C" w:rsidRDefault="004E66E0">
      <w:pPr>
        <w:pStyle w:val="NormalnyWeb"/>
        <w:numPr>
          <w:ilvl w:val="0"/>
          <w:numId w:val="29"/>
        </w:numPr>
        <w:spacing w:line="276" w:lineRule="auto"/>
        <w:jc w:val="both"/>
        <w:rPr>
          <w:rFonts w:ascii="Century Gothic" w:hAnsi="Century Gothic"/>
          <w:sz w:val="22"/>
          <w:szCs w:val="22"/>
        </w:rPr>
      </w:pPr>
      <w:r>
        <w:rPr>
          <w:rFonts w:ascii="Century Gothic" w:hAnsi="Century Gothic"/>
          <w:sz w:val="22"/>
          <w:szCs w:val="22"/>
        </w:rPr>
        <w:t>administratorem otrzymanych danych osobowych (ADO) jest:</w:t>
      </w:r>
    </w:p>
    <w:p w:rsidR="00E27C3C" w:rsidRDefault="004E66E0">
      <w:pPr>
        <w:pStyle w:val="NormalnyWeb"/>
        <w:spacing w:line="276" w:lineRule="auto"/>
        <w:ind w:left="720"/>
        <w:jc w:val="both"/>
        <w:rPr>
          <w:rFonts w:ascii="Century Gothic" w:hAnsi="Century Gothic"/>
          <w:sz w:val="22"/>
          <w:szCs w:val="22"/>
        </w:rPr>
      </w:pPr>
      <w:r>
        <w:rPr>
          <w:rFonts w:ascii="Century Gothic" w:hAnsi="Century Gothic"/>
          <w:sz w:val="22"/>
          <w:szCs w:val="22"/>
        </w:rPr>
        <w:t>1) ze strony Wydzierżawiającego: NSZZ „Solidarność” reprezentowany przez Komisję Krajową z siedzibą w Gdańsku (dalej: Związek),  dane kontaktowe: Gdańsk (80-855) przy ul. Wały Piastowskie 24, Tel.: (058) 308 44 80, fax: (058) 308 42 19,</w:t>
      </w:r>
    </w:p>
    <w:p w:rsidR="00E27C3C" w:rsidRDefault="004E66E0">
      <w:pPr>
        <w:pStyle w:val="NormalnyWeb"/>
        <w:spacing w:line="276" w:lineRule="auto"/>
        <w:ind w:left="720"/>
        <w:jc w:val="both"/>
        <w:rPr>
          <w:rFonts w:ascii="Century Gothic" w:hAnsi="Century Gothic"/>
          <w:sz w:val="22"/>
          <w:szCs w:val="22"/>
        </w:rPr>
      </w:pPr>
      <w:r>
        <w:rPr>
          <w:rFonts w:ascii="Century Gothic" w:hAnsi="Century Gothic"/>
          <w:sz w:val="22"/>
          <w:szCs w:val="22"/>
        </w:rPr>
        <w:t>2) ze strony Dzierżawcy: ……………..</w:t>
      </w:r>
    </w:p>
    <w:p w:rsidR="00E27C3C" w:rsidRDefault="004E66E0">
      <w:pPr>
        <w:pStyle w:val="NormalnyWeb"/>
        <w:numPr>
          <w:ilvl w:val="0"/>
          <w:numId w:val="6"/>
        </w:numPr>
        <w:spacing w:line="276" w:lineRule="auto"/>
        <w:jc w:val="both"/>
        <w:rPr>
          <w:rFonts w:ascii="Century Gothic" w:hAnsi="Century Gothic"/>
          <w:sz w:val="22"/>
          <w:szCs w:val="22"/>
        </w:rPr>
      </w:pPr>
      <w:r>
        <w:rPr>
          <w:rFonts w:ascii="Century Gothic" w:hAnsi="Century Gothic"/>
          <w:sz w:val="22"/>
          <w:szCs w:val="22"/>
        </w:rPr>
        <w:t>katalog pobranych danych osobowych wynika z zakresu zawartej umowy,</w:t>
      </w:r>
    </w:p>
    <w:p w:rsidR="00E27C3C" w:rsidRDefault="004E66E0">
      <w:pPr>
        <w:pStyle w:val="NormalnyWeb"/>
        <w:numPr>
          <w:ilvl w:val="0"/>
          <w:numId w:val="6"/>
        </w:numPr>
        <w:spacing w:line="276" w:lineRule="auto"/>
        <w:jc w:val="both"/>
        <w:rPr>
          <w:rFonts w:ascii="Century Gothic" w:hAnsi="Century Gothic"/>
          <w:sz w:val="22"/>
          <w:szCs w:val="22"/>
        </w:rPr>
      </w:pPr>
      <w:r>
        <w:rPr>
          <w:rFonts w:ascii="Century Gothic" w:hAnsi="Century Gothic"/>
          <w:sz w:val="22"/>
          <w:szCs w:val="22"/>
        </w:rPr>
        <w:t>dane osobowe są przetwarzane w celu prawidłowej realizacji i rozliczenia zawartej umowy (art. 6 ust. 1 lit. b RODO),</w:t>
      </w:r>
    </w:p>
    <w:p w:rsidR="00E27C3C" w:rsidRDefault="004E66E0">
      <w:pPr>
        <w:pStyle w:val="NormalnyWeb"/>
        <w:numPr>
          <w:ilvl w:val="0"/>
          <w:numId w:val="6"/>
        </w:numPr>
        <w:spacing w:line="276" w:lineRule="auto"/>
        <w:jc w:val="both"/>
        <w:rPr>
          <w:rFonts w:ascii="Century Gothic" w:hAnsi="Century Gothic"/>
          <w:sz w:val="22"/>
          <w:szCs w:val="22"/>
        </w:rPr>
      </w:pPr>
      <w:r>
        <w:rPr>
          <w:rFonts w:ascii="Century Gothic" w:hAnsi="Century Gothic"/>
          <w:sz w:val="22"/>
          <w:szCs w:val="22"/>
        </w:rPr>
        <w:lastRenderedPageBreak/>
        <w:t>dane osobowe są przetwarzane w celu wypełnienia na ADO obowiązków wynikających z przepisów prawa,</w:t>
      </w:r>
    </w:p>
    <w:p w:rsidR="00E27C3C" w:rsidRDefault="004E66E0">
      <w:pPr>
        <w:pStyle w:val="NormalnyWeb"/>
        <w:numPr>
          <w:ilvl w:val="0"/>
          <w:numId w:val="6"/>
        </w:numPr>
        <w:spacing w:line="276" w:lineRule="auto"/>
        <w:jc w:val="both"/>
        <w:rPr>
          <w:rFonts w:ascii="Century Gothic" w:hAnsi="Century Gothic"/>
          <w:sz w:val="22"/>
          <w:szCs w:val="22"/>
        </w:rPr>
      </w:pPr>
      <w:r>
        <w:rPr>
          <w:rFonts w:ascii="Century Gothic" w:hAnsi="Century Gothic"/>
          <w:sz w:val="22"/>
          <w:szCs w:val="22"/>
        </w:rPr>
        <w:t>(art. 6 ust. 1 lit. c RODO), w tym rozliczeń podatkowych, obowiązkom poddania się kontroli prowadzonym przez podmioty publiczne, ewentualnego dochodzenia roszczeń cywilnoprawnych i obrona przed takimi roszczeniami,</w:t>
      </w:r>
    </w:p>
    <w:p w:rsidR="00E27C3C" w:rsidRDefault="004E66E0">
      <w:pPr>
        <w:pStyle w:val="NormalnyWeb"/>
        <w:numPr>
          <w:ilvl w:val="0"/>
          <w:numId w:val="6"/>
        </w:numPr>
        <w:spacing w:line="276" w:lineRule="auto"/>
        <w:jc w:val="both"/>
        <w:rPr>
          <w:rFonts w:ascii="Century Gothic" w:hAnsi="Century Gothic"/>
          <w:sz w:val="22"/>
          <w:szCs w:val="22"/>
        </w:rPr>
      </w:pPr>
      <w:r>
        <w:rPr>
          <w:rFonts w:ascii="Century Gothic" w:hAnsi="Century Gothic"/>
          <w:sz w:val="22"/>
          <w:szCs w:val="22"/>
        </w:rPr>
        <w:t>dane te będą przechowywane w okresie 6 lat od daty zakończenia i rozliczenia umowy, po czy zostaną trwale usunięte,</w:t>
      </w:r>
    </w:p>
    <w:p w:rsidR="00E27C3C" w:rsidRDefault="004E66E0">
      <w:pPr>
        <w:pStyle w:val="NormalnyWeb"/>
        <w:numPr>
          <w:ilvl w:val="0"/>
          <w:numId w:val="6"/>
        </w:numPr>
        <w:spacing w:line="276" w:lineRule="auto"/>
        <w:jc w:val="both"/>
        <w:rPr>
          <w:rFonts w:ascii="Century Gothic" w:hAnsi="Century Gothic"/>
          <w:sz w:val="22"/>
          <w:szCs w:val="22"/>
        </w:rPr>
      </w:pPr>
      <w:r>
        <w:rPr>
          <w:rFonts w:ascii="Century Gothic" w:hAnsi="Century Gothic"/>
          <w:sz w:val="22"/>
          <w:szCs w:val="22"/>
        </w:rPr>
        <w:t>osobie, której dane dotyczą, zgodnie z art. 15–22 RODO, przysługują prawa dostępu, sprostowania, ograniczenia przetwarzania, usunięcia, przenoszenia, wniesienia sprzeciwu wobec przetwarzania oraz wniesienia skargi do Prezesa Urzędu Ochrony Danych Osobowych,</w:t>
      </w:r>
    </w:p>
    <w:p w:rsidR="00E27C3C" w:rsidRDefault="004E66E0">
      <w:pPr>
        <w:pStyle w:val="Akapitzlist"/>
        <w:numPr>
          <w:ilvl w:val="0"/>
          <w:numId w:val="6"/>
        </w:numPr>
        <w:jc w:val="both"/>
        <w:rPr>
          <w:rFonts w:ascii="Century Gothic" w:eastAsia="Times New Roman" w:hAnsi="Century Gothic" w:cs="Times New Roman"/>
          <w:lang w:eastAsia="pl-PL"/>
        </w:rPr>
      </w:pPr>
      <w:r>
        <w:rPr>
          <w:rFonts w:ascii="Century Gothic" w:eastAsia="Times New Roman" w:hAnsi="Century Gothic" w:cs="Times New Roman"/>
          <w:lang w:eastAsia="pl-PL"/>
        </w:rPr>
        <w:t>kontakt z Inspektorem Ochrony Danych Osobowych:</w:t>
      </w:r>
    </w:p>
    <w:p w:rsidR="00E27C3C" w:rsidRDefault="004E66E0">
      <w:pPr>
        <w:pStyle w:val="Akapitzlist"/>
        <w:numPr>
          <w:ilvl w:val="1"/>
          <w:numId w:val="6"/>
        </w:numPr>
        <w:jc w:val="both"/>
        <w:rPr>
          <w:rFonts w:ascii="Century Gothic" w:eastAsia="Times New Roman" w:hAnsi="Century Gothic" w:cs="Times New Roman"/>
          <w:lang w:eastAsia="pl-PL"/>
        </w:rPr>
      </w:pPr>
      <w:r>
        <w:rPr>
          <w:rFonts w:ascii="Century Gothic" w:eastAsia="Times New Roman" w:hAnsi="Century Gothic" w:cs="Times New Roman"/>
          <w:lang w:eastAsia="pl-PL"/>
        </w:rPr>
        <w:t>ze strony Wydzierżawiającego - jest możliwy pod adresem email: iodo@solidarnosc.org.pl  lub telefonicznie: (058) 308 42 53,</w:t>
      </w:r>
    </w:p>
    <w:p w:rsidR="00E27C3C" w:rsidRDefault="004E66E0">
      <w:pPr>
        <w:pStyle w:val="Akapitzlist"/>
        <w:numPr>
          <w:ilvl w:val="1"/>
          <w:numId w:val="6"/>
        </w:numPr>
        <w:jc w:val="both"/>
        <w:rPr>
          <w:rFonts w:ascii="Century Gothic" w:eastAsia="Times New Roman" w:hAnsi="Century Gothic" w:cs="Times New Roman"/>
          <w:lang w:eastAsia="pl-PL"/>
        </w:rPr>
      </w:pPr>
      <w:r>
        <w:rPr>
          <w:rFonts w:ascii="Century Gothic" w:eastAsia="Times New Roman" w:hAnsi="Century Gothic" w:cs="Times New Roman"/>
          <w:lang w:eastAsia="pl-PL"/>
        </w:rPr>
        <w:t>ze strony Dzierżawcy - …………………………</w:t>
      </w:r>
    </w:p>
    <w:p w:rsidR="00E27C3C" w:rsidRDefault="00E27C3C">
      <w:pPr>
        <w:pStyle w:val="NormalnyWeb"/>
        <w:spacing w:before="119" w:after="0" w:line="276" w:lineRule="auto"/>
        <w:ind w:left="720"/>
        <w:rPr>
          <w:rFonts w:ascii="Century Gothic" w:hAnsi="Century Gothic"/>
          <w:sz w:val="22"/>
          <w:szCs w:val="22"/>
        </w:rPr>
      </w:pPr>
    </w:p>
    <w:p w:rsidR="00E27C3C" w:rsidRDefault="004E66E0">
      <w:pPr>
        <w:pStyle w:val="NormalnyWeb"/>
        <w:spacing w:before="119" w:after="0" w:line="276" w:lineRule="auto"/>
        <w:jc w:val="center"/>
        <w:rPr>
          <w:rFonts w:ascii="Century Gothic" w:hAnsi="Century Gothic"/>
          <w:b/>
          <w:sz w:val="22"/>
          <w:szCs w:val="22"/>
        </w:rPr>
      </w:pPr>
      <w:r>
        <w:rPr>
          <w:rFonts w:ascii="Century Gothic" w:hAnsi="Century Gothic"/>
          <w:b/>
          <w:sz w:val="22"/>
          <w:szCs w:val="22"/>
        </w:rPr>
        <w:t>§ 8</w:t>
      </w:r>
    </w:p>
    <w:p w:rsidR="00E27C3C" w:rsidRDefault="004E66E0">
      <w:pPr>
        <w:pStyle w:val="NormalnyWeb"/>
        <w:numPr>
          <w:ilvl w:val="0"/>
          <w:numId w:val="30"/>
        </w:numPr>
        <w:spacing w:before="119" w:after="0" w:line="276" w:lineRule="auto"/>
        <w:jc w:val="both"/>
        <w:rPr>
          <w:rFonts w:ascii="Century Gothic" w:hAnsi="Century Gothic"/>
          <w:color w:val="000000"/>
          <w:sz w:val="22"/>
          <w:szCs w:val="22"/>
        </w:rPr>
      </w:pPr>
      <w:r>
        <w:rPr>
          <w:rFonts w:ascii="Century Gothic" w:hAnsi="Century Gothic"/>
          <w:color w:val="000000"/>
          <w:sz w:val="22"/>
          <w:szCs w:val="22"/>
        </w:rPr>
        <w:t>Wszelkie zmiany lub uzupełnienia niniejszej umowy wymagają dla swej ważności formy pisemnej.</w:t>
      </w:r>
    </w:p>
    <w:p w:rsidR="00E27C3C" w:rsidRDefault="004E66E0">
      <w:pPr>
        <w:pStyle w:val="NormalnyWeb"/>
        <w:numPr>
          <w:ilvl w:val="0"/>
          <w:numId w:val="14"/>
        </w:numPr>
        <w:spacing w:before="119" w:after="0" w:line="276" w:lineRule="auto"/>
        <w:jc w:val="both"/>
        <w:rPr>
          <w:rFonts w:ascii="Century Gothic" w:hAnsi="Century Gothic"/>
          <w:color w:val="000000"/>
          <w:sz w:val="22"/>
          <w:szCs w:val="22"/>
        </w:rPr>
      </w:pPr>
      <w:r>
        <w:rPr>
          <w:rFonts w:ascii="Century Gothic" w:hAnsi="Century Gothic"/>
          <w:color w:val="000000"/>
          <w:sz w:val="22"/>
          <w:szCs w:val="22"/>
        </w:rPr>
        <w:t>W sprawach nieuregulowanych w niniejszej umowie stosuje się przepisy Kodeksu cywilnego.</w:t>
      </w:r>
    </w:p>
    <w:p w:rsidR="00E27C3C" w:rsidRDefault="004E66E0">
      <w:pPr>
        <w:pStyle w:val="NormalnyWeb"/>
        <w:numPr>
          <w:ilvl w:val="0"/>
          <w:numId w:val="14"/>
        </w:numPr>
        <w:spacing w:before="119" w:after="0" w:line="276" w:lineRule="auto"/>
        <w:jc w:val="both"/>
        <w:rPr>
          <w:rFonts w:ascii="Century Gothic" w:hAnsi="Century Gothic"/>
          <w:color w:val="000000"/>
          <w:sz w:val="22"/>
          <w:szCs w:val="22"/>
        </w:rPr>
      </w:pPr>
      <w:r>
        <w:rPr>
          <w:rFonts w:ascii="Century Gothic" w:hAnsi="Century Gothic"/>
          <w:color w:val="000000"/>
          <w:sz w:val="22"/>
          <w:szCs w:val="22"/>
        </w:rPr>
        <w:t>Umowa zostaje sporządzona w dwóch jednobrzmiących egzemplarzach, po jednym dla każdej ze Stron.</w:t>
      </w:r>
    </w:p>
    <w:p w:rsidR="00E27C3C" w:rsidRDefault="00E27C3C">
      <w:pPr>
        <w:pStyle w:val="NormalnyWeb"/>
        <w:spacing w:after="0" w:line="276" w:lineRule="auto"/>
        <w:rPr>
          <w:rFonts w:ascii="Century Gothic" w:hAnsi="Century Gothic"/>
          <w:sz w:val="22"/>
          <w:szCs w:val="22"/>
        </w:rPr>
      </w:pPr>
    </w:p>
    <w:p w:rsidR="00E27C3C" w:rsidRDefault="00E27C3C">
      <w:pPr>
        <w:pStyle w:val="NormalnyWeb"/>
        <w:spacing w:after="0" w:line="276" w:lineRule="auto"/>
        <w:rPr>
          <w:rFonts w:ascii="Century Gothic" w:hAnsi="Century Gothic"/>
          <w:sz w:val="22"/>
          <w:szCs w:val="22"/>
        </w:rPr>
      </w:pPr>
    </w:p>
    <w:p w:rsidR="00E27C3C" w:rsidRDefault="004E66E0">
      <w:pPr>
        <w:pStyle w:val="NormalnyWeb"/>
        <w:spacing w:after="0" w:line="276" w:lineRule="auto"/>
        <w:rPr>
          <w:rFonts w:ascii="Century Gothic" w:hAnsi="Century Gothic"/>
          <w:color w:val="000000"/>
          <w:sz w:val="22"/>
          <w:szCs w:val="22"/>
        </w:rPr>
      </w:pPr>
      <w:r>
        <w:rPr>
          <w:rFonts w:ascii="Century Gothic" w:hAnsi="Century Gothic"/>
          <w:color w:val="000000"/>
          <w:sz w:val="22"/>
          <w:szCs w:val="22"/>
        </w:rPr>
        <w:t>………………………………………</w:t>
      </w:r>
      <w:r>
        <w:rPr>
          <w:rFonts w:ascii="Century Gothic" w:hAnsi="Century Gothic"/>
          <w:color w:val="000000"/>
          <w:sz w:val="22"/>
          <w:szCs w:val="22"/>
        </w:rPr>
        <w:tab/>
      </w:r>
      <w:r>
        <w:rPr>
          <w:rFonts w:ascii="Century Gothic" w:hAnsi="Century Gothic"/>
          <w:color w:val="000000"/>
          <w:sz w:val="22"/>
          <w:szCs w:val="22"/>
        </w:rPr>
        <w:tab/>
      </w:r>
      <w:r>
        <w:rPr>
          <w:rFonts w:ascii="Century Gothic" w:hAnsi="Century Gothic"/>
          <w:color w:val="000000"/>
          <w:sz w:val="22"/>
          <w:szCs w:val="22"/>
        </w:rPr>
        <w:tab/>
      </w:r>
      <w:r>
        <w:rPr>
          <w:rFonts w:ascii="Century Gothic" w:hAnsi="Century Gothic"/>
          <w:color w:val="000000"/>
          <w:sz w:val="22"/>
          <w:szCs w:val="22"/>
        </w:rPr>
        <w:tab/>
        <w:t>…………………………………….</w:t>
      </w:r>
    </w:p>
    <w:p w:rsidR="00E27C3C" w:rsidRDefault="004E66E0">
      <w:pPr>
        <w:pStyle w:val="NormalnyWeb"/>
        <w:spacing w:after="0" w:line="276" w:lineRule="auto"/>
      </w:pPr>
      <w:r>
        <w:rPr>
          <w:rFonts w:ascii="Century Gothic" w:hAnsi="Century Gothic"/>
          <w:b/>
          <w:color w:val="000000"/>
          <w:sz w:val="22"/>
          <w:szCs w:val="22"/>
        </w:rPr>
        <w:t>Wydzierżawiający</w:t>
      </w:r>
      <w:r>
        <w:rPr>
          <w:rFonts w:ascii="Century Gothic" w:hAnsi="Century Gothic"/>
          <w:b/>
          <w:color w:val="000000"/>
          <w:sz w:val="22"/>
          <w:szCs w:val="22"/>
        </w:rPr>
        <w:tab/>
      </w:r>
      <w:r>
        <w:rPr>
          <w:rFonts w:ascii="Century Gothic" w:hAnsi="Century Gothic"/>
          <w:b/>
          <w:color w:val="000000"/>
          <w:sz w:val="22"/>
          <w:szCs w:val="22"/>
        </w:rPr>
        <w:tab/>
      </w:r>
      <w:r>
        <w:rPr>
          <w:rFonts w:ascii="Century Gothic" w:hAnsi="Century Gothic"/>
          <w:b/>
          <w:color w:val="000000"/>
          <w:sz w:val="22"/>
          <w:szCs w:val="22"/>
        </w:rPr>
        <w:tab/>
      </w:r>
      <w:r>
        <w:rPr>
          <w:rFonts w:ascii="Century Gothic" w:hAnsi="Century Gothic"/>
          <w:b/>
          <w:color w:val="000000"/>
          <w:sz w:val="22"/>
          <w:szCs w:val="22"/>
        </w:rPr>
        <w:tab/>
      </w:r>
      <w:r>
        <w:rPr>
          <w:rFonts w:ascii="Century Gothic" w:hAnsi="Century Gothic"/>
          <w:b/>
          <w:color w:val="000000"/>
          <w:sz w:val="22"/>
          <w:szCs w:val="22"/>
        </w:rPr>
        <w:tab/>
      </w:r>
      <w:r>
        <w:rPr>
          <w:rFonts w:ascii="Century Gothic" w:hAnsi="Century Gothic"/>
          <w:b/>
          <w:color w:val="000000"/>
          <w:sz w:val="22"/>
          <w:szCs w:val="22"/>
        </w:rPr>
        <w:tab/>
      </w:r>
      <w:r>
        <w:rPr>
          <w:rFonts w:ascii="Century Gothic" w:hAnsi="Century Gothic"/>
          <w:b/>
          <w:color w:val="000000"/>
          <w:sz w:val="22"/>
          <w:szCs w:val="22"/>
        </w:rPr>
        <w:tab/>
      </w:r>
      <w:r>
        <w:rPr>
          <w:rFonts w:ascii="Century Gothic" w:hAnsi="Century Gothic"/>
          <w:b/>
          <w:color w:val="000000"/>
          <w:sz w:val="22"/>
          <w:szCs w:val="22"/>
        </w:rPr>
        <w:tab/>
        <w:t xml:space="preserve">       Dzierżawca</w:t>
      </w:r>
    </w:p>
    <w:sectPr w:rsidR="00E27C3C">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202D" w:rsidRDefault="0092202D">
      <w:pPr>
        <w:spacing w:after="0" w:line="240" w:lineRule="auto"/>
      </w:pPr>
      <w:r>
        <w:separator/>
      </w:r>
    </w:p>
  </w:endnote>
  <w:endnote w:type="continuationSeparator" w:id="0">
    <w:p w:rsidR="0092202D" w:rsidRDefault="0092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202D" w:rsidRDefault="0092202D">
      <w:pPr>
        <w:spacing w:after="0" w:line="240" w:lineRule="auto"/>
      </w:pPr>
      <w:r>
        <w:rPr>
          <w:color w:val="000000"/>
        </w:rPr>
        <w:separator/>
      </w:r>
    </w:p>
  </w:footnote>
  <w:footnote w:type="continuationSeparator" w:id="0">
    <w:p w:rsidR="0092202D" w:rsidRDefault="00922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7509A"/>
    <w:multiLevelType w:val="multilevel"/>
    <w:tmpl w:val="E1E6DA16"/>
    <w:styleLink w:val="WWNum9"/>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 w15:restartNumberingAfterBreak="0">
    <w:nsid w:val="11C85CE0"/>
    <w:multiLevelType w:val="multilevel"/>
    <w:tmpl w:val="71A649FE"/>
    <w:styleLink w:val="WWNum1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150E0126"/>
    <w:multiLevelType w:val="multilevel"/>
    <w:tmpl w:val="9B661B52"/>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62E224F"/>
    <w:multiLevelType w:val="multilevel"/>
    <w:tmpl w:val="C99C014C"/>
    <w:styleLink w:val="WWNum1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1CDF409A"/>
    <w:multiLevelType w:val="multilevel"/>
    <w:tmpl w:val="4ED0FE42"/>
    <w:styleLink w:val="WWNum6"/>
    <w:lvl w:ilvl="0">
      <w:numFmt w:val="bullet"/>
      <w:lvlText w:val=""/>
      <w:lvlJc w:val="left"/>
      <w:pPr>
        <w:ind w:left="720" w:hanging="360"/>
      </w:pPr>
      <w:rPr>
        <w:rFonts w:ascii="Symbol" w:hAnsi="Symbol"/>
        <w:sz w:val="20"/>
      </w:rPr>
    </w:lvl>
    <w:lvl w:ilvl="1">
      <w:start w:val="1"/>
      <w:numFmt w:val="decimal"/>
      <w:lvlText w:val="%2)"/>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2A8901FA"/>
    <w:multiLevelType w:val="multilevel"/>
    <w:tmpl w:val="11567626"/>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BC55D26"/>
    <w:multiLevelType w:val="multilevel"/>
    <w:tmpl w:val="856CEBA8"/>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7" w15:restartNumberingAfterBreak="0">
    <w:nsid w:val="31C213C6"/>
    <w:multiLevelType w:val="multilevel"/>
    <w:tmpl w:val="8AAEA154"/>
    <w:styleLink w:val="WWNum1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8" w15:restartNumberingAfterBreak="0">
    <w:nsid w:val="36580552"/>
    <w:multiLevelType w:val="multilevel"/>
    <w:tmpl w:val="88103E7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7817F09"/>
    <w:multiLevelType w:val="multilevel"/>
    <w:tmpl w:val="840A1A1C"/>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40856621"/>
    <w:multiLevelType w:val="multilevel"/>
    <w:tmpl w:val="B130F4F8"/>
    <w:styleLink w:val="WWNum1"/>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 w15:restartNumberingAfterBreak="0">
    <w:nsid w:val="444A7F6F"/>
    <w:multiLevelType w:val="multilevel"/>
    <w:tmpl w:val="240A098C"/>
    <w:styleLink w:val="WWNum1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 w15:restartNumberingAfterBreak="0">
    <w:nsid w:val="4756749F"/>
    <w:multiLevelType w:val="multilevel"/>
    <w:tmpl w:val="B66E4264"/>
    <w:styleLink w:val="WWNum1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3" w15:restartNumberingAfterBreak="0">
    <w:nsid w:val="5CA62759"/>
    <w:multiLevelType w:val="multilevel"/>
    <w:tmpl w:val="5F84B980"/>
    <w:styleLink w:val="WWNum1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6B8B0B9D"/>
    <w:multiLevelType w:val="multilevel"/>
    <w:tmpl w:val="4DF8750A"/>
    <w:styleLink w:val="WWNum7"/>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5" w15:restartNumberingAfterBreak="0">
    <w:nsid w:val="778205D6"/>
    <w:multiLevelType w:val="multilevel"/>
    <w:tmpl w:val="05C22294"/>
    <w:styleLink w:val="WWNum11"/>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786B6BA9"/>
    <w:multiLevelType w:val="multilevel"/>
    <w:tmpl w:val="072C6F38"/>
    <w:styleLink w:val="WWNum12"/>
    <w:lvl w:ilvl="0">
      <w:start w:val="1"/>
      <w:numFmt w:val="decimal"/>
      <w:lvlText w:val="%1)"/>
      <w:lvlJc w:val="left"/>
      <w:pPr>
        <w:ind w:left="1068" w:hanging="360"/>
      </w:pPr>
      <w:rPr>
        <w:color w:val="000000"/>
      </w:rPr>
    </w:lvl>
    <w:lvl w:ilvl="1">
      <w:start w:val="1"/>
      <w:numFmt w:val="lowerLetter"/>
      <w:lvlText w:val="%2."/>
      <w:lvlJc w:val="left"/>
      <w:pPr>
        <w:ind w:left="1788" w:hanging="360"/>
      </w:pPr>
    </w:lvl>
    <w:lvl w:ilvl="2">
      <w:start w:val="1"/>
      <w:numFmt w:val="lowerRoman"/>
      <w:lvlText w:val="%1.%2.%3."/>
      <w:lvlJc w:val="right"/>
      <w:pPr>
        <w:ind w:left="2508" w:hanging="180"/>
      </w:pPr>
    </w:lvl>
    <w:lvl w:ilvl="3">
      <w:start w:val="1"/>
      <w:numFmt w:val="decimal"/>
      <w:lvlText w:val="%1.%2.%3.%4."/>
      <w:lvlJc w:val="left"/>
      <w:pPr>
        <w:ind w:left="3228" w:hanging="360"/>
      </w:pPr>
    </w:lvl>
    <w:lvl w:ilvl="4">
      <w:start w:val="1"/>
      <w:numFmt w:val="lowerLetter"/>
      <w:lvlText w:val="%1.%2.%3.%4.%5."/>
      <w:lvlJc w:val="left"/>
      <w:pPr>
        <w:ind w:left="3948" w:hanging="360"/>
      </w:pPr>
    </w:lvl>
    <w:lvl w:ilvl="5">
      <w:start w:val="1"/>
      <w:numFmt w:val="lowerRoman"/>
      <w:lvlText w:val="%1.%2.%3.%4.%5.%6."/>
      <w:lvlJc w:val="right"/>
      <w:pPr>
        <w:ind w:left="4668" w:hanging="180"/>
      </w:pPr>
    </w:lvl>
    <w:lvl w:ilvl="6">
      <w:start w:val="1"/>
      <w:numFmt w:val="decimal"/>
      <w:lvlText w:val="%1.%2.%3.%4.%5.%6.%7."/>
      <w:lvlJc w:val="left"/>
      <w:pPr>
        <w:ind w:left="5388" w:hanging="360"/>
      </w:pPr>
    </w:lvl>
    <w:lvl w:ilvl="7">
      <w:start w:val="1"/>
      <w:numFmt w:val="lowerLetter"/>
      <w:lvlText w:val="%1.%2.%3.%4.%5.%6.%7.%8."/>
      <w:lvlJc w:val="left"/>
      <w:pPr>
        <w:ind w:left="6108" w:hanging="360"/>
      </w:pPr>
    </w:lvl>
    <w:lvl w:ilvl="8">
      <w:start w:val="1"/>
      <w:numFmt w:val="lowerRoman"/>
      <w:lvlText w:val="%1.%2.%3.%4.%5.%6.%7.%8.%9."/>
      <w:lvlJc w:val="right"/>
      <w:pPr>
        <w:ind w:left="6828" w:hanging="180"/>
      </w:pPr>
    </w:lvl>
  </w:abstractNum>
  <w:abstractNum w:abstractNumId="17" w15:restartNumberingAfterBreak="0">
    <w:nsid w:val="7A2079A8"/>
    <w:multiLevelType w:val="multilevel"/>
    <w:tmpl w:val="E842C814"/>
    <w:styleLink w:val="WWNum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8" w15:restartNumberingAfterBreak="0">
    <w:nsid w:val="7D64492C"/>
    <w:multiLevelType w:val="multilevel"/>
    <w:tmpl w:val="DEB0A1DC"/>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num w:numId="1">
    <w:abstractNumId w:val="10"/>
  </w:num>
  <w:num w:numId="2">
    <w:abstractNumId w:val="5"/>
  </w:num>
  <w:num w:numId="3">
    <w:abstractNumId w:val="18"/>
  </w:num>
  <w:num w:numId="4">
    <w:abstractNumId w:val="17"/>
  </w:num>
  <w:num w:numId="5">
    <w:abstractNumId w:val="6"/>
  </w:num>
  <w:num w:numId="6">
    <w:abstractNumId w:val="4"/>
  </w:num>
  <w:num w:numId="7">
    <w:abstractNumId w:val="14"/>
  </w:num>
  <w:num w:numId="8">
    <w:abstractNumId w:val="9"/>
  </w:num>
  <w:num w:numId="9">
    <w:abstractNumId w:val="0"/>
  </w:num>
  <w:num w:numId="10">
    <w:abstractNumId w:val="1"/>
  </w:num>
  <w:num w:numId="11">
    <w:abstractNumId w:val="15"/>
  </w:num>
  <w:num w:numId="12">
    <w:abstractNumId w:val="16"/>
  </w:num>
  <w:num w:numId="13">
    <w:abstractNumId w:val="3"/>
  </w:num>
  <w:num w:numId="14">
    <w:abstractNumId w:val="2"/>
  </w:num>
  <w:num w:numId="15">
    <w:abstractNumId w:val="12"/>
  </w:num>
  <w:num w:numId="16">
    <w:abstractNumId w:val="7"/>
  </w:num>
  <w:num w:numId="17">
    <w:abstractNumId w:val="11"/>
  </w:num>
  <w:num w:numId="18">
    <w:abstractNumId w:val="13"/>
  </w:num>
  <w:num w:numId="19">
    <w:abstractNumId w:val="9"/>
    <w:lvlOverride w:ilvl="0">
      <w:startOverride w:val="1"/>
    </w:lvlOverride>
  </w:num>
  <w:num w:numId="20">
    <w:abstractNumId w:val="0"/>
    <w:lvlOverride w:ilvl="0">
      <w:startOverride w:val="1"/>
    </w:lvlOverride>
  </w:num>
  <w:num w:numId="21">
    <w:abstractNumId w:val="16"/>
    <w:lvlOverride w:ilvl="0">
      <w:startOverride w:val="1"/>
    </w:lvlOverride>
  </w:num>
  <w:num w:numId="22">
    <w:abstractNumId w:val="3"/>
    <w:lvlOverride w:ilvl="0">
      <w:startOverride w:val="1"/>
    </w:lvlOverride>
  </w:num>
  <w:num w:numId="23">
    <w:abstractNumId w:val="12"/>
    <w:lvlOverride w:ilvl="0">
      <w:startOverride w:val="1"/>
    </w:lvlOverride>
  </w:num>
  <w:num w:numId="24">
    <w:abstractNumId w:val="5"/>
    <w:lvlOverride w:ilvl="0">
      <w:startOverride w:val="1"/>
    </w:lvlOverride>
  </w:num>
  <w:num w:numId="25">
    <w:abstractNumId w:val="8"/>
  </w:num>
  <w:num w:numId="26">
    <w:abstractNumId w:val="17"/>
    <w:lvlOverride w:ilvl="0">
      <w:startOverride w:val="1"/>
    </w:lvlOverride>
  </w:num>
  <w:num w:numId="27">
    <w:abstractNumId w:val="18"/>
    <w:lvlOverride w:ilvl="0">
      <w:startOverride w:val="1"/>
    </w:lvlOverride>
  </w:num>
  <w:num w:numId="28">
    <w:abstractNumId w:val="13"/>
    <w:lvlOverride w:ilvl="0">
      <w:startOverride w:val="1"/>
    </w:lvlOverride>
  </w:num>
  <w:num w:numId="29">
    <w:abstractNumId w:val="4"/>
  </w:num>
  <w:num w:numId="30">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C3C"/>
    <w:rsid w:val="00066EE3"/>
    <w:rsid w:val="004E66E0"/>
    <w:rsid w:val="0092202D"/>
    <w:rsid w:val="00A26639"/>
    <w:rsid w:val="00AE4AEC"/>
    <w:rsid w:val="00E27C3C"/>
    <w:rsid w:val="00F748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4815C"/>
  <w15:docId w15:val="{13DFD977-2EDD-4112-B679-F7F175843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ahoma"/>
        <w:kern w:val="3"/>
        <w:sz w:val="22"/>
        <w:szCs w:val="22"/>
        <w:lang w:val="pl-PL" w:eastAsia="en-US" w:bidi="ar-SA"/>
      </w:rPr>
    </w:rPrDefault>
    <w:pPrDefault>
      <w:pPr>
        <w:widowControl w:val="0"/>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Lista">
    <w:name w:val="List"/>
    <w:basedOn w:val="Textbody"/>
    <w:rPr>
      <w:rFonts w:cs="Lucida Sans"/>
    </w:rPr>
  </w:style>
  <w:style w:type="paragraph" w:styleId="Legenda">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rPr>
  </w:style>
  <w:style w:type="paragraph" w:styleId="NormalnyWeb">
    <w:name w:val="Normal (Web)"/>
    <w:basedOn w:val="Standard"/>
    <w:pPr>
      <w:spacing w:before="100" w:after="119" w:line="240" w:lineRule="auto"/>
    </w:pPr>
    <w:rPr>
      <w:rFonts w:ascii="Times New Roman" w:eastAsia="Times New Roman" w:hAnsi="Times New Roman" w:cs="Times New Roman"/>
      <w:sz w:val="24"/>
      <w:szCs w:val="24"/>
      <w:lang w:eastAsia="pl-PL"/>
    </w:rPr>
  </w:style>
  <w:style w:type="paragraph" w:styleId="Akapitzlist">
    <w:name w:val="List Paragraph"/>
    <w:basedOn w:val="Standard"/>
    <w:pPr>
      <w:ind w:left="720"/>
    </w:pPr>
  </w:style>
  <w:style w:type="paragraph" w:styleId="Tekstkomentarza">
    <w:name w:val="annotation text"/>
    <w:basedOn w:val="Standard"/>
    <w:pPr>
      <w:spacing w:line="240" w:lineRule="auto"/>
    </w:pPr>
    <w:rPr>
      <w:sz w:val="20"/>
      <w:szCs w:val="20"/>
    </w:rPr>
  </w:style>
  <w:style w:type="paragraph" w:styleId="Tematkomentarza">
    <w:name w:val="annotation subject"/>
    <w:basedOn w:val="Tekstkomentarza"/>
    <w:rPr>
      <w:b/>
      <w:bCs/>
    </w:rPr>
  </w:style>
  <w:style w:type="paragraph" w:styleId="Tekstdymka">
    <w:name w:val="Balloon Text"/>
    <w:basedOn w:val="Standard"/>
    <w:pPr>
      <w:spacing w:after="0" w:line="240" w:lineRule="auto"/>
    </w:pPr>
    <w:rPr>
      <w:rFonts w:ascii="Segoe UI" w:hAnsi="Segoe UI" w:cs="Segoe UI"/>
      <w:sz w:val="18"/>
      <w:szCs w:val="18"/>
    </w:rPr>
  </w:style>
  <w:style w:type="character" w:styleId="Odwoaniedokomentarza">
    <w:name w:val="annotation reference"/>
    <w:basedOn w:val="Domylnaczcionkaakapitu"/>
    <w:rPr>
      <w:sz w:val="16"/>
      <w:szCs w:val="16"/>
    </w:rPr>
  </w:style>
  <w:style w:type="character" w:customStyle="1" w:styleId="TekstkomentarzaZnak">
    <w:name w:val="Tekst komentarza Znak"/>
    <w:basedOn w:val="Domylnaczcionkaakapitu"/>
    <w:rPr>
      <w:sz w:val="20"/>
      <w:szCs w:val="20"/>
    </w:rPr>
  </w:style>
  <w:style w:type="character" w:customStyle="1" w:styleId="TematkomentarzaZnak">
    <w:name w:val="Temat komentarza Znak"/>
    <w:basedOn w:val="TekstkomentarzaZnak"/>
    <w:rPr>
      <w:b/>
      <w:bCs/>
      <w:sz w:val="20"/>
      <w:szCs w:val="20"/>
    </w:rPr>
  </w:style>
  <w:style w:type="character" w:customStyle="1" w:styleId="TekstdymkaZnak">
    <w:name w:val="Tekst dymka Znak"/>
    <w:basedOn w:val="Domylnaczcionkaakapitu"/>
    <w:rPr>
      <w:rFonts w:ascii="Segoe UI" w:hAnsi="Segoe UI" w:cs="Segoe UI"/>
      <w:sz w:val="18"/>
      <w:szCs w:val="18"/>
    </w:rPr>
  </w:style>
  <w:style w:type="character" w:customStyle="1" w:styleId="ListLabel1">
    <w:name w:val="ListLabel 1"/>
    <w:rPr>
      <w:sz w:val="20"/>
    </w:rPr>
  </w:style>
  <w:style w:type="character" w:customStyle="1" w:styleId="ListLabel2">
    <w:name w:val="ListLabel 2"/>
    <w:rPr>
      <w:b w:val="0"/>
    </w:rPr>
  </w:style>
  <w:style w:type="character" w:customStyle="1" w:styleId="ListLabel3">
    <w:name w:val="ListLabel 3"/>
    <w:rPr>
      <w:color w:val="000000"/>
    </w:rPr>
  </w:style>
  <w:style w:type="character" w:customStyle="1" w:styleId="NumberingSymbols">
    <w:name w:val="Numbering Symbols"/>
  </w:style>
  <w:style w:type="paragraph" w:styleId="Poprawka">
    <w:name w:val="Revision"/>
    <w:pPr>
      <w:widowControl/>
      <w:spacing w:after="0" w:line="240" w:lineRule="auto"/>
      <w:textAlignment w:val="auto"/>
    </w:p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1073</Words>
  <Characters>6440</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Komisja Krajowa NSZZ Solidarność</Company>
  <LinksUpToDate>false</LinksUpToDate>
  <CharactersWithSpaces>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Agnieszka Iwaniuk</dc:creator>
  <cp:lastModifiedBy>Kasia</cp:lastModifiedBy>
  <cp:revision>4</cp:revision>
  <dcterms:created xsi:type="dcterms:W3CDTF">2021-03-18T10:08:00Z</dcterms:created>
  <dcterms:modified xsi:type="dcterms:W3CDTF">2021-03-19T07:07:00Z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