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56F86" w14:textId="4F824E5A" w:rsidR="009F0FC7" w:rsidRPr="002E1AB6" w:rsidRDefault="009F0FC7" w:rsidP="002E1AB6">
      <w:pPr>
        <w:jc w:val="both"/>
        <w:rPr>
          <w:rFonts w:cs="Times New Roman"/>
          <w:szCs w:val="24"/>
        </w:rPr>
      </w:pPr>
      <w:r w:rsidRPr="002E1AB6">
        <w:rPr>
          <w:rFonts w:cs="Times New Roman"/>
          <w:szCs w:val="24"/>
        </w:rPr>
        <w:t>Warszawa 8 styczeń 2020</w:t>
      </w:r>
      <w:r w:rsidR="00F01211" w:rsidRPr="002E1AB6">
        <w:rPr>
          <w:rFonts w:cs="Times New Roman"/>
          <w:szCs w:val="24"/>
        </w:rPr>
        <w:t xml:space="preserve"> r. </w:t>
      </w:r>
    </w:p>
    <w:p w14:paraId="582101A4" w14:textId="77777777" w:rsidR="00906AEE" w:rsidRPr="002E1AB6" w:rsidRDefault="009B6202" w:rsidP="002E1AB6">
      <w:pPr>
        <w:jc w:val="both"/>
        <w:rPr>
          <w:rFonts w:cs="Times New Roman"/>
          <w:szCs w:val="24"/>
          <w:u w:val="single"/>
        </w:rPr>
      </w:pPr>
      <w:r w:rsidRPr="002E1AB6">
        <w:rPr>
          <w:rFonts w:cs="Times New Roman"/>
          <w:szCs w:val="24"/>
          <w:u w:val="single"/>
        </w:rPr>
        <w:t>Materiały szkoleniowe –</w:t>
      </w:r>
      <w:r w:rsidR="003D4C9F" w:rsidRPr="002E1AB6">
        <w:rPr>
          <w:rFonts w:cs="Times New Roman"/>
          <w:szCs w:val="24"/>
          <w:u w:val="single"/>
        </w:rPr>
        <w:t xml:space="preserve"> </w:t>
      </w:r>
      <w:r w:rsidR="003D4C9F" w:rsidRPr="002E1AB6">
        <w:rPr>
          <w:rFonts w:cs="Times New Roman"/>
          <w:b/>
          <w:bCs/>
          <w:szCs w:val="24"/>
          <w:u w:val="single"/>
        </w:rPr>
        <w:t>Podstawowe informacje dotyczące Semestru Europejskiego</w:t>
      </w:r>
    </w:p>
    <w:p w14:paraId="4B6440D8" w14:textId="15DCF148" w:rsidR="009B6202" w:rsidRPr="002E1AB6" w:rsidRDefault="009B6202" w:rsidP="002E1AB6">
      <w:pPr>
        <w:jc w:val="both"/>
        <w:rPr>
          <w:rFonts w:cs="Times New Roman"/>
          <w:szCs w:val="24"/>
          <w:u w:val="single"/>
        </w:rPr>
      </w:pPr>
      <w:r w:rsidRPr="002E1AB6">
        <w:rPr>
          <w:rFonts w:cs="Times New Roman"/>
          <w:szCs w:val="24"/>
          <w:u w:val="single"/>
        </w:rPr>
        <w:t>Szkolenie</w:t>
      </w:r>
      <w:r w:rsidR="009F0FC7" w:rsidRPr="002E1AB6">
        <w:rPr>
          <w:rFonts w:cs="Times New Roman"/>
          <w:szCs w:val="24"/>
          <w:u w:val="single"/>
        </w:rPr>
        <w:t xml:space="preserve"> dotyczące Semestru Europejskiego</w:t>
      </w:r>
      <w:r w:rsidRPr="002E1AB6">
        <w:rPr>
          <w:rFonts w:cs="Times New Roman"/>
          <w:szCs w:val="24"/>
          <w:u w:val="single"/>
        </w:rPr>
        <w:t xml:space="preserve"> dla członków RDS, Zespołów Problemowych RDS oraz członków Branżowych  Zespołów Trójstronnych</w:t>
      </w:r>
    </w:p>
    <w:p w14:paraId="60187E27" w14:textId="5C545559" w:rsidR="009B6202" w:rsidRPr="002E1AB6" w:rsidRDefault="009B6202" w:rsidP="002E1AB6">
      <w:pPr>
        <w:jc w:val="both"/>
        <w:rPr>
          <w:rFonts w:cs="Times New Roman"/>
          <w:szCs w:val="24"/>
        </w:rPr>
      </w:pPr>
      <w:r w:rsidRPr="002E1AB6">
        <w:rPr>
          <w:rFonts w:cs="Times New Roman"/>
          <w:szCs w:val="24"/>
        </w:rPr>
        <w:t>Materiały zebrała: Barbara Surdykowska, NSZZ Solidarność</w:t>
      </w:r>
      <w:r w:rsidR="003D4C9F" w:rsidRPr="002E1AB6">
        <w:rPr>
          <w:rFonts w:cs="Times New Roman"/>
          <w:szCs w:val="24"/>
        </w:rPr>
        <w:t>,</w:t>
      </w:r>
      <w:r w:rsidRPr="002E1AB6">
        <w:rPr>
          <w:rFonts w:cs="Times New Roman"/>
          <w:szCs w:val="24"/>
        </w:rPr>
        <w:t xml:space="preserve"> na podstawie źródeł wskazanych </w:t>
      </w:r>
      <w:r w:rsidR="009F0FC7" w:rsidRPr="002E1AB6">
        <w:rPr>
          <w:rFonts w:cs="Times New Roman"/>
          <w:szCs w:val="24"/>
        </w:rPr>
        <w:t>na końcu notatki.</w:t>
      </w:r>
      <w:r w:rsidRPr="002E1AB6">
        <w:rPr>
          <w:rFonts w:cs="Times New Roman"/>
          <w:szCs w:val="24"/>
        </w:rPr>
        <w:t xml:space="preserve"> </w:t>
      </w:r>
    </w:p>
    <w:p w14:paraId="26AC7649" w14:textId="77777777" w:rsidR="009B6202" w:rsidRPr="002E1AB6" w:rsidRDefault="009B6202" w:rsidP="002E1AB6">
      <w:pPr>
        <w:jc w:val="both"/>
        <w:rPr>
          <w:rFonts w:cs="Times New Roman"/>
          <w:szCs w:val="24"/>
        </w:rPr>
      </w:pPr>
    </w:p>
    <w:p w14:paraId="41429960" w14:textId="77777777" w:rsidR="009B6202" w:rsidRPr="002E1AB6" w:rsidRDefault="009F0FC7" w:rsidP="002E1AB6">
      <w:pPr>
        <w:jc w:val="both"/>
        <w:rPr>
          <w:rFonts w:cs="Times New Roman"/>
          <w:b/>
          <w:szCs w:val="24"/>
          <w:u w:val="single"/>
        </w:rPr>
      </w:pPr>
      <w:r w:rsidRPr="002E1AB6">
        <w:rPr>
          <w:rFonts w:cs="Times New Roman"/>
          <w:b/>
          <w:szCs w:val="24"/>
          <w:u w:val="single"/>
        </w:rPr>
        <w:t>Podstawowe pojęcia</w:t>
      </w:r>
    </w:p>
    <w:p w14:paraId="3302BCF6" w14:textId="77777777" w:rsidR="009B6202" w:rsidRPr="002E1AB6" w:rsidRDefault="009F0FC7" w:rsidP="002E1AB6">
      <w:pPr>
        <w:pStyle w:val="Akapitzlist"/>
        <w:numPr>
          <w:ilvl w:val="0"/>
          <w:numId w:val="1"/>
        </w:numPr>
        <w:jc w:val="both"/>
        <w:rPr>
          <w:rFonts w:cs="Times New Roman"/>
          <w:szCs w:val="24"/>
        </w:rPr>
      </w:pPr>
      <w:r w:rsidRPr="002E1AB6">
        <w:rPr>
          <w:rFonts w:cs="Times New Roman"/>
          <w:szCs w:val="24"/>
        </w:rPr>
        <w:t>Co to jest Semestr E</w:t>
      </w:r>
      <w:r w:rsidR="009B6202" w:rsidRPr="002E1AB6">
        <w:rPr>
          <w:rFonts w:cs="Times New Roman"/>
          <w:szCs w:val="24"/>
        </w:rPr>
        <w:t xml:space="preserve">uropejski? </w:t>
      </w:r>
    </w:p>
    <w:p w14:paraId="0B17EEFB" w14:textId="7F9877FF" w:rsidR="009B6202" w:rsidRPr="002E1AB6" w:rsidRDefault="00F01211" w:rsidP="002E1AB6">
      <w:pPr>
        <w:pStyle w:val="Akapitzlist"/>
        <w:jc w:val="both"/>
        <w:rPr>
          <w:rFonts w:cs="Times New Roman"/>
          <w:szCs w:val="24"/>
        </w:rPr>
      </w:pPr>
      <w:r w:rsidRPr="002E1AB6">
        <w:rPr>
          <w:rFonts w:cs="Times New Roman"/>
          <w:bCs/>
          <w:szCs w:val="24"/>
        </w:rPr>
        <w:t>S</w:t>
      </w:r>
      <w:r w:rsidR="009B6202" w:rsidRPr="002E1AB6">
        <w:rPr>
          <w:rFonts w:cs="Times New Roman"/>
          <w:bCs/>
          <w:szCs w:val="24"/>
        </w:rPr>
        <w:t xml:space="preserve">emestr </w:t>
      </w:r>
      <w:r w:rsidRPr="002E1AB6">
        <w:rPr>
          <w:rFonts w:cs="Times New Roman"/>
          <w:bCs/>
          <w:szCs w:val="24"/>
        </w:rPr>
        <w:t xml:space="preserve"> Europejski </w:t>
      </w:r>
      <w:r w:rsidR="009B6202" w:rsidRPr="002E1AB6">
        <w:rPr>
          <w:rFonts w:cs="Times New Roman"/>
          <w:bCs/>
          <w:szCs w:val="24"/>
        </w:rPr>
        <w:t>to procedura, podczas której koordynuje się politykę gospodarczą i budżetową w UE.</w:t>
      </w:r>
      <w:r w:rsidRPr="002E1AB6">
        <w:rPr>
          <w:rFonts w:cs="Times New Roman"/>
          <w:bCs/>
          <w:szCs w:val="24"/>
        </w:rPr>
        <w:t xml:space="preserve"> </w:t>
      </w:r>
      <w:r w:rsidRPr="002E1AB6">
        <w:rPr>
          <w:rFonts w:cs="Times New Roman"/>
          <w:bCs/>
          <w:szCs w:val="24"/>
        </w:rPr>
        <w:t>Zainicjowana została w Unii Europejskiej w roku 2011, po kryzysie lat 2008-2010, który wyraźnie obnażył braki dotychczasowej koordynacji</w:t>
      </w:r>
      <w:r w:rsidR="009B6202" w:rsidRPr="002E1AB6">
        <w:rPr>
          <w:rFonts w:cs="Times New Roman"/>
          <w:bCs/>
          <w:szCs w:val="24"/>
        </w:rPr>
        <w:t xml:space="preserve"> </w:t>
      </w:r>
      <w:r w:rsidR="009B6202" w:rsidRPr="002E1AB6">
        <w:rPr>
          <w:rFonts w:cs="Times New Roman"/>
          <w:b/>
          <w:bCs/>
          <w:szCs w:val="24"/>
        </w:rPr>
        <w:t>Jest elementem unijnego zarządzania gospodarczego</w:t>
      </w:r>
      <w:r w:rsidR="009B6202" w:rsidRPr="002E1AB6">
        <w:rPr>
          <w:rFonts w:cs="Times New Roman"/>
          <w:bCs/>
          <w:szCs w:val="24"/>
        </w:rPr>
        <w:t>.</w:t>
      </w:r>
      <w:r w:rsidR="009B6202" w:rsidRPr="002E1AB6">
        <w:rPr>
          <w:rFonts w:cs="Times New Roman"/>
          <w:b/>
          <w:bCs/>
          <w:szCs w:val="24"/>
        </w:rPr>
        <w:t xml:space="preserve"> </w:t>
      </w:r>
      <w:r w:rsidR="009B6202" w:rsidRPr="002E1AB6">
        <w:rPr>
          <w:rFonts w:cs="Times New Roman"/>
          <w:szCs w:val="24"/>
        </w:rPr>
        <w:t xml:space="preserve">Podczas </w:t>
      </w:r>
      <w:r w:rsidRPr="002E1AB6">
        <w:rPr>
          <w:rFonts w:cs="Times New Roman"/>
          <w:szCs w:val="24"/>
        </w:rPr>
        <w:t xml:space="preserve">Semestru Europejskiego </w:t>
      </w:r>
      <w:r w:rsidR="009B6202" w:rsidRPr="002E1AB6">
        <w:rPr>
          <w:rFonts w:cs="Times New Roman"/>
          <w:szCs w:val="24"/>
        </w:rPr>
        <w:t>państwa członkowskie winny  dopasować  swoją politykę budżetową i gospodarczą do celów i zasad ustalonych na szczeblu UE. </w:t>
      </w:r>
      <w:r w:rsidR="009F0FC7" w:rsidRPr="002E1AB6">
        <w:rPr>
          <w:rFonts w:cs="Times New Roman"/>
          <w:szCs w:val="24"/>
        </w:rPr>
        <w:t>Semestr Europejski ma łączyć oddzielne procesy koordynacji budżetu prowadzonej w ramach Paktu Stabilności i Wzrostu i polityk strukturalnych prowadzonych w ramach strategii wzrostu UE ("Europa 2020"). Włącza on zatem wymiar europejski w prace nad budżetami krajowymi na następny rok na możliwie wczesnym etapie.</w:t>
      </w:r>
    </w:p>
    <w:p w14:paraId="3037BCD8" w14:textId="77777777" w:rsidR="009B6202" w:rsidRPr="002E1AB6" w:rsidRDefault="009B6202" w:rsidP="002E1AB6">
      <w:pPr>
        <w:pStyle w:val="Akapitzlist"/>
        <w:jc w:val="both"/>
        <w:rPr>
          <w:rFonts w:cs="Times New Roman"/>
          <w:szCs w:val="24"/>
        </w:rPr>
      </w:pPr>
    </w:p>
    <w:p w14:paraId="65548402" w14:textId="4CAC1434" w:rsidR="009B6202" w:rsidRPr="002E1AB6" w:rsidRDefault="009B6202" w:rsidP="002E1AB6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outlineLvl w:val="1"/>
        <w:rPr>
          <w:rFonts w:eastAsia="Times New Roman" w:cs="Times New Roman"/>
          <w:bCs/>
          <w:szCs w:val="24"/>
          <w:lang w:eastAsia="pl-PL"/>
        </w:rPr>
      </w:pPr>
      <w:r w:rsidRPr="002E1AB6">
        <w:rPr>
          <w:rFonts w:eastAsia="Times New Roman" w:cs="Times New Roman"/>
          <w:bCs/>
          <w:szCs w:val="24"/>
          <w:lang w:eastAsia="pl-PL"/>
        </w:rPr>
        <w:t>Któ</w:t>
      </w:r>
      <w:r w:rsidR="009F0FC7" w:rsidRPr="002E1AB6">
        <w:rPr>
          <w:rFonts w:eastAsia="Times New Roman" w:cs="Times New Roman"/>
          <w:bCs/>
          <w:szCs w:val="24"/>
          <w:lang w:eastAsia="pl-PL"/>
        </w:rPr>
        <w:t>re dziedziny polityki obejmuje</w:t>
      </w:r>
      <w:r w:rsidR="00906AEE" w:rsidRPr="002E1AB6">
        <w:rPr>
          <w:rFonts w:eastAsia="Times New Roman" w:cs="Times New Roman"/>
          <w:bCs/>
          <w:szCs w:val="24"/>
          <w:lang w:eastAsia="pl-PL"/>
        </w:rPr>
        <w:t xml:space="preserve"> </w:t>
      </w:r>
      <w:r w:rsidR="009F0FC7" w:rsidRPr="002E1AB6">
        <w:rPr>
          <w:rFonts w:eastAsia="Times New Roman" w:cs="Times New Roman"/>
          <w:bCs/>
          <w:szCs w:val="24"/>
          <w:lang w:eastAsia="pl-PL"/>
        </w:rPr>
        <w:t>S</w:t>
      </w:r>
      <w:r w:rsidRPr="002E1AB6">
        <w:rPr>
          <w:rFonts w:eastAsia="Times New Roman" w:cs="Times New Roman"/>
          <w:bCs/>
          <w:szCs w:val="24"/>
          <w:lang w:eastAsia="pl-PL"/>
        </w:rPr>
        <w:t>emestr</w:t>
      </w:r>
      <w:r w:rsidR="00906AEE" w:rsidRPr="002E1AB6">
        <w:rPr>
          <w:rFonts w:eastAsia="Times New Roman" w:cs="Times New Roman"/>
          <w:bCs/>
          <w:szCs w:val="24"/>
          <w:lang w:eastAsia="pl-PL"/>
        </w:rPr>
        <w:t xml:space="preserve"> Europejski</w:t>
      </w:r>
      <w:r w:rsidRPr="002E1AB6">
        <w:rPr>
          <w:rFonts w:eastAsia="Times New Roman" w:cs="Times New Roman"/>
          <w:bCs/>
          <w:szCs w:val="24"/>
          <w:lang w:eastAsia="pl-PL"/>
        </w:rPr>
        <w:t>?</w:t>
      </w:r>
    </w:p>
    <w:p w14:paraId="76591CE3" w14:textId="77777777" w:rsidR="009B6202" w:rsidRPr="002E1AB6" w:rsidRDefault="009B6202" w:rsidP="002E1AB6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szCs w:val="24"/>
          <w:lang w:eastAsia="pl-PL"/>
        </w:rPr>
      </w:pPr>
      <w:r w:rsidRPr="002E1AB6">
        <w:rPr>
          <w:rFonts w:eastAsia="Times New Roman" w:cs="Times New Roman"/>
          <w:szCs w:val="24"/>
          <w:lang w:eastAsia="pl-PL"/>
        </w:rPr>
        <w:t xml:space="preserve">Podczas europejskiego semestru koordynuje się </w:t>
      </w:r>
      <w:r w:rsidRPr="002E1AB6">
        <w:rPr>
          <w:rFonts w:eastAsia="Times New Roman" w:cs="Times New Roman"/>
          <w:b/>
          <w:bCs/>
          <w:szCs w:val="24"/>
          <w:lang w:eastAsia="pl-PL"/>
        </w:rPr>
        <w:t>3 działy</w:t>
      </w:r>
      <w:r w:rsidRPr="002E1AB6">
        <w:rPr>
          <w:rFonts w:eastAsia="Times New Roman" w:cs="Times New Roman"/>
          <w:szCs w:val="24"/>
          <w:lang w:eastAsia="pl-PL"/>
        </w:rPr>
        <w:t xml:space="preserve"> polityki gospodarczej:</w:t>
      </w:r>
    </w:p>
    <w:p w14:paraId="53B61A56" w14:textId="77777777" w:rsidR="009B6202" w:rsidRPr="002E1AB6" w:rsidRDefault="009B6202" w:rsidP="002E1AB6">
      <w:pPr>
        <w:spacing w:before="100" w:beforeAutospacing="1" w:after="100" w:afterAutospacing="1"/>
        <w:ind w:left="720"/>
        <w:jc w:val="both"/>
        <w:rPr>
          <w:rFonts w:eastAsia="Times New Roman" w:cs="Times New Roman"/>
          <w:szCs w:val="24"/>
          <w:lang w:eastAsia="pl-PL"/>
        </w:rPr>
      </w:pPr>
      <w:r w:rsidRPr="002E1AB6">
        <w:rPr>
          <w:rFonts w:eastAsia="Times New Roman" w:cs="Times New Roman"/>
          <w:b/>
          <w:bCs/>
          <w:szCs w:val="24"/>
          <w:lang w:eastAsia="pl-PL"/>
        </w:rPr>
        <w:t>Reformy strukturalne</w:t>
      </w:r>
      <w:r w:rsidRPr="002E1AB6">
        <w:rPr>
          <w:rFonts w:eastAsia="Times New Roman" w:cs="Times New Roman"/>
          <w:szCs w:val="24"/>
          <w:lang w:eastAsia="pl-PL"/>
        </w:rPr>
        <w:t>, służące promowaniu wzrostu i zatrudnienia zgodnie ze strategią „Europa 2020”</w:t>
      </w:r>
    </w:p>
    <w:p w14:paraId="0C1D4869" w14:textId="77777777" w:rsidR="009B6202" w:rsidRPr="002E1AB6" w:rsidRDefault="009B6202" w:rsidP="002E1AB6">
      <w:pPr>
        <w:spacing w:before="100" w:beforeAutospacing="1" w:after="100" w:afterAutospacing="1"/>
        <w:ind w:left="708"/>
        <w:jc w:val="both"/>
        <w:rPr>
          <w:rFonts w:eastAsia="Times New Roman" w:cs="Times New Roman"/>
          <w:szCs w:val="24"/>
          <w:lang w:eastAsia="pl-PL"/>
        </w:rPr>
      </w:pPr>
      <w:r w:rsidRPr="002E1AB6">
        <w:rPr>
          <w:rFonts w:eastAsia="Times New Roman" w:cs="Times New Roman"/>
          <w:b/>
          <w:bCs/>
          <w:szCs w:val="24"/>
          <w:lang w:eastAsia="pl-PL"/>
        </w:rPr>
        <w:t>Politykę budżetową</w:t>
      </w:r>
      <w:r w:rsidRPr="002E1AB6">
        <w:rPr>
          <w:rFonts w:eastAsia="Times New Roman" w:cs="Times New Roman"/>
          <w:szCs w:val="24"/>
          <w:lang w:eastAsia="pl-PL"/>
        </w:rPr>
        <w:t>, służącą zapewnieniu stabilności finansów publicznych zgodnie z paktem stabilności i wzrostu</w:t>
      </w:r>
    </w:p>
    <w:p w14:paraId="5C0ED536" w14:textId="369B9088" w:rsidR="009B6202" w:rsidRPr="002E1AB6" w:rsidRDefault="009B6202" w:rsidP="002E1AB6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szCs w:val="24"/>
          <w:lang w:eastAsia="pl-PL"/>
        </w:rPr>
      </w:pPr>
      <w:r w:rsidRPr="002E1AB6">
        <w:rPr>
          <w:rFonts w:eastAsia="Times New Roman" w:cs="Times New Roman"/>
          <w:szCs w:val="24"/>
          <w:lang w:eastAsia="pl-PL"/>
        </w:rPr>
        <w:t xml:space="preserve">Zapobieganie nadmiernym zakłóceniom </w:t>
      </w:r>
      <w:r w:rsidRPr="002E1AB6">
        <w:rPr>
          <w:rFonts w:eastAsia="Times New Roman" w:cs="Times New Roman"/>
          <w:b/>
          <w:bCs/>
          <w:szCs w:val="24"/>
          <w:lang w:eastAsia="pl-PL"/>
        </w:rPr>
        <w:t>równowagi makroekonomicznej</w:t>
      </w:r>
      <w:r w:rsidRPr="002E1AB6">
        <w:rPr>
          <w:rFonts w:eastAsia="Times New Roman" w:cs="Times New Roman"/>
          <w:szCs w:val="24"/>
          <w:lang w:eastAsia="pl-PL"/>
        </w:rPr>
        <w:t>.</w:t>
      </w:r>
    </w:p>
    <w:p w14:paraId="4016602B" w14:textId="77777777" w:rsidR="009B6202" w:rsidRPr="002E1AB6" w:rsidRDefault="009B6202" w:rsidP="002E1AB6">
      <w:pPr>
        <w:pStyle w:val="Akapitzlist"/>
        <w:jc w:val="both"/>
        <w:rPr>
          <w:rFonts w:cs="Times New Roman"/>
          <w:szCs w:val="24"/>
        </w:rPr>
      </w:pPr>
    </w:p>
    <w:p w14:paraId="35742C83" w14:textId="77777777" w:rsidR="009B6202" w:rsidRPr="002E1AB6" w:rsidRDefault="009F0FC7" w:rsidP="002E1AB6">
      <w:pPr>
        <w:pStyle w:val="Akapitzlist"/>
        <w:numPr>
          <w:ilvl w:val="0"/>
          <w:numId w:val="1"/>
        </w:numPr>
        <w:jc w:val="both"/>
        <w:rPr>
          <w:rFonts w:cs="Times New Roman"/>
          <w:szCs w:val="24"/>
        </w:rPr>
      </w:pPr>
      <w:r w:rsidRPr="002E1AB6">
        <w:rPr>
          <w:rFonts w:cs="Times New Roman"/>
          <w:szCs w:val="24"/>
        </w:rPr>
        <w:t>Jak wygląda procedura Semestru E</w:t>
      </w:r>
      <w:r w:rsidR="009B6202" w:rsidRPr="002E1AB6">
        <w:rPr>
          <w:rFonts w:cs="Times New Roman"/>
          <w:szCs w:val="24"/>
        </w:rPr>
        <w:t>uropejskiego?</w:t>
      </w:r>
    </w:p>
    <w:p w14:paraId="44DC5DBA" w14:textId="77777777" w:rsidR="006D7DAD" w:rsidRPr="002E1AB6" w:rsidRDefault="006D7DAD" w:rsidP="002E1AB6">
      <w:pPr>
        <w:pStyle w:val="Akapitzlist"/>
        <w:jc w:val="both"/>
        <w:rPr>
          <w:rFonts w:cs="Times New Roman"/>
          <w:szCs w:val="24"/>
        </w:rPr>
      </w:pPr>
      <w:r w:rsidRPr="002E1AB6">
        <w:rPr>
          <w:rFonts w:cs="Times New Roman"/>
          <w:szCs w:val="24"/>
        </w:rPr>
        <w:t xml:space="preserve">Semestr europejski składa się z określonych powtarzających się faz. </w:t>
      </w:r>
    </w:p>
    <w:p w14:paraId="550494FE" w14:textId="77777777" w:rsidR="006D7DAD" w:rsidRPr="002E1AB6" w:rsidRDefault="006D7DAD" w:rsidP="002E1AB6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szCs w:val="24"/>
          <w:lang w:eastAsia="pl-PL"/>
        </w:rPr>
      </w:pPr>
      <w:r w:rsidRPr="002E1AB6">
        <w:rPr>
          <w:rFonts w:eastAsia="Times New Roman" w:cs="Times New Roman"/>
          <w:szCs w:val="24"/>
          <w:lang w:eastAsia="pl-PL"/>
        </w:rPr>
        <w:t>Semestr Europejski rozpoczyna się w listopadzie i ma charakter cykliczny:</w:t>
      </w:r>
    </w:p>
    <w:p w14:paraId="2BD4A7BF" w14:textId="77777777" w:rsidR="006D7DAD" w:rsidRPr="002E1AB6" w:rsidRDefault="006D7DAD" w:rsidP="002E1AB6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2E1AB6">
        <w:rPr>
          <w:rFonts w:eastAsia="Times New Roman" w:cs="Times New Roman"/>
          <w:b/>
          <w:bCs/>
          <w:szCs w:val="24"/>
          <w:lang w:eastAsia="pl-PL"/>
        </w:rPr>
        <w:t>listopad</w:t>
      </w:r>
      <w:r w:rsidRPr="002E1AB6">
        <w:rPr>
          <w:rFonts w:eastAsia="Times New Roman" w:cs="Times New Roman"/>
          <w:szCs w:val="24"/>
          <w:lang w:eastAsia="pl-PL"/>
        </w:rPr>
        <w:t xml:space="preserve"> – KE publikuje Roczną analizę wzrostu gospodarczego  (ang. </w:t>
      </w:r>
      <w:proofErr w:type="spellStart"/>
      <w:r w:rsidRPr="002E1AB6">
        <w:rPr>
          <w:rFonts w:eastAsia="Times New Roman" w:cs="Times New Roman"/>
          <w:szCs w:val="24"/>
          <w:lang w:eastAsia="pl-PL"/>
        </w:rPr>
        <w:t>Annual</w:t>
      </w:r>
      <w:proofErr w:type="spellEnd"/>
      <w:r w:rsidRPr="002E1AB6">
        <w:rPr>
          <w:rFonts w:eastAsia="Times New Roman" w:cs="Times New Roman"/>
          <w:szCs w:val="24"/>
          <w:lang w:eastAsia="pl-PL"/>
        </w:rPr>
        <w:t xml:space="preserve"> </w:t>
      </w:r>
      <w:proofErr w:type="spellStart"/>
      <w:r w:rsidRPr="002E1AB6">
        <w:rPr>
          <w:rFonts w:eastAsia="Times New Roman" w:cs="Times New Roman"/>
          <w:szCs w:val="24"/>
          <w:lang w:eastAsia="pl-PL"/>
        </w:rPr>
        <w:t>Growth</w:t>
      </w:r>
      <w:proofErr w:type="spellEnd"/>
      <w:r w:rsidRPr="002E1AB6">
        <w:rPr>
          <w:rFonts w:eastAsia="Times New Roman" w:cs="Times New Roman"/>
          <w:szCs w:val="24"/>
          <w:lang w:eastAsia="pl-PL"/>
        </w:rPr>
        <w:t xml:space="preserve"> </w:t>
      </w:r>
      <w:proofErr w:type="spellStart"/>
      <w:r w:rsidRPr="002E1AB6">
        <w:rPr>
          <w:rFonts w:eastAsia="Times New Roman" w:cs="Times New Roman"/>
          <w:szCs w:val="24"/>
          <w:lang w:eastAsia="pl-PL"/>
        </w:rPr>
        <w:t>Survey</w:t>
      </w:r>
      <w:proofErr w:type="spellEnd"/>
      <w:r w:rsidRPr="002E1AB6">
        <w:rPr>
          <w:rFonts w:eastAsia="Times New Roman" w:cs="Times New Roman"/>
          <w:szCs w:val="24"/>
          <w:lang w:eastAsia="pl-PL"/>
        </w:rPr>
        <w:t>-AGS) oraz projektu zaleceń Rady dla strefy euro,</w:t>
      </w:r>
    </w:p>
    <w:p w14:paraId="18340B34" w14:textId="77777777" w:rsidR="006D7DAD" w:rsidRPr="002E1AB6" w:rsidRDefault="006D7DAD" w:rsidP="002E1AB6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2E1AB6">
        <w:rPr>
          <w:rFonts w:eastAsia="Times New Roman" w:cs="Times New Roman"/>
          <w:b/>
          <w:bCs/>
          <w:szCs w:val="24"/>
          <w:lang w:eastAsia="pl-PL"/>
        </w:rPr>
        <w:t>luty</w:t>
      </w:r>
      <w:r w:rsidRPr="002E1AB6">
        <w:rPr>
          <w:rFonts w:eastAsia="Times New Roman" w:cs="Times New Roman"/>
          <w:szCs w:val="24"/>
          <w:lang w:eastAsia="pl-PL"/>
        </w:rPr>
        <w:t xml:space="preserve"> – publikacja przez KE Sprawozdań krajowych (ang. Country </w:t>
      </w:r>
      <w:proofErr w:type="spellStart"/>
      <w:r w:rsidRPr="002E1AB6">
        <w:rPr>
          <w:rFonts w:eastAsia="Times New Roman" w:cs="Times New Roman"/>
          <w:szCs w:val="24"/>
          <w:lang w:eastAsia="pl-PL"/>
        </w:rPr>
        <w:t>Reports</w:t>
      </w:r>
      <w:proofErr w:type="spellEnd"/>
      <w:r w:rsidRPr="002E1AB6">
        <w:rPr>
          <w:rFonts w:eastAsia="Times New Roman" w:cs="Times New Roman"/>
          <w:szCs w:val="24"/>
          <w:lang w:eastAsia="pl-PL"/>
        </w:rPr>
        <w:t>),</w:t>
      </w:r>
    </w:p>
    <w:p w14:paraId="1F9E81F0" w14:textId="77777777" w:rsidR="006D7DAD" w:rsidRPr="002E1AB6" w:rsidRDefault="006D7DAD" w:rsidP="002E1AB6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2E1AB6">
        <w:rPr>
          <w:rFonts w:eastAsia="Times New Roman" w:cs="Times New Roman"/>
          <w:b/>
          <w:bCs/>
          <w:szCs w:val="24"/>
          <w:lang w:eastAsia="pl-PL"/>
        </w:rPr>
        <w:lastRenderedPageBreak/>
        <w:t>marzec</w:t>
      </w:r>
      <w:r w:rsidRPr="002E1AB6">
        <w:rPr>
          <w:rFonts w:eastAsia="Times New Roman" w:cs="Times New Roman"/>
          <w:szCs w:val="24"/>
          <w:lang w:eastAsia="pl-PL"/>
        </w:rPr>
        <w:t xml:space="preserve"> – doroczny szczyt gospodarczy Rady Europejskiej, na którym państwa członkowskie określają wyzwania stojące przed UE,</w:t>
      </w:r>
    </w:p>
    <w:p w14:paraId="1EEBA8EF" w14:textId="77777777" w:rsidR="006D7DAD" w:rsidRPr="002E1AB6" w:rsidRDefault="006D7DAD" w:rsidP="002E1AB6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2E1AB6">
        <w:rPr>
          <w:rFonts w:eastAsia="Times New Roman" w:cs="Times New Roman"/>
          <w:b/>
          <w:bCs/>
          <w:szCs w:val="24"/>
          <w:lang w:eastAsia="pl-PL"/>
        </w:rPr>
        <w:t>kwiecień</w:t>
      </w:r>
      <w:r w:rsidRPr="002E1AB6">
        <w:rPr>
          <w:rFonts w:eastAsia="Times New Roman" w:cs="Times New Roman"/>
          <w:szCs w:val="24"/>
          <w:lang w:eastAsia="pl-PL"/>
        </w:rPr>
        <w:t xml:space="preserve"> – przedłożenie przez państwa członkowskie Krajowych Programów Reform (KPR) i Programów Stabilności lub Konwergencji,</w:t>
      </w:r>
    </w:p>
    <w:p w14:paraId="51BC9D02" w14:textId="77777777" w:rsidR="006D7DAD" w:rsidRPr="002E1AB6" w:rsidRDefault="006D7DAD" w:rsidP="002E1AB6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2E1AB6">
        <w:rPr>
          <w:rFonts w:eastAsia="Times New Roman" w:cs="Times New Roman"/>
          <w:b/>
          <w:bCs/>
          <w:szCs w:val="24"/>
          <w:lang w:eastAsia="pl-PL"/>
        </w:rPr>
        <w:t>maj-czerwiec</w:t>
      </w:r>
      <w:r w:rsidRPr="002E1AB6">
        <w:rPr>
          <w:rFonts w:eastAsia="Times New Roman" w:cs="Times New Roman"/>
          <w:szCs w:val="24"/>
          <w:lang w:eastAsia="pl-PL"/>
        </w:rPr>
        <w:t xml:space="preserve"> – ocena dokumentów przez KE, sformułowanie przez KE projektu zaleceń (ang. country-</w:t>
      </w:r>
      <w:proofErr w:type="spellStart"/>
      <w:r w:rsidRPr="002E1AB6">
        <w:rPr>
          <w:rFonts w:eastAsia="Times New Roman" w:cs="Times New Roman"/>
          <w:szCs w:val="24"/>
          <w:lang w:eastAsia="pl-PL"/>
        </w:rPr>
        <w:t>specific</w:t>
      </w:r>
      <w:proofErr w:type="spellEnd"/>
      <w:r w:rsidRPr="002E1AB6">
        <w:rPr>
          <w:rFonts w:eastAsia="Times New Roman" w:cs="Times New Roman"/>
          <w:szCs w:val="24"/>
          <w:lang w:eastAsia="pl-PL"/>
        </w:rPr>
        <w:t xml:space="preserve"> </w:t>
      </w:r>
      <w:proofErr w:type="spellStart"/>
      <w:r w:rsidRPr="002E1AB6">
        <w:rPr>
          <w:rFonts w:eastAsia="Times New Roman" w:cs="Times New Roman"/>
          <w:szCs w:val="24"/>
          <w:lang w:eastAsia="pl-PL"/>
        </w:rPr>
        <w:t>recommendations</w:t>
      </w:r>
      <w:proofErr w:type="spellEnd"/>
      <w:r w:rsidRPr="002E1AB6">
        <w:rPr>
          <w:rFonts w:eastAsia="Times New Roman" w:cs="Times New Roman"/>
          <w:szCs w:val="24"/>
          <w:lang w:eastAsia="pl-PL"/>
        </w:rPr>
        <w:t xml:space="preserve"> – CSR), dyskusja na temat projektu na forum formacji Rady UE,</w:t>
      </w:r>
    </w:p>
    <w:p w14:paraId="4BE03ACE" w14:textId="77777777" w:rsidR="006D7DAD" w:rsidRPr="002E1AB6" w:rsidRDefault="006D7DAD" w:rsidP="002E1AB6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2E1AB6">
        <w:rPr>
          <w:rFonts w:eastAsia="Times New Roman" w:cs="Times New Roman"/>
          <w:b/>
          <w:bCs/>
          <w:szCs w:val="24"/>
          <w:lang w:eastAsia="pl-PL"/>
        </w:rPr>
        <w:t>lipiec</w:t>
      </w:r>
      <w:r w:rsidRPr="002E1AB6">
        <w:rPr>
          <w:rFonts w:eastAsia="Times New Roman" w:cs="Times New Roman"/>
          <w:szCs w:val="24"/>
          <w:lang w:eastAsia="pl-PL"/>
        </w:rPr>
        <w:t xml:space="preserve"> – formalne przyjęcie przez Radę do Spraw Gospodarczych i Finansowych (ECOFIN) opinii na temat  Programów Stabilności lub Konwergencji oraz CSR dla państw członkowskich na podstawie oceny KPR.</w:t>
      </w:r>
    </w:p>
    <w:p w14:paraId="08A286E7" w14:textId="5E1E1100" w:rsidR="00F01211" w:rsidRPr="002E1AB6" w:rsidRDefault="00F01211" w:rsidP="002E1AB6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2E1AB6">
        <w:rPr>
          <w:rFonts w:eastAsia="Times New Roman" w:cs="Times New Roman"/>
          <w:szCs w:val="24"/>
          <w:lang w:eastAsia="pl-PL"/>
        </w:rPr>
        <w:t>Formalnie nowy Semestr Europejski zaczyna się ponownie pod koniec roku kalendarzowego, ale w praktyce prace na szczeblu roboczym (w Komisji Europejskiej) ruszają zaraz po zakończeniu poprzedniego cyklu. W październiku-listopadzie każdego roku poszczególne kraje członkowskie odwiedzane są przez misje ekspertów KE, reprezentujących co najmniej kilka różnych departamentów zajmujących się głównymi działami polityki gospodarczej UE.</w:t>
      </w:r>
    </w:p>
    <w:p w14:paraId="5B68FE52" w14:textId="613FE6BB" w:rsidR="009B6202" w:rsidRPr="002E1AB6" w:rsidRDefault="006D7DAD" w:rsidP="002E1AB6">
      <w:pPr>
        <w:pStyle w:val="Akapitzlist"/>
        <w:numPr>
          <w:ilvl w:val="0"/>
          <w:numId w:val="1"/>
        </w:numPr>
        <w:jc w:val="both"/>
        <w:rPr>
          <w:rFonts w:cs="Times New Roman"/>
          <w:szCs w:val="24"/>
        </w:rPr>
      </w:pPr>
      <w:r w:rsidRPr="002E1AB6">
        <w:rPr>
          <w:rFonts w:cs="Times New Roman"/>
          <w:szCs w:val="24"/>
        </w:rPr>
        <w:t xml:space="preserve">Jakie są najważniejsze </w:t>
      </w:r>
      <w:r w:rsidR="009F0FC7" w:rsidRPr="002E1AB6">
        <w:rPr>
          <w:rFonts w:cs="Times New Roman"/>
          <w:szCs w:val="24"/>
        </w:rPr>
        <w:t>dokumenty</w:t>
      </w:r>
      <w:r w:rsidR="00906AEE" w:rsidRPr="002E1AB6">
        <w:rPr>
          <w:rFonts w:cs="Times New Roman"/>
          <w:szCs w:val="24"/>
        </w:rPr>
        <w:t xml:space="preserve"> publikowane </w:t>
      </w:r>
      <w:r w:rsidR="009F0FC7" w:rsidRPr="002E1AB6">
        <w:rPr>
          <w:rFonts w:cs="Times New Roman"/>
          <w:szCs w:val="24"/>
        </w:rPr>
        <w:t xml:space="preserve"> w ramach S</w:t>
      </w:r>
      <w:r w:rsidRPr="002E1AB6">
        <w:rPr>
          <w:rFonts w:cs="Times New Roman"/>
          <w:szCs w:val="24"/>
        </w:rPr>
        <w:t>emestru</w:t>
      </w:r>
      <w:r w:rsidR="00906AEE" w:rsidRPr="002E1AB6">
        <w:rPr>
          <w:rFonts w:cs="Times New Roman"/>
          <w:szCs w:val="24"/>
        </w:rPr>
        <w:t xml:space="preserve"> Europejskiego</w:t>
      </w:r>
      <w:r w:rsidR="00430108" w:rsidRPr="002E1AB6">
        <w:rPr>
          <w:rFonts w:cs="Times New Roman"/>
          <w:szCs w:val="24"/>
        </w:rPr>
        <w:t>?</w:t>
      </w:r>
      <w:r w:rsidRPr="002E1AB6">
        <w:rPr>
          <w:rFonts w:cs="Times New Roman"/>
          <w:szCs w:val="24"/>
        </w:rPr>
        <w:t xml:space="preserve"> </w:t>
      </w:r>
    </w:p>
    <w:p w14:paraId="65F16FEC" w14:textId="77777777" w:rsidR="006D7DAD" w:rsidRPr="002E1AB6" w:rsidRDefault="006D7DAD" w:rsidP="002E1AB6">
      <w:pPr>
        <w:pStyle w:val="Nagwek3"/>
        <w:jc w:val="both"/>
        <w:rPr>
          <w:rFonts w:ascii="Times New Roman" w:hAnsi="Times New Roman" w:cs="Times New Roman"/>
          <w:color w:val="auto"/>
          <w:szCs w:val="24"/>
        </w:rPr>
      </w:pPr>
      <w:r w:rsidRPr="002E1AB6">
        <w:rPr>
          <w:rFonts w:ascii="Times New Roman" w:hAnsi="Times New Roman" w:cs="Times New Roman"/>
          <w:color w:val="auto"/>
          <w:szCs w:val="24"/>
        </w:rPr>
        <w:t>Roczna analiza wzrostu gospodarczego (AGS)</w:t>
      </w:r>
    </w:p>
    <w:p w14:paraId="7A5F8C4B" w14:textId="296942D9" w:rsidR="006D7DAD" w:rsidRPr="002E1AB6" w:rsidRDefault="006D7DAD" w:rsidP="002E1AB6">
      <w:pPr>
        <w:pStyle w:val="NormalnyWeb"/>
        <w:spacing w:line="276" w:lineRule="auto"/>
        <w:jc w:val="both"/>
      </w:pPr>
      <w:r w:rsidRPr="002E1AB6">
        <w:t xml:space="preserve">KE pod koniec każdego roku przedstawia Roczną analizę wzrostu gospodarczego (ang. </w:t>
      </w:r>
      <w:proofErr w:type="spellStart"/>
      <w:r w:rsidRPr="002E1AB6">
        <w:t>Annual</w:t>
      </w:r>
      <w:proofErr w:type="spellEnd"/>
      <w:r w:rsidRPr="002E1AB6">
        <w:t xml:space="preserve"> </w:t>
      </w:r>
      <w:proofErr w:type="spellStart"/>
      <w:r w:rsidRPr="002E1AB6">
        <w:t>Growth</w:t>
      </w:r>
      <w:proofErr w:type="spellEnd"/>
      <w:r w:rsidRPr="002E1AB6">
        <w:t xml:space="preserve"> </w:t>
      </w:r>
      <w:proofErr w:type="spellStart"/>
      <w:r w:rsidRPr="002E1AB6">
        <w:t>Survey</w:t>
      </w:r>
      <w:proofErr w:type="spellEnd"/>
      <w:r w:rsidRPr="002E1AB6">
        <w:t>). Stanowi ona pierwszy etap cyklu koordynacji polityki państw UE w ramach Semestru Europejskiego. W dokumencie tym KE proponuje priorytety polityki gospodarczej UE na kolejny rok.</w:t>
      </w:r>
    </w:p>
    <w:p w14:paraId="4636414B" w14:textId="16CE2E9B" w:rsidR="00F01211" w:rsidRPr="002E1AB6" w:rsidRDefault="00F01211" w:rsidP="002E1AB6">
      <w:pPr>
        <w:pStyle w:val="NormalnyWeb"/>
        <w:spacing w:line="276" w:lineRule="auto"/>
        <w:jc w:val="both"/>
        <w:rPr>
          <w:b/>
          <w:bCs/>
        </w:rPr>
      </w:pPr>
      <w:r w:rsidRPr="002E1AB6">
        <w:rPr>
          <w:b/>
          <w:bCs/>
        </w:rPr>
        <w:t xml:space="preserve">Cykl Semestru Europejskiego 2020 rozpoczęło opublikowanie </w:t>
      </w:r>
      <w:proofErr w:type="spellStart"/>
      <w:r w:rsidRPr="002E1AB6">
        <w:rPr>
          <w:b/>
          <w:bCs/>
        </w:rPr>
        <w:t>Annual</w:t>
      </w:r>
      <w:proofErr w:type="spellEnd"/>
      <w:r w:rsidRPr="002E1AB6">
        <w:rPr>
          <w:b/>
          <w:bCs/>
        </w:rPr>
        <w:t xml:space="preserve"> </w:t>
      </w:r>
      <w:proofErr w:type="spellStart"/>
      <w:r w:rsidRPr="002E1AB6">
        <w:rPr>
          <w:b/>
          <w:bCs/>
        </w:rPr>
        <w:t>Sustainable</w:t>
      </w:r>
      <w:proofErr w:type="spellEnd"/>
      <w:r w:rsidRPr="002E1AB6">
        <w:rPr>
          <w:b/>
          <w:bCs/>
        </w:rPr>
        <w:t xml:space="preserve"> </w:t>
      </w:r>
      <w:proofErr w:type="spellStart"/>
      <w:r w:rsidRPr="002E1AB6">
        <w:rPr>
          <w:b/>
          <w:bCs/>
        </w:rPr>
        <w:t>Growth</w:t>
      </w:r>
      <w:proofErr w:type="spellEnd"/>
      <w:r w:rsidRPr="002E1AB6">
        <w:rPr>
          <w:b/>
          <w:bCs/>
        </w:rPr>
        <w:t xml:space="preserve"> </w:t>
      </w:r>
      <w:proofErr w:type="spellStart"/>
      <w:r w:rsidRPr="002E1AB6">
        <w:rPr>
          <w:b/>
          <w:bCs/>
        </w:rPr>
        <w:t>Survey</w:t>
      </w:r>
      <w:proofErr w:type="spellEnd"/>
      <w:r w:rsidRPr="002E1AB6">
        <w:rPr>
          <w:b/>
          <w:bCs/>
        </w:rPr>
        <w:t xml:space="preserve"> – Roczna analiza zrównoważonego wzrostu (ASGS)</w:t>
      </w:r>
    </w:p>
    <w:p w14:paraId="3E96181A" w14:textId="77777777" w:rsidR="006D7DAD" w:rsidRPr="002E1AB6" w:rsidRDefault="006D7DAD" w:rsidP="002E1AB6">
      <w:pPr>
        <w:pStyle w:val="Nagwek3"/>
        <w:jc w:val="both"/>
        <w:rPr>
          <w:rFonts w:ascii="Times New Roman" w:hAnsi="Times New Roman" w:cs="Times New Roman"/>
          <w:color w:val="auto"/>
          <w:szCs w:val="24"/>
        </w:rPr>
      </w:pPr>
      <w:r w:rsidRPr="002E1AB6">
        <w:rPr>
          <w:rFonts w:ascii="Times New Roman" w:hAnsi="Times New Roman" w:cs="Times New Roman"/>
          <w:color w:val="auto"/>
          <w:szCs w:val="24"/>
        </w:rPr>
        <w:t>Sprawozdanie krajowe</w:t>
      </w:r>
    </w:p>
    <w:p w14:paraId="1F2764DB" w14:textId="77777777" w:rsidR="006D7DAD" w:rsidRPr="002E1AB6" w:rsidRDefault="006D7DAD" w:rsidP="002E1AB6">
      <w:pPr>
        <w:pStyle w:val="NormalnyWeb"/>
        <w:spacing w:line="276" w:lineRule="auto"/>
        <w:jc w:val="both"/>
      </w:pPr>
      <w:r w:rsidRPr="002E1AB6">
        <w:t xml:space="preserve">Sprawozdanie krajowe (ang. Country </w:t>
      </w:r>
      <w:proofErr w:type="spellStart"/>
      <w:r w:rsidRPr="002E1AB6">
        <w:t>reports</w:t>
      </w:r>
      <w:proofErr w:type="spellEnd"/>
      <w:r w:rsidRPr="002E1AB6">
        <w:t>) jest dokumentem analitycznym KE będącym jednym z elementów cyklu Semestru Europejskiego. Pierwsze sprawozdanie pojawiły się w 2015 r.</w:t>
      </w:r>
    </w:p>
    <w:p w14:paraId="4554DD01" w14:textId="77777777" w:rsidR="006D7DAD" w:rsidRPr="002E1AB6" w:rsidRDefault="006D7DAD" w:rsidP="002E1AB6">
      <w:pPr>
        <w:pStyle w:val="NormalnyWeb"/>
        <w:spacing w:line="276" w:lineRule="auto"/>
        <w:jc w:val="both"/>
      </w:pPr>
      <w:r w:rsidRPr="002E1AB6">
        <w:t>Zapisy sprawozdania dotyczą oceny:</w:t>
      </w:r>
    </w:p>
    <w:p w14:paraId="63AF5916" w14:textId="77777777" w:rsidR="006D7DAD" w:rsidRPr="002E1AB6" w:rsidRDefault="006D7DAD" w:rsidP="002E1AB6">
      <w:pPr>
        <w:numPr>
          <w:ilvl w:val="0"/>
          <w:numId w:val="4"/>
        </w:numPr>
        <w:spacing w:before="100" w:beforeAutospacing="1" w:after="100" w:afterAutospacing="1"/>
        <w:jc w:val="both"/>
        <w:rPr>
          <w:rFonts w:cs="Times New Roman"/>
          <w:szCs w:val="24"/>
        </w:rPr>
      </w:pPr>
      <w:r w:rsidRPr="002E1AB6">
        <w:rPr>
          <w:rFonts w:cs="Times New Roman"/>
          <w:szCs w:val="24"/>
        </w:rPr>
        <w:t>ogólnej sytuacji gospodarczej,</w:t>
      </w:r>
    </w:p>
    <w:p w14:paraId="58F98625" w14:textId="77777777" w:rsidR="006D7DAD" w:rsidRPr="002E1AB6" w:rsidRDefault="006D7DAD" w:rsidP="002E1AB6">
      <w:pPr>
        <w:numPr>
          <w:ilvl w:val="0"/>
          <w:numId w:val="4"/>
        </w:numPr>
        <w:spacing w:before="100" w:beforeAutospacing="1" w:after="100" w:afterAutospacing="1"/>
        <w:jc w:val="both"/>
        <w:rPr>
          <w:rFonts w:cs="Times New Roman"/>
          <w:szCs w:val="24"/>
        </w:rPr>
      </w:pPr>
      <w:r w:rsidRPr="002E1AB6">
        <w:rPr>
          <w:rFonts w:cs="Times New Roman"/>
          <w:szCs w:val="24"/>
        </w:rPr>
        <w:t>ram polityki fiskalnej i stabilności makroekonomicznej,</w:t>
      </w:r>
    </w:p>
    <w:p w14:paraId="779C1B85" w14:textId="77777777" w:rsidR="006D7DAD" w:rsidRPr="002E1AB6" w:rsidRDefault="006D7DAD" w:rsidP="002E1AB6">
      <w:pPr>
        <w:numPr>
          <w:ilvl w:val="0"/>
          <w:numId w:val="4"/>
        </w:numPr>
        <w:spacing w:before="100" w:beforeAutospacing="1" w:after="100" w:afterAutospacing="1"/>
        <w:jc w:val="both"/>
        <w:rPr>
          <w:rFonts w:cs="Times New Roman"/>
          <w:szCs w:val="24"/>
        </w:rPr>
      </w:pPr>
      <w:r w:rsidRPr="002E1AB6">
        <w:rPr>
          <w:rFonts w:cs="Times New Roman"/>
          <w:szCs w:val="24"/>
        </w:rPr>
        <w:t>wybranych polityk gospodarczych i społecznych (w tym: podatki, rynek pracy, otoczenie biznesu itp.),</w:t>
      </w:r>
    </w:p>
    <w:p w14:paraId="3AD8B49A" w14:textId="77777777" w:rsidR="006D7DAD" w:rsidRPr="002E1AB6" w:rsidRDefault="006D7DAD" w:rsidP="002E1AB6">
      <w:pPr>
        <w:numPr>
          <w:ilvl w:val="0"/>
          <w:numId w:val="4"/>
        </w:numPr>
        <w:spacing w:before="100" w:beforeAutospacing="1" w:after="100" w:afterAutospacing="1"/>
        <w:jc w:val="both"/>
        <w:rPr>
          <w:rFonts w:cs="Times New Roman"/>
          <w:szCs w:val="24"/>
        </w:rPr>
      </w:pPr>
      <w:r w:rsidRPr="002E1AB6">
        <w:rPr>
          <w:rFonts w:cs="Times New Roman"/>
          <w:szCs w:val="24"/>
        </w:rPr>
        <w:t>realizacji zaleceń Rady UE z roku poprzedniego,</w:t>
      </w:r>
    </w:p>
    <w:p w14:paraId="26955861" w14:textId="77777777" w:rsidR="006D7DAD" w:rsidRPr="002E1AB6" w:rsidRDefault="006D7DAD" w:rsidP="002E1AB6">
      <w:pPr>
        <w:numPr>
          <w:ilvl w:val="0"/>
          <w:numId w:val="4"/>
        </w:numPr>
        <w:spacing w:before="100" w:beforeAutospacing="1" w:after="100" w:afterAutospacing="1"/>
        <w:jc w:val="both"/>
        <w:rPr>
          <w:rFonts w:cs="Times New Roman"/>
          <w:szCs w:val="24"/>
        </w:rPr>
      </w:pPr>
      <w:r w:rsidRPr="002E1AB6">
        <w:rPr>
          <w:rFonts w:cs="Times New Roman"/>
          <w:szCs w:val="24"/>
        </w:rPr>
        <w:t>realizacji poszczególnych celów strategii „Europa 2020”,</w:t>
      </w:r>
    </w:p>
    <w:p w14:paraId="4A6C524F" w14:textId="77777777" w:rsidR="006D7DAD" w:rsidRPr="002E1AB6" w:rsidRDefault="006D7DAD" w:rsidP="002E1AB6">
      <w:pPr>
        <w:numPr>
          <w:ilvl w:val="0"/>
          <w:numId w:val="4"/>
        </w:numPr>
        <w:spacing w:before="100" w:beforeAutospacing="1" w:after="100" w:afterAutospacing="1"/>
        <w:jc w:val="both"/>
        <w:rPr>
          <w:rFonts w:cs="Times New Roman"/>
          <w:szCs w:val="24"/>
        </w:rPr>
      </w:pPr>
      <w:r w:rsidRPr="002E1AB6">
        <w:rPr>
          <w:rFonts w:cs="Times New Roman"/>
          <w:szCs w:val="24"/>
        </w:rPr>
        <w:t>realizacji celów Europejskiego Filaru Praw Socjalnych.</w:t>
      </w:r>
    </w:p>
    <w:p w14:paraId="389E8F12" w14:textId="77777777" w:rsidR="006D7DAD" w:rsidRPr="002E1AB6" w:rsidRDefault="006D7DAD" w:rsidP="002E1AB6">
      <w:pPr>
        <w:pStyle w:val="Nagwek3"/>
        <w:jc w:val="both"/>
        <w:rPr>
          <w:rFonts w:ascii="Times New Roman" w:hAnsi="Times New Roman" w:cs="Times New Roman"/>
          <w:color w:val="auto"/>
          <w:szCs w:val="24"/>
        </w:rPr>
      </w:pPr>
      <w:r w:rsidRPr="002E1AB6">
        <w:rPr>
          <w:rFonts w:ascii="Times New Roman" w:hAnsi="Times New Roman" w:cs="Times New Roman"/>
          <w:color w:val="auto"/>
          <w:szCs w:val="24"/>
        </w:rPr>
        <w:lastRenderedPageBreak/>
        <w:t>Zalecenia Rady UE dla państw członkowskich</w:t>
      </w:r>
      <w:r w:rsidR="00BF4B34" w:rsidRPr="002E1AB6">
        <w:rPr>
          <w:rFonts w:ascii="Times New Roman" w:hAnsi="Times New Roman" w:cs="Times New Roman"/>
          <w:color w:val="auto"/>
          <w:szCs w:val="24"/>
        </w:rPr>
        <w:t xml:space="preserve"> (CSR)</w:t>
      </w:r>
    </w:p>
    <w:p w14:paraId="63B6855E" w14:textId="3CF51002" w:rsidR="00F01211" w:rsidRPr="002E1AB6" w:rsidRDefault="006D7DAD" w:rsidP="002E1AB6">
      <w:pPr>
        <w:pStyle w:val="NormalnyWeb"/>
        <w:spacing w:line="276" w:lineRule="auto"/>
        <w:jc w:val="both"/>
      </w:pPr>
      <w:r w:rsidRPr="002E1AB6">
        <w:t>Publikacja zaleceń dla poszczególnych państw członkowskich (ang. country-</w:t>
      </w:r>
      <w:proofErr w:type="spellStart"/>
      <w:r w:rsidRPr="002E1AB6">
        <w:t>specific</w:t>
      </w:r>
      <w:proofErr w:type="spellEnd"/>
      <w:r w:rsidRPr="002E1AB6">
        <w:t xml:space="preserve"> </w:t>
      </w:r>
      <w:proofErr w:type="spellStart"/>
      <w:r w:rsidRPr="002E1AB6">
        <w:t>recommendations</w:t>
      </w:r>
      <w:proofErr w:type="spellEnd"/>
      <w:r w:rsidRPr="002E1AB6">
        <w:t xml:space="preserve"> – CSR) stanowi końcowy etap corocznego cyklu Semestru Europejskiego. KE w maju przedstawia projekt zaleceń Rady dla poszczególnych państw członkowskich. Jest on wynikiem analizy działań podejmowanych przez kraje UE wynikających z Krajowych Programów Reform (KPR) oraz Programów Stabilności lub Konwergencji. Zalecenia są następnie przedmiotem dyskusji i ewentualnych korekt na forum komitetów Rady UE, właściwych formacji Rady oraz na posiedzeniu Rady Europejskiej</w:t>
      </w:r>
      <w:r w:rsidR="00F01211" w:rsidRPr="002E1AB6">
        <w:t xml:space="preserve"> </w:t>
      </w:r>
      <w:r w:rsidR="00F01211" w:rsidRPr="002E1AB6">
        <w:t>w czerwcu każdego roku. Ostatecznie zalecenia są przyjmowane przez ECOFIN w lipcu.</w:t>
      </w:r>
    </w:p>
    <w:p w14:paraId="35E36E5F" w14:textId="6C274CE6" w:rsidR="006D7DAD" w:rsidRPr="002E1AB6" w:rsidRDefault="006D7DAD" w:rsidP="002E1AB6">
      <w:pPr>
        <w:pStyle w:val="NormalnyWeb"/>
        <w:spacing w:line="276" w:lineRule="auto"/>
        <w:jc w:val="both"/>
      </w:pPr>
    </w:p>
    <w:p w14:paraId="710DFB44" w14:textId="77777777" w:rsidR="006D7DAD" w:rsidRPr="002E1AB6" w:rsidRDefault="006D7DAD" w:rsidP="002E1AB6">
      <w:pPr>
        <w:pStyle w:val="Nagwek3"/>
        <w:jc w:val="both"/>
        <w:rPr>
          <w:rFonts w:ascii="Times New Roman" w:hAnsi="Times New Roman" w:cs="Times New Roman"/>
          <w:color w:val="auto"/>
          <w:szCs w:val="24"/>
        </w:rPr>
      </w:pPr>
      <w:r w:rsidRPr="002E1AB6">
        <w:rPr>
          <w:rFonts w:ascii="Times New Roman" w:hAnsi="Times New Roman" w:cs="Times New Roman"/>
          <w:color w:val="auto"/>
          <w:szCs w:val="24"/>
        </w:rPr>
        <w:t xml:space="preserve">Program Konwergencji </w:t>
      </w:r>
    </w:p>
    <w:p w14:paraId="406D47DB" w14:textId="706D3A7A" w:rsidR="006D7DAD" w:rsidRPr="002E1AB6" w:rsidRDefault="006D7DAD" w:rsidP="002E1AB6">
      <w:pPr>
        <w:pStyle w:val="NormalnyWeb"/>
        <w:spacing w:line="276" w:lineRule="auto"/>
        <w:jc w:val="both"/>
      </w:pPr>
      <w:r w:rsidRPr="002E1AB6">
        <w:t xml:space="preserve">Pakt na rzecz Stabilności i Wzrostu zobowiązuje państwa członkowskie strefy euro do przygotowywania co roku Programów </w:t>
      </w:r>
      <w:r w:rsidR="00F01211" w:rsidRPr="002E1AB6">
        <w:t>S</w:t>
      </w:r>
      <w:r w:rsidRPr="002E1AB6">
        <w:t xml:space="preserve">tabilności, zaś pozostałe państwa członkowskie UE do przygotowywania Programów </w:t>
      </w:r>
      <w:r w:rsidR="00F01211" w:rsidRPr="002E1AB6">
        <w:t>K</w:t>
      </w:r>
      <w:r w:rsidRPr="002E1AB6">
        <w:t>onwergencji. W programach państwa członkowskie przedstawiają swoje średniookresowe strategie budżetowe na co najmniej trzy kolejne lata. Ich celem jest zapewnienie dyscypliny budżetowej poprzez nadzór i koordynację polityki budżetowej w strefie euro i całej UE.</w:t>
      </w:r>
    </w:p>
    <w:p w14:paraId="3B6A629E" w14:textId="77777777" w:rsidR="006D7DAD" w:rsidRPr="002E1AB6" w:rsidRDefault="006D7DAD" w:rsidP="002E1AB6">
      <w:pPr>
        <w:pStyle w:val="NormalnyWeb"/>
        <w:spacing w:line="276" w:lineRule="auto"/>
        <w:jc w:val="both"/>
      </w:pPr>
      <w:r w:rsidRPr="002E1AB6">
        <w:t>Zgodnie z cyklem Semestru Europejskiego, dokumenty te są przekazywane KE w kwietniu każdego roku, razem z Krajowymi Programami Reform. Są one następnie oceniane przez KE i Radę UE, stanowiąc podstawę zaleceń dla państw członkowskich.</w:t>
      </w:r>
    </w:p>
    <w:p w14:paraId="7B561ADE" w14:textId="77777777" w:rsidR="00430108" w:rsidRPr="002E1AB6" w:rsidRDefault="00430108" w:rsidP="002E1AB6">
      <w:pPr>
        <w:pStyle w:val="NormalnyWeb"/>
        <w:spacing w:line="276" w:lineRule="auto"/>
        <w:jc w:val="both"/>
      </w:pPr>
      <w:r w:rsidRPr="002E1AB6">
        <w:t xml:space="preserve">5. Na czym polega procedura nierównowagi ekonomicznej? </w:t>
      </w:r>
    </w:p>
    <w:p w14:paraId="31519DD3" w14:textId="77777777" w:rsidR="009B59FD" w:rsidRPr="002E1AB6" w:rsidRDefault="009B59FD" w:rsidP="002E1AB6">
      <w:pPr>
        <w:pStyle w:val="NormalnyWeb"/>
        <w:spacing w:line="276" w:lineRule="auto"/>
        <w:jc w:val="both"/>
      </w:pPr>
      <w:r w:rsidRPr="002E1AB6">
        <w:t>Kryzys gospodarczy w UE na przełomie pierwszej i drugiej dekady XXI wieku ujawnił nie tylko głęboką nierównowagę w finansach publicznych niektórych krajów strefy euro, ale również występowanie nierównowag i dysfunkcji w innych obszarach życia gospodarczego. Dlatego, w 2011 r. obok wzmocnienia instrumentów zapobiegania i naprawy nierównowag budżetowych, ustanowiono też specjalną procedurę zapobiegania i korekty nadmiernych zakłóceń równowag makroekonomicznych (</w:t>
      </w:r>
      <w:proofErr w:type="spellStart"/>
      <w:r w:rsidRPr="002E1AB6">
        <w:t>Macroeconomic</w:t>
      </w:r>
      <w:proofErr w:type="spellEnd"/>
      <w:r w:rsidRPr="002E1AB6">
        <w:t xml:space="preserve"> </w:t>
      </w:r>
      <w:proofErr w:type="spellStart"/>
      <w:r w:rsidRPr="002E1AB6">
        <w:t>Imbalance</w:t>
      </w:r>
      <w:proofErr w:type="spellEnd"/>
      <w:r w:rsidRPr="002E1AB6">
        <w:t xml:space="preserve"> </w:t>
      </w:r>
      <w:proofErr w:type="spellStart"/>
      <w:r w:rsidRPr="002E1AB6">
        <w:t>Procedure</w:t>
      </w:r>
      <w:proofErr w:type="spellEnd"/>
      <w:r w:rsidRPr="002E1AB6">
        <w:t xml:space="preserve"> – MIP).</w:t>
      </w:r>
    </w:p>
    <w:p w14:paraId="23208624" w14:textId="77777777" w:rsidR="00430108" w:rsidRPr="002E1AB6" w:rsidRDefault="00430108" w:rsidP="002E1AB6">
      <w:pPr>
        <w:pStyle w:val="NormalnyWeb"/>
        <w:spacing w:line="276" w:lineRule="auto"/>
        <w:jc w:val="both"/>
      </w:pPr>
      <w:r w:rsidRPr="002E1AB6">
        <w:t>Procedura nierównowagi ekonomicznej składa się z następujących elementów:</w:t>
      </w:r>
    </w:p>
    <w:p w14:paraId="31C6C86E" w14:textId="77777777" w:rsidR="009B59FD" w:rsidRPr="002E1AB6" w:rsidRDefault="009B59FD" w:rsidP="002E1AB6">
      <w:pPr>
        <w:pStyle w:val="Nagwek4"/>
        <w:jc w:val="both"/>
        <w:rPr>
          <w:rFonts w:ascii="Times New Roman" w:hAnsi="Times New Roman" w:cs="Times New Roman"/>
          <w:color w:val="auto"/>
          <w:szCs w:val="24"/>
        </w:rPr>
      </w:pPr>
      <w:r w:rsidRPr="002E1AB6">
        <w:rPr>
          <w:rStyle w:val="Pogrubienie"/>
          <w:rFonts w:ascii="Times New Roman" w:hAnsi="Times New Roman" w:cs="Times New Roman"/>
          <w:b/>
          <w:bCs/>
          <w:color w:val="auto"/>
          <w:szCs w:val="24"/>
        </w:rPr>
        <w:t>Sprawozdanie ostrzegawcze</w:t>
      </w:r>
    </w:p>
    <w:p w14:paraId="3203E407" w14:textId="77777777" w:rsidR="009B59FD" w:rsidRPr="002E1AB6" w:rsidRDefault="009B59FD" w:rsidP="002E1AB6">
      <w:pPr>
        <w:pStyle w:val="NormalnyWeb"/>
        <w:spacing w:line="276" w:lineRule="auto"/>
        <w:jc w:val="both"/>
      </w:pPr>
      <w:r w:rsidRPr="002E1AB6">
        <w:t>Zgodnie z rytmem Semestru Europejskiego, pierwszym etapem w procedurze MIP jest publikacja przez KE w listopadzie każdego roku, razem z Roczną analizą wzrostu gospodarczego (</w:t>
      </w:r>
      <w:proofErr w:type="spellStart"/>
      <w:r w:rsidRPr="002E1AB6">
        <w:t>Annual</w:t>
      </w:r>
      <w:proofErr w:type="spellEnd"/>
      <w:r w:rsidRPr="002E1AB6">
        <w:t xml:space="preserve"> </w:t>
      </w:r>
      <w:proofErr w:type="spellStart"/>
      <w:r w:rsidRPr="002E1AB6">
        <w:t>Growth</w:t>
      </w:r>
      <w:proofErr w:type="spellEnd"/>
      <w:r w:rsidRPr="002E1AB6">
        <w:t xml:space="preserve"> </w:t>
      </w:r>
      <w:proofErr w:type="spellStart"/>
      <w:r w:rsidRPr="002E1AB6">
        <w:t>Survey</w:t>
      </w:r>
      <w:proofErr w:type="spellEnd"/>
      <w:r w:rsidRPr="002E1AB6">
        <w:t xml:space="preserve">-AGS), tzw. Sprawozdania ostrzegawczego (Alert </w:t>
      </w:r>
      <w:proofErr w:type="spellStart"/>
      <w:r w:rsidRPr="002E1AB6">
        <w:t>Mechanism</w:t>
      </w:r>
      <w:proofErr w:type="spellEnd"/>
      <w:r w:rsidRPr="002E1AB6">
        <w:t xml:space="preserve"> Report – AMR). Służy ono jako narzędzie wstępnej diagnozy, opartej na tabeli wskaźników z wartościami progowymi oraz zestawie wskaźników uzupełniających.</w:t>
      </w:r>
    </w:p>
    <w:p w14:paraId="5A4F9FA2" w14:textId="77777777" w:rsidR="009B59FD" w:rsidRPr="002E1AB6" w:rsidRDefault="009B59FD" w:rsidP="002E1AB6">
      <w:pPr>
        <w:pStyle w:val="NormalnyWeb"/>
        <w:spacing w:line="276" w:lineRule="auto"/>
        <w:jc w:val="both"/>
      </w:pPr>
      <w:r w:rsidRPr="002E1AB6">
        <w:lastRenderedPageBreak/>
        <w:t>Tablica zawiera 14 wskaźników, służących monitorowaniu konkurencyjności i nierównowag zewnętrznych, jak i wewnętrznych poszczególnych krajów.</w:t>
      </w:r>
    </w:p>
    <w:p w14:paraId="3BABE171" w14:textId="77777777" w:rsidR="009B59FD" w:rsidRPr="002E1AB6" w:rsidRDefault="009B59FD" w:rsidP="002E1AB6">
      <w:pPr>
        <w:pStyle w:val="NormalnyWeb"/>
        <w:spacing w:line="276" w:lineRule="auto"/>
        <w:jc w:val="both"/>
      </w:pPr>
      <w:r w:rsidRPr="002E1AB6">
        <w:t>Zakłócenia równowagi oraz konkurencyjność w kategoriach zewnętrznych:</w:t>
      </w:r>
    </w:p>
    <w:p w14:paraId="4BF492DA" w14:textId="77777777" w:rsidR="009B59FD" w:rsidRPr="002E1AB6" w:rsidRDefault="009B59FD" w:rsidP="002E1AB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cs="Times New Roman"/>
          <w:szCs w:val="24"/>
        </w:rPr>
      </w:pPr>
      <w:r w:rsidRPr="002E1AB6">
        <w:rPr>
          <w:rFonts w:cs="Times New Roman"/>
          <w:szCs w:val="24"/>
        </w:rPr>
        <w:t>saldo rachunku obrotów bieżących (w % PKB średnia z 3 lat, wartości progowe −4/+6%);</w:t>
      </w:r>
    </w:p>
    <w:p w14:paraId="00B29721" w14:textId="77777777" w:rsidR="009B59FD" w:rsidRPr="002E1AB6" w:rsidRDefault="009B59FD" w:rsidP="002E1AB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cs="Times New Roman"/>
          <w:szCs w:val="24"/>
        </w:rPr>
      </w:pPr>
      <w:r w:rsidRPr="002E1AB6">
        <w:rPr>
          <w:rFonts w:cs="Times New Roman"/>
          <w:szCs w:val="24"/>
        </w:rPr>
        <w:t xml:space="preserve">międzynarodowa pozycja inwestycyjna netto (w % PKB, wartość progowa </w:t>
      </w:r>
      <w:r w:rsidRPr="002E1AB6">
        <w:rPr>
          <w:rFonts w:cs="Times New Roman"/>
          <w:szCs w:val="24"/>
        </w:rPr>
        <w:softHyphen/>
        <w:t>35%);</w:t>
      </w:r>
    </w:p>
    <w:p w14:paraId="5E5C8FF9" w14:textId="77777777" w:rsidR="009B59FD" w:rsidRPr="002E1AB6" w:rsidRDefault="009B59FD" w:rsidP="002E1AB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cs="Times New Roman"/>
          <w:szCs w:val="24"/>
        </w:rPr>
      </w:pPr>
      <w:r w:rsidRPr="002E1AB6">
        <w:rPr>
          <w:rFonts w:cs="Times New Roman"/>
          <w:szCs w:val="24"/>
        </w:rPr>
        <w:t xml:space="preserve">realny efektywny kurs walutowy (zmiana w % w okresie 3 lat, wartości progowe −/+5% dla krajów strefy euro, </w:t>
      </w:r>
      <w:r w:rsidRPr="002E1AB6">
        <w:rPr>
          <w:rFonts w:cs="Times New Roman"/>
          <w:szCs w:val="24"/>
        </w:rPr>
        <w:softHyphen/>
        <w:t>/+11% dla krajów spoza strefy euro);</w:t>
      </w:r>
    </w:p>
    <w:p w14:paraId="200C2C23" w14:textId="77777777" w:rsidR="009B59FD" w:rsidRPr="002E1AB6" w:rsidRDefault="009B59FD" w:rsidP="002E1AB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cs="Times New Roman"/>
          <w:szCs w:val="24"/>
        </w:rPr>
      </w:pPr>
      <w:r w:rsidRPr="002E1AB6">
        <w:rPr>
          <w:rFonts w:cs="Times New Roman"/>
          <w:szCs w:val="24"/>
        </w:rPr>
        <w:t xml:space="preserve">udział w rynkach eksportowych(zmiana w % w okresie 5 lat, wartość progowa </w:t>
      </w:r>
      <w:r w:rsidRPr="002E1AB6">
        <w:rPr>
          <w:rFonts w:cs="Times New Roman"/>
          <w:szCs w:val="24"/>
        </w:rPr>
        <w:softHyphen/>
        <w:t>6%);</w:t>
      </w:r>
    </w:p>
    <w:p w14:paraId="0E05F024" w14:textId="77777777" w:rsidR="009B59FD" w:rsidRPr="002E1AB6" w:rsidRDefault="009B59FD" w:rsidP="002E1AB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cs="Times New Roman"/>
          <w:szCs w:val="24"/>
        </w:rPr>
      </w:pPr>
      <w:r w:rsidRPr="002E1AB6">
        <w:rPr>
          <w:rFonts w:cs="Times New Roman"/>
          <w:szCs w:val="24"/>
        </w:rPr>
        <w:t>nominalne jednostkowe koszty pracy (zmiana w % w okresie 3 lat, wartości progowe +9% dla krajów strefy euro, +12% dla krajów spoza strefy euro).</w:t>
      </w:r>
    </w:p>
    <w:p w14:paraId="14DA5C1D" w14:textId="77777777" w:rsidR="009B59FD" w:rsidRPr="002E1AB6" w:rsidRDefault="009B59FD" w:rsidP="002E1AB6">
      <w:pPr>
        <w:pStyle w:val="NormalnyWeb"/>
        <w:spacing w:line="276" w:lineRule="auto"/>
        <w:jc w:val="both"/>
      </w:pPr>
      <w:r w:rsidRPr="002E1AB6">
        <w:t>Zakłócenia równowagi w kategoriach wewnętrznych:</w:t>
      </w:r>
    </w:p>
    <w:p w14:paraId="180C7F82" w14:textId="77777777" w:rsidR="009B59FD" w:rsidRPr="002E1AB6" w:rsidRDefault="009B59FD" w:rsidP="002E1AB6">
      <w:pPr>
        <w:numPr>
          <w:ilvl w:val="0"/>
          <w:numId w:val="6"/>
        </w:numPr>
        <w:spacing w:before="100" w:beforeAutospacing="1" w:after="100" w:afterAutospacing="1"/>
        <w:jc w:val="both"/>
        <w:rPr>
          <w:rFonts w:cs="Times New Roman"/>
          <w:szCs w:val="24"/>
        </w:rPr>
      </w:pPr>
      <w:r w:rsidRPr="002E1AB6">
        <w:rPr>
          <w:rFonts w:cs="Times New Roman"/>
          <w:szCs w:val="24"/>
        </w:rPr>
        <w:t>ceny nieruchomości (w przeliczeniu na ceny stałe, zmiana w % w ujęciu rok do roku, wartość progowa +6%);</w:t>
      </w:r>
    </w:p>
    <w:p w14:paraId="32844FD5" w14:textId="77777777" w:rsidR="009B59FD" w:rsidRPr="002E1AB6" w:rsidRDefault="009B59FD" w:rsidP="002E1AB6">
      <w:pPr>
        <w:numPr>
          <w:ilvl w:val="0"/>
          <w:numId w:val="6"/>
        </w:numPr>
        <w:spacing w:before="100" w:beforeAutospacing="1" w:after="100" w:afterAutospacing="1"/>
        <w:jc w:val="both"/>
        <w:rPr>
          <w:rFonts w:cs="Times New Roman"/>
          <w:szCs w:val="24"/>
        </w:rPr>
      </w:pPr>
      <w:r w:rsidRPr="002E1AB6">
        <w:rPr>
          <w:rFonts w:cs="Times New Roman"/>
          <w:szCs w:val="24"/>
        </w:rPr>
        <w:t>przepływy kredytowe sektora prywatnego (w % PKB, skonsolidowane, wartość progowa 14%);</w:t>
      </w:r>
    </w:p>
    <w:p w14:paraId="18F75B4C" w14:textId="77777777" w:rsidR="009B59FD" w:rsidRPr="002E1AB6" w:rsidRDefault="009B59FD" w:rsidP="002E1AB6">
      <w:pPr>
        <w:numPr>
          <w:ilvl w:val="0"/>
          <w:numId w:val="6"/>
        </w:numPr>
        <w:spacing w:before="100" w:beforeAutospacing="1" w:after="100" w:afterAutospacing="1"/>
        <w:jc w:val="both"/>
        <w:rPr>
          <w:rFonts w:cs="Times New Roman"/>
          <w:szCs w:val="24"/>
        </w:rPr>
      </w:pPr>
      <w:r w:rsidRPr="002E1AB6">
        <w:rPr>
          <w:rFonts w:cs="Times New Roman"/>
          <w:szCs w:val="24"/>
        </w:rPr>
        <w:t>zadłużenie sektora prywatnego (w % PKB, skonsolidowane, wartość progowa 133%);</w:t>
      </w:r>
    </w:p>
    <w:p w14:paraId="64763FEF" w14:textId="77777777" w:rsidR="009B59FD" w:rsidRPr="002E1AB6" w:rsidRDefault="009B59FD" w:rsidP="002E1AB6">
      <w:pPr>
        <w:numPr>
          <w:ilvl w:val="0"/>
          <w:numId w:val="6"/>
        </w:numPr>
        <w:spacing w:before="100" w:beforeAutospacing="1" w:after="100" w:afterAutospacing="1"/>
        <w:jc w:val="both"/>
        <w:rPr>
          <w:rFonts w:cs="Times New Roman"/>
          <w:szCs w:val="24"/>
        </w:rPr>
      </w:pPr>
      <w:r w:rsidRPr="002E1AB6">
        <w:rPr>
          <w:rFonts w:cs="Times New Roman"/>
          <w:szCs w:val="24"/>
        </w:rPr>
        <w:t>dług sektora instytucji rządowych i samorządowych (w % PKB, skonsolidowany, wartość progowa 60%);</w:t>
      </w:r>
    </w:p>
    <w:p w14:paraId="277F9F0C" w14:textId="77777777" w:rsidR="009B59FD" w:rsidRPr="002E1AB6" w:rsidRDefault="009B59FD" w:rsidP="002E1AB6">
      <w:pPr>
        <w:numPr>
          <w:ilvl w:val="0"/>
          <w:numId w:val="6"/>
        </w:numPr>
        <w:spacing w:before="100" w:beforeAutospacing="1" w:after="100" w:afterAutospacing="1"/>
        <w:jc w:val="both"/>
        <w:rPr>
          <w:rFonts w:cs="Times New Roman"/>
          <w:szCs w:val="24"/>
        </w:rPr>
      </w:pPr>
      <w:r w:rsidRPr="002E1AB6">
        <w:rPr>
          <w:rFonts w:cs="Times New Roman"/>
          <w:szCs w:val="24"/>
        </w:rPr>
        <w:t>zobowiązania ogółem sektora finansowego (zmiana w % w ujęciu rok do roku, wartość progowa +16,5%);</w:t>
      </w:r>
    </w:p>
    <w:p w14:paraId="6605666D" w14:textId="77777777" w:rsidR="009B59FD" w:rsidRPr="002E1AB6" w:rsidRDefault="009B59FD" w:rsidP="002E1AB6">
      <w:pPr>
        <w:numPr>
          <w:ilvl w:val="0"/>
          <w:numId w:val="6"/>
        </w:numPr>
        <w:spacing w:before="100" w:beforeAutospacing="1" w:after="100" w:afterAutospacing="1"/>
        <w:jc w:val="both"/>
        <w:rPr>
          <w:rFonts w:cs="Times New Roman"/>
          <w:szCs w:val="24"/>
        </w:rPr>
      </w:pPr>
      <w:r w:rsidRPr="002E1AB6">
        <w:rPr>
          <w:rFonts w:cs="Times New Roman"/>
          <w:szCs w:val="24"/>
        </w:rPr>
        <w:t>stopa bezrobocia (średnia z 3 lat w %, wartość progowa 10%).</w:t>
      </w:r>
    </w:p>
    <w:p w14:paraId="78373FFB" w14:textId="77777777" w:rsidR="009B59FD" w:rsidRPr="002E1AB6" w:rsidRDefault="009B59FD" w:rsidP="002E1AB6">
      <w:pPr>
        <w:pStyle w:val="NormalnyWeb"/>
        <w:spacing w:line="276" w:lineRule="auto"/>
        <w:jc w:val="both"/>
      </w:pPr>
      <w:r w:rsidRPr="002E1AB6">
        <w:t>Nowe wskaźniki dotyczące zatrudnienia:</w:t>
      </w:r>
    </w:p>
    <w:p w14:paraId="7A9E7EF6" w14:textId="77777777" w:rsidR="009B59FD" w:rsidRPr="002E1AB6" w:rsidRDefault="009B59FD" w:rsidP="002E1AB6">
      <w:pPr>
        <w:numPr>
          <w:ilvl w:val="0"/>
          <w:numId w:val="7"/>
        </w:numPr>
        <w:spacing w:before="100" w:beforeAutospacing="1" w:after="100" w:afterAutospacing="1"/>
        <w:jc w:val="both"/>
        <w:rPr>
          <w:rFonts w:cs="Times New Roman"/>
          <w:szCs w:val="24"/>
        </w:rPr>
      </w:pPr>
      <w:r w:rsidRPr="002E1AB6">
        <w:rPr>
          <w:rFonts w:cs="Times New Roman"/>
          <w:szCs w:val="24"/>
        </w:rPr>
        <w:t xml:space="preserve">współczynnik aktywności zawodowej (% ludności ogółem w wieku 15 – 64 l., zmiana w </w:t>
      </w:r>
      <w:proofErr w:type="spellStart"/>
      <w:r w:rsidRPr="002E1AB6">
        <w:rPr>
          <w:rFonts w:cs="Times New Roman"/>
          <w:szCs w:val="24"/>
        </w:rPr>
        <w:t>p.p</w:t>
      </w:r>
      <w:proofErr w:type="spellEnd"/>
      <w:r w:rsidRPr="002E1AB6">
        <w:rPr>
          <w:rFonts w:cs="Times New Roman"/>
          <w:szCs w:val="24"/>
        </w:rPr>
        <w:t>. za okres 3 lat, wartość progowa −0,2%);</w:t>
      </w:r>
    </w:p>
    <w:p w14:paraId="2D798A18" w14:textId="77777777" w:rsidR="009B59FD" w:rsidRPr="002E1AB6" w:rsidRDefault="009B59FD" w:rsidP="002E1AB6">
      <w:pPr>
        <w:numPr>
          <w:ilvl w:val="0"/>
          <w:numId w:val="7"/>
        </w:numPr>
        <w:spacing w:before="100" w:beforeAutospacing="1" w:after="100" w:afterAutospacing="1"/>
        <w:jc w:val="both"/>
        <w:rPr>
          <w:rFonts w:cs="Times New Roman"/>
          <w:szCs w:val="24"/>
        </w:rPr>
      </w:pPr>
      <w:r w:rsidRPr="002E1AB6">
        <w:rPr>
          <w:rFonts w:cs="Times New Roman"/>
          <w:szCs w:val="24"/>
        </w:rPr>
        <w:t xml:space="preserve">stopa bezrobocia długotrwałego (% ludności aktywnej zawodowo w wieku 15 – 74 l. zmiana w </w:t>
      </w:r>
      <w:proofErr w:type="spellStart"/>
      <w:r w:rsidRPr="002E1AB6">
        <w:rPr>
          <w:rFonts w:cs="Times New Roman"/>
          <w:szCs w:val="24"/>
        </w:rPr>
        <w:t>p.p</w:t>
      </w:r>
      <w:proofErr w:type="spellEnd"/>
      <w:r w:rsidRPr="002E1AB6">
        <w:rPr>
          <w:rFonts w:cs="Times New Roman"/>
          <w:szCs w:val="24"/>
        </w:rPr>
        <w:t>. za okres 3 lat, wartość progowa 0,5%);</w:t>
      </w:r>
    </w:p>
    <w:p w14:paraId="2AB395C2" w14:textId="77777777" w:rsidR="009B59FD" w:rsidRPr="002E1AB6" w:rsidRDefault="009B59FD" w:rsidP="002E1AB6">
      <w:pPr>
        <w:numPr>
          <w:ilvl w:val="0"/>
          <w:numId w:val="7"/>
        </w:numPr>
        <w:spacing w:before="100" w:beforeAutospacing="1" w:after="100" w:afterAutospacing="1"/>
        <w:jc w:val="both"/>
        <w:rPr>
          <w:rFonts w:cs="Times New Roman"/>
          <w:szCs w:val="24"/>
        </w:rPr>
      </w:pPr>
      <w:r w:rsidRPr="002E1AB6">
        <w:rPr>
          <w:rFonts w:cs="Times New Roman"/>
          <w:szCs w:val="24"/>
        </w:rPr>
        <w:t xml:space="preserve">stopa bezrobocia młodzieży (% ludności aktywnej zawodowo w wieku 15 – 24 l., zmiana w </w:t>
      </w:r>
      <w:proofErr w:type="spellStart"/>
      <w:r w:rsidRPr="002E1AB6">
        <w:rPr>
          <w:rFonts w:cs="Times New Roman"/>
          <w:szCs w:val="24"/>
        </w:rPr>
        <w:t>p.p</w:t>
      </w:r>
      <w:proofErr w:type="spellEnd"/>
      <w:r w:rsidRPr="002E1AB6">
        <w:rPr>
          <w:rFonts w:cs="Times New Roman"/>
          <w:szCs w:val="24"/>
        </w:rPr>
        <w:t>. za okres 3 lat, wartość progowa 0,2%.  </w:t>
      </w:r>
    </w:p>
    <w:p w14:paraId="4685018D" w14:textId="77777777" w:rsidR="009B59FD" w:rsidRPr="002E1AB6" w:rsidRDefault="009B59FD" w:rsidP="002E1AB6">
      <w:pPr>
        <w:pStyle w:val="Akapitzlist"/>
        <w:jc w:val="both"/>
        <w:rPr>
          <w:rFonts w:cs="Times New Roman"/>
          <w:szCs w:val="24"/>
        </w:rPr>
      </w:pPr>
    </w:p>
    <w:p w14:paraId="77996266" w14:textId="77777777" w:rsidR="004A226F" w:rsidRPr="002E1AB6" w:rsidRDefault="004A226F" w:rsidP="002E1AB6">
      <w:pPr>
        <w:pStyle w:val="Akapitzlist"/>
        <w:jc w:val="both"/>
        <w:rPr>
          <w:rFonts w:cs="Times New Roman"/>
          <w:szCs w:val="24"/>
        </w:rPr>
      </w:pPr>
    </w:p>
    <w:p w14:paraId="5260DDA3" w14:textId="42F4DE23" w:rsidR="004A226F" w:rsidRPr="002E1AB6" w:rsidRDefault="004A226F" w:rsidP="002E1AB6">
      <w:pPr>
        <w:jc w:val="both"/>
        <w:rPr>
          <w:rFonts w:cs="Times New Roman"/>
          <w:b/>
          <w:szCs w:val="24"/>
        </w:rPr>
      </w:pPr>
      <w:r w:rsidRPr="002E1AB6">
        <w:rPr>
          <w:rFonts w:cs="Times New Roman"/>
          <w:b/>
          <w:szCs w:val="24"/>
        </w:rPr>
        <w:t>Zlecenia dla Polski –</w:t>
      </w:r>
      <w:r w:rsidR="00430108" w:rsidRPr="002E1AB6">
        <w:rPr>
          <w:rFonts w:cs="Times New Roman"/>
          <w:b/>
          <w:szCs w:val="24"/>
        </w:rPr>
        <w:t xml:space="preserve"> </w:t>
      </w:r>
      <w:r w:rsidRPr="002E1AB6">
        <w:rPr>
          <w:rFonts w:cs="Times New Roman"/>
          <w:b/>
          <w:szCs w:val="24"/>
        </w:rPr>
        <w:t xml:space="preserve"> CSR </w:t>
      </w:r>
      <w:r w:rsidR="00430108" w:rsidRPr="002E1AB6">
        <w:rPr>
          <w:rFonts w:cs="Times New Roman"/>
          <w:b/>
          <w:szCs w:val="24"/>
        </w:rPr>
        <w:t xml:space="preserve">– </w:t>
      </w:r>
      <w:r w:rsidR="00906AEE" w:rsidRPr="002E1AB6">
        <w:rPr>
          <w:rFonts w:cs="Times New Roman"/>
          <w:b/>
          <w:szCs w:val="24"/>
        </w:rPr>
        <w:t>cztery</w:t>
      </w:r>
      <w:r w:rsidR="00430108" w:rsidRPr="002E1AB6">
        <w:rPr>
          <w:rFonts w:cs="Times New Roman"/>
          <w:b/>
          <w:szCs w:val="24"/>
        </w:rPr>
        <w:t xml:space="preserve"> ostatnie cykle </w:t>
      </w:r>
    </w:p>
    <w:p w14:paraId="69239658" w14:textId="77777777" w:rsidR="004A226F" w:rsidRPr="002E1AB6" w:rsidRDefault="004A226F" w:rsidP="002E1AB6">
      <w:pPr>
        <w:pStyle w:val="NormalnyWeb"/>
        <w:spacing w:line="276" w:lineRule="auto"/>
        <w:jc w:val="both"/>
        <w:rPr>
          <w:u w:val="single"/>
        </w:rPr>
      </w:pPr>
      <w:r w:rsidRPr="002E1AB6">
        <w:rPr>
          <w:u w:val="single"/>
        </w:rPr>
        <w:t>Rada UE zaleca Polsce podjęcie w latach 2019-2020 działań mających na celu:</w:t>
      </w:r>
    </w:p>
    <w:p w14:paraId="154BAFE6" w14:textId="77777777" w:rsidR="004A226F" w:rsidRPr="002E1AB6" w:rsidRDefault="004A226F" w:rsidP="002E1AB6">
      <w:pPr>
        <w:pStyle w:val="NormalnyWeb"/>
        <w:numPr>
          <w:ilvl w:val="0"/>
          <w:numId w:val="8"/>
        </w:numPr>
        <w:spacing w:line="276" w:lineRule="auto"/>
        <w:jc w:val="both"/>
      </w:pPr>
      <w:r w:rsidRPr="002E1AB6">
        <w:t xml:space="preserve">Zapewnienie, by nominalna stopa wzrostu publicznych wydatków pierwotnych netto nie przekroczyła 4,4 % w 2020 r., co odpowiadałoby rocznej korekcie strukturalnej </w:t>
      </w:r>
      <w:r w:rsidRPr="002E1AB6">
        <w:lastRenderedPageBreak/>
        <w:t>wynoszącej 0,6 % PKB. Podjęcie dalszych działań</w:t>
      </w:r>
      <w:r w:rsidR="00430108" w:rsidRPr="002E1AB6">
        <w:t xml:space="preserve"> </w:t>
      </w:r>
      <w:r w:rsidRPr="002E1AB6">
        <w:t xml:space="preserve">w celu zwiększenia efektywności wydatków publicznych, w tym przez udoskonalenie systemu budżetowego </w:t>
      </w:r>
    </w:p>
    <w:p w14:paraId="13A7BCAF" w14:textId="77777777" w:rsidR="004A226F" w:rsidRPr="002E1AB6" w:rsidRDefault="004A226F" w:rsidP="002E1AB6">
      <w:pPr>
        <w:pStyle w:val="NormalnyWeb"/>
        <w:numPr>
          <w:ilvl w:val="0"/>
          <w:numId w:val="8"/>
        </w:numPr>
        <w:spacing w:line="276" w:lineRule="auto"/>
        <w:jc w:val="both"/>
      </w:pPr>
      <w:r w:rsidRPr="002E1AB6">
        <w:t>Zapewnienie adekwatnej wysokości przyszłych świadczeń emerytalnych i stabilności systemu emerytalnego przez podjęcie środków służących podwyższaniu rzeczywistego wieku przejścia na emeryturę i przez reformę preferencyj</w:t>
      </w:r>
      <w:r w:rsidRPr="002E1AB6">
        <w:softHyphen/>
        <w:t>nych systemów emerytalno-rentowych. Podjęcie działań w celu zwiększenia uczestnictwa w rynku pracy, w tym przez poprawę dostępu do opieki nad dziećmi i do opieki długoterminowej, oraz w celu likwidacji utrzymujących się</w:t>
      </w:r>
      <w:r w:rsidR="00430108" w:rsidRPr="002E1AB6">
        <w:t xml:space="preserve"> </w:t>
      </w:r>
      <w:r w:rsidRPr="002E1AB6">
        <w:t>przeszkód dla bardziej trwałych form zatrudnienia. Wspieranie wysokiej jakości kształcenia i umiejętności odpowia</w:t>
      </w:r>
      <w:r w:rsidRPr="002E1AB6">
        <w:softHyphen/>
        <w:t xml:space="preserve">dających potrzebom rynku pracy, zwłaszcza poprzez kształcenie dorosłych </w:t>
      </w:r>
    </w:p>
    <w:p w14:paraId="24FE4CE8" w14:textId="77777777" w:rsidR="004A226F" w:rsidRPr="002E1AB6" w:rsidRDefault="004A226F" w:rsidP="002E1AB6">
      <w:pPr>
        <w:pStyle w:val="NormalnyWeb"/>
        <w:numPr>
          <w:ilvl w:val="0"/>
          <w:numId w:val="8"/>
        </w:numPr>
        <w:spacing w:line="276" w:lineRule="auto"/>
        <w:jc w:val="both"/>
      </w:pPr>
      <w:r w:rsidRPr="002E1AB6">
        <w:t>Wzmocnienie zdolności gospodarki do innowacji, w tym poprzez wspieranie instytucji badawczych i ich ściślejszej współpracy z przedsiębiorstwami. Ukierunkowanie inwestycyjnej polityki gospodarczej na innowacje, transport, w szczególności jego zrównoważony charakter, na infrastrukturę cyfrową i energetyczną, opiekę zdrowotną oraz czystszą energię, z uwzględnieniem różnic regionalnych. Poprawę otoczenia regulacyjnego, w szczególności poprzez zwiększenie roli konsultacji z partnerami społecznymi i konsultacji publicznych w procesie legislacyjnym.</w:t>
      </w:r>
    </w:p>
    <w:p w14:paraId="4AD9371F" w14:textId="2A5B1093" w:rsidR="004A226F" w:rsidRPr="002E1AB6" w:rsidRDefault="004A226F" w:rsidP="002E1AB6">
      <w:pPr>
        <w:pStyle w:val="NormalnyWeb"/>
        <w:spacing w:line="276" w:lineRule="auto"/>
        <w:ind w:left="720"/>
        <w:jc w:val="both"/>
      </w:pPr>
    </w:p>
    <w:p w14:paraId="029797B2" w14:textId="77777777" w:rsidR="003D4C9F" w:rsidRPr="002E1AB6" w:rsidRDefault="003D4C9F" w:rsidP="002E1AB6">
      <w:pPr>
        <w:pStyle w:val="NormalnyWeb"/>
        <w:spacing w:line="276" w:lineRule="auto"/>
        <w:ind w:left="720"/>
        <w:jc w:val="both"/>
      </w:pPr>
    </w:p>
    <w:p w14:paraId="0A248E1C" w14:textId="299278E4" w:rsidR="004A226F" w:rsidRPr="002E1AB6" w:rsidRDefault="004A226F" w:rsidP="002E1AB6">
      <w:pPr>
        <w:pStyle w:val="NormalnyWeb"/>
        <w:spacing w:line="276" w:lineRule="auto"/>
        <w:jc w:val="both"/>
        <w:rPr>
          <w:u w:val="single"/>
        </w:rPr>
      </w:pPr>
      <w:r w:rsidRPr="002E1AB6">
        <w:rPr>
          <w:u w:val="single"/>
        </w:rPr>
        <w:t>Rada UE zaleca</w:t>
      </w:r>
      <w:r w:rsidR="00906AEE" w:rsidRPr="002E1AB6">
        <w:rPr>
          <w:u w:val="single"/>
        </w:rPr>
        <w:t xml:space="preserve">ła </w:t>
      </w:r>
      <w:r w:rsidRPr="002E1AB6">
        <w:rPr>
          <w:u w:val="single"/>
        </w:rPr>
        <w:t>Polsce podjęcie w latach 2018-2019 działań mających na celu:</w:t>
      </w:r>
    </w:p>
    <w:p w14:paraId="376C8697" w14:textId="77777777" w:rsidR="004A226F" w:rsidRPr="002E1AB6" w:rsidRDefault="004A226F" w:rsidP="002E1AB6">
      <w:pPr>
        <w:jc w:val="both"/>
        <w:rPr>
          <w:rFonts w:cs="Times New Roman"/>
          <w:szCs w:val="24"/>
        </w:rPr>
      </w:pPr>
      <w:r w:rsidRPr="002E1AB6">
        <w:rPr>
          <w:rFonts w:cs="Times New Roman"/>
          <w:szCs w:val="24"/>
        </w:rPr>
        <w:t>1. Zapewnienie, by nominalna stopa wzrostu publicznych wydatków pierwotnych netto nie przekroczyła 4,2 % w 2019 r., co odpowiadałoby rocznej korekcie strukturalnej wynoszącej 0,6 % PKB. Podjęcie działań w celu zwiększenia efektywności wydatków publicznych, w tym przez reformę procesu budżetowego.</w:t>
      </w:r>
    </w:p>
    <w:p w14:paraId="59740E18" w14:textId="77777777" w:rsidR="004A226F" w:rsidRPr="002E1AB6" w:rsidRDefault="004A226F" w:rsidP="002E1AB6">
      <w:pPr>
        <w:jc w:val="both"/>
        <w:rPr>
          <w:rFonts w:cs="Times New Roman"/>
          <w:szCs w:val="24"/>
        </w:rPr>
      </w:pPr>
      <w:r w:rsidRPr="002E1AB6">
        <w:rPr>
          <w:rFonts w:cs="Times New Roman"/>
          <w:szCs w:val="24"/>
        </w:rPr>
        <w:t xml:space="preserve"> 2. Podjęcie działań w celu zwiększenia uczestnictwa w rynku pracy, w tym przez poprawę dostępu do opieki nad dziećmi i rozwój umiejętności przydatnych na rynku pracy, zwłaszcza przez wspieranie uczenia się dorosłych, oraz w celu likwidacji utrzymujących się przeszkód dla bardziej trwałych form zatrudnienia. Zapewnienie stabilności i adekwatności systemu emerytalnego przez wprowadzenie środków służących podwyższeniu rzeczywistego wieku przejścia na emeryturę i przez wdrożenie reformy preferencyjnych systemów emerytalno-rentowych. </w:t>
      </w:r>
    </w:p>
    <w:p w14:paraId="544D943F" w14:textId="77777777" w:rsidR="004A226F" w:rsidRPr="002E1AB6" w:rsidRDefault="004A226F" w:rsidP="002E1AB6">
      <w:pPr>
        <w:jc w:val="both"/>
        <w:rPr>
          <w:rFonts w:cs="Times New Roman"/>
          <w:szCs w:val="24"/>
        </w:rPr>
      </w:pPr>
      <w:r w:rsidRPr="002E1AB6">
        <w:rPr>
          <w:rFonts w:cs="Times New Roman"/>
          <w:szCs w:val="24"/>
        </w:rPr>
        <w:t>3.Wzmocnienie zdolności gospodarki do innowacji, w tym przez wspieranie ściślejszej współpracy pomiędzy przedsiębiorstwami a instytucjami badawczymi. Poprawę otoczenia regulacyjnego, w szczególności przez zapewnienie skutecznych konsultacji publicznych i społecznych w procesie legislacyjnym.</w:t>
      </w:r>
    </w:p>
    <w:p w14:paraId="3F3D1372" w14:textId="77777777" w:rsidR="009B6202" w:rsidRPr="002E1AB6" w:rsidRDefault="009B6202" w:rsidP="002E1AB6">
      <w:pPr>
        <w:jc w:val="both"/>
        <w:rPr>
          <w:rFonts w:cs="Times New Roman"/>
          <w:szCs w:val="24"/>
        </w:rPr>
      </w:pPr>
    </w:p>
    <w:p w14:paraId="251FDF19" w14:textId="436E292C" w:rsidR="004A226F" w:rsidRPr="002E1AB6" w:rsidRDefault="004A226F" w:rsidP="002E1AB6">
      <w:pPr>
        <w:pStyle w:val="NormalnyWeb"/>
        <w:spacing w:line="276" w:lineRule="auto"/>
        <w:jc w:val="both"/>
        <w:rPr>
          <w:u w:val="single"/>
        </w:rPr>
      </w:pPr>
      <w:r w:rsidRPr="002E1AB6">
        <w:rPr>
          <w:u w:val="single"/>
        </w:rPr>
        <w:t>Rada UE zaleca</w:t>
      </w:r>
      <w:r w:rsidR="00906AEE" w:rsidRPr="002E1AB6">
        <w:rPr>
          <w:u w:val="single"/>
        </w:rPr>
        <w:t>ła</w:t>
      </w:r>
      <w:r w:rsidRPr="002E1AB6">
        <w:rPr>
          <w:u w:val="single"/>
        </w:rPr>
        <w:t xml:space="preserve"> Polsce podjęcie w latach 2017-2018 działań mających na celu:</w:t>
      </w:r>
    </w:p>
    <w:p w14:paraId="52BE7E06" w14:textId="77777777" w:rsidR="004A226F" w:rsidRPr="002E1AB6" w:rsidRDefault="00430108" w:rsidP="002E1AB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E1AB6">
        <w:rPr>
          <w:rFonts w:ascii="Times New Roman" w:hAnsi="Times New Roman" w:cs="Times New Roman"/>
          <w:color w:val="auto"/>
        </w:rPr>
        <w:lastRenderedPageBreak/>
        <w:t>1.</w:t>
      </w:r>
      <w:r w:rsidR="004A226F" w:rsidRPr="002E1AB6">
        <w:rPr>
          <w:rFonts w:ascii="Times New Roman" w:hAnsi="Times New Roman" w:cs="Times New Roman"/>
          <w:color w:val="auto"/>
        </w:rPr>
        <w:t>Realizację znacznego wysiłku fiskalnego w 2018 r. zgodnie z wymogami części zapobiegawczej paktu stabilności i wzrostu, z uwzględnieniem potrzeby wzmocnienia obecnego ożywienia koniunktury i zapewnienia stabilności finansów publicznych Polski. Podjęcie działań w celu zwiększenia efektywności wydatków publicznych oraz ograniczenia stosowania stawek obniżonych VAT.</w:t>
      </w:r>
    </w:p>
    <w:p w14:paraId="70F59201" w14:textId="77777777" w:rsidR="004A226F" w:rsidRPr="002E1AB6" w:rsidRDefault="004A226F" w:rsidP="002E1AB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17EF2ACD" w14:textId="77777777" w:rsidR="004A226F" w:rsidRPr="002E1AB6" w:rsidRDefault="00430108" w:rsidP="002E1AB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E1AB6">
        <w:rPr>
          <w:rFonts w:ascii="Times New Roman" w:hAnsi="Times New Roman" w:cs="Times New Roman"/>
          <w:color w:val="auto"/>
        </w:rPr>
        <w:t xml:space="preserve">2. </w:t>
      </w:r>
      <w:r w:rsidR="004A226F" w:rsidRPr="002E1AB6">
        <w:rPr>
          <w:rFonts w:ascii="Times New Roman" w:hAnsi="Times New Roman" w:cs="Times New Roman"/>
          <w:color w:val="auto"/>
        </w:rPr>
        <w:t>Podjęcie działań w celu zwiększenia uczestnictwa w rynku pracy, w szczególności w odniesieniu do kobiet, osób o niskich kwalifikacjach i osób starszych, w tym przez wspieranie odpowiednich umiejętności i usunięcie przeszkód dla bardziej trwałych form zatrudnienia. Zapewnienie stabilności i adekwatności systemu emerytalnego przez wprowadzenie środków służących podwyższeniu rzeczywistego wieku przejścia na emeryturę i przez rozpoczęcie reformy preferencyjnych systemów emerytalno-rentowych.</w:t>
      </w:r>
    </w:p>
    <w:p w14:paraId="4D49A675" w14:textId="77777777" w:rsidR="004A226F" w:rsidRPr="002E1AB6" w:rsidRDefault="004A226F" w:rsidP="002E1AB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1D83A1E2" w14:textId="77777777" w:rsidR="004A226F" w:rsidRPr="002E1AB6" w:rsidRDefault="00430108" w:rsidP="002E1AB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E1AB6">
        <w:rPr>
          <w:rFonts w:ascii="Times New Roman" w:hAnsi="Times New Roman" w:cs="Times New Roman"/>
          <w:color w:val="auto"/>
        </w:rPr>
        <w:t>3.</w:t>
      </w:r>
      <w:r w:rsidR="004A226F" w:rsidRPr="002E1AB6">
        <w:rPr>
          <w:rFonts w:ascii="Times New Roman" w:hAnsi="Times New Roman" w:cs="Times New Roman"/>
          <w:color w:val="auto"/>
        </w:rPr>
        <w:t>Podjęcie działań w celu usunięcia przeszkód dla inwestycji, w szczególności w sektorze transportu.</w:t>
      </w:r>
    </w:p>
    <w:p w14:paraId="5DE62A99" w14:textId="77777777" w:rsidR="009B6202" w:rsidRPr="002E1AB6" w:rsidRDefault="009B6202" w:rsidP="002E1AB6">
      <w:pPr>
        <w:jc w:val="both"/>
        <w:rPr>
          <w:rFonts w:cs="Times New Roman"/>
          <w:szCs w:val="24"/>
        </w:rPr>
      </w:pPr>
    </w:p>
    <w:p w14:paraId="61FD2511" w14:textId="335510D7" w:rsidR="004A226F" w:rsidRPr="002E1AB6" w:rsidRDefault="004A226F" w:rsidP="002E1AB6">
      <w:pPr>
        <w:pStyle w:val="NormalnyWeb"/>
        <w:spacing w:line="276" w:lineRule="auto"/>
        <w:jc w:val="both"/>
        <w:rPr>
          <w:u w:val="single"/>
        </w:rPr>
      </w:pPr>
      <w:r w:rsidRPr="002E1AB6">
        <w:rPr>
          <w:u w:val="single"/>
        </w:rPr>
        <w:t>Rada UE zaleca</w:t>
      </w:r>
      <w:r w:rsidR="00906AEE" w:rsidRPr="002E1AB6">
        <w:rPr>
          <w:u w:val="single"/>
        </w:rPr>
        <w:t>ła</w:t>
      </w:r>
      <w:r w:rsidRPr="002E1AB6">
        <w:rPr>
          <w:u w:val="single"/>
        </w:rPr>
        <w:t xml:space="preserve"> Polsce podjęcie w latach 2016-2017 działań mających na celu:</w:t>
      </w:r>
    </w:p>
    <w:p w14:paraId="4783F62F" w14:textId="77777777" w:rsidR="004A226F" w:rsidRPr="002E1AB6" w:rsidRDefault="004A226F" w:rsidP="002E1AB6">
      <w:pPr>
        <w:pStyle w:val="NormalnyWeb"/>
        <w:spacing w:line="276" w:lineRule="auto"/>
        <w:jc w:val="both"/>
      </w:pPr>
      <w:r w:rsidRPr="002E1AB6">
        <w:t>1. Dokonanie rocznego dostosowania budżetowego w latach 2016 i 2017 w wysokości 0,5 % PKB prowadzącego do osiągnięcia średniookresowego celu budżetowego. Wzmocnienie ram budżetowych, w tym poprzez ustanowienie niezależnej rady budżetowej. Usprawnienie poboru podatków poprzez zapewnienie poprawy przestrzegania przepisów dotyczących podatku VAT oraz ograniczenie nadmiernego stosowania obniżonych stawek VAT.</w:t>
      </w:r>
    </w:p>
    <w:p w14:paraId="2C885054" w14:textId="77777777" w:rsidR="004A226F" w:rsidRPr="002E1AB6" w:rsidRDefault="004A226F" w:rsidP="002E1AB6">
      <w:pPr>
        <w:pStyle w:val="NormalnyWeb"/>
        <w:spacing w:line="276" w:lineRule="auto"/>
        <w:jc w:val="both"/>
      </w:pPr>
      <w:r w:rsidRPr="002E1AB6">
        <w:t xml:space="preserve"> 2. Zapewnienie stabilności i adekwatności systemu emerytalnego oraz zwiększenie uczestnictwa w rynku pracy poprzez rozpoczęcie reformy preferencyjnych systemów emerytalno-rentowych, usunięcie przeszkód dla bardziej trwałych form zatrudnienia oraz lepsze dostosowanie systemów kształcenia i szkolenia do potrzeb rynku pracy.</w:t>
      </w:r>
    </w:p>
    <w:p w14:paraId="047E6589" w14:textId="77777777" w:rsidR="004A226F" w:rsidRPr="002E1AB6" w:rsidRDefault="004A226F" w:rsidP="002E1AB6">
      <w:pPr>
        <w:pStyle w:val="NormalnyWeb"/>
        <w:spacing w:line="276" w:lineRule="auto"/>
        <w:jc w:val="both"/>
      </w:pPr>
      <w:r w:rsidRPr="002E1AB6">
        <w:t xml:space="preserve"> 3. Podjęcie działań w celu usunięcia przeszkód dla inwestycji w infrastrukturę transportową i energetyczną oraz inwestycji infrastrukturalnych w sektorze budowlanym, a także zwiększenie stopnia pokrycia obszarów gmin planami zagospodarowania przestrzennego.</w:t>
      </w:r>
    </w:p>
    <w:p w14:paraId="0009E309" w14:textId="77777777" w:rsidR="009B6202" w:rsidRPr="002E1AB6" w:rsidRDefault="009B6202" w:rsidP="002E1AB6">
      <w:pPr>
        <w:jc w:val="both"/>
        <w:rPr>
          <w:rFonts w:cs="Times New Roman"/>
          <w:szCs w:val="24"/>
        </w:rPr>
      </w:pPr>
    </w:p>
    <w:p w14:paraId="16576E78" w14:textId="77777777" w:rsidR="009B6202" w:rsidRPr="002E1AB6" w:rsidRDefault="009B6202" w:rsidP="002E1AB6">
      <w:pPr>
        <w:jc w:val="both"/>
        <w:rPr>
          <w:rFonts w:cs="Times New Roman"/>
          <w:b/>
          <w:szCs w:val="24"/>
        </w:rPr>
      </w:pPr>
      <w:r w:rsidRPr="002E1AB6">
        <w:rPr>
          <w:rFonts w:cs="Times New Roman"/>
          <w:b/>
          <w:szCs w:val="24"/>
        </w:rPr>
        <w:t>Źródła</w:t>
      </w:r>
      <w:r w:rsidR="00BF4B34" w:rsidRPr="002E1AB6">
        <w:rPr>
          <w:rFonts w:cs="Times New Roman"/>
          <w:b/>
          <w:szCs w:val="24"/>
        </w:rPr>
        <w:t>:</w:t>
      </w:r>
      <w:r w:rsidRPr="002E1AB6">
        <w:rPr>
          <w:rFonts w:cs="Times New Roman"/>
          <w:b/>
          <w:szCs w:val="24"/>
        </w:rPr>
        <w:t xml:space="preserve"> </w:t>
      </w:r>
    </w:p>
    <w:p w14:paraId="3335ACCA" w14:textId="77777777" w:rsidR="009B6202" w:rsidRPr="002E1AB6" w:rsidRDefault="009B6202" w:rsidP="002E1AB6">
      <w:pPr>
        <w:jc w:val="both"/>
        <w:rPr>
          <w:rFonts w:cs="Times New Roman"/>
          <w:szCs w:val="24"/>
        </w:rPr>
      </w:pPr>
      <w:r w:rsidRPr="002E1AB6">
        <w:rPr>
          <w:rFonts w:cs="Times New Roman"/>
          <w:szCs w:val="24"/>
        </w:rPr>
        <w:t>Strona</w:t>
      </w:r>
      <w:r w:rsidR="006D7DAD" w:rsidRPr="002E1AB6">
        <w:rPr>
          <w:rFonts w:cs="Times New Roman"/>
          <w:szCs w:val="24"/>
        </w:rPr>
        <w:t xml:space="preserve"> www</w:t>
      </w:r>
      <w:r w:rsidRPr="002E1AB6">
        <w:rPr>
          <w:rFonts w:cs="Times New Roman"/>
          <w:szCs w:val="24"/>
        </w:rPr>
        <w:t xml:space="preserve"> Rady Europejskiej</w:t>
      </w:r>
      <w:r w:rsidR="00BF4B34" w:rsidRPr="002E1AB6">
        <w:rPr>
          <w:rFonts w:cs="Times New Roman"/>
          <w:szCs w:val="24"/>
        </w:rPr>
        <w:t>/</w:t>
      </w:r>
      <w:r w:rsidRPr="002E1AB6">
        <w:rPr>
          <w:rFonts w:cs="Times New Roman"/>
          <w:szCs w:val="24"/>
        </w:rPr>
        <w:t xml:space="preserve">Rady Unii Europejskiej </w:t>
      </w:r>
    </w:p>
    <w:p w14:paraId="2D32958C" w14:textId="77777777" w:rsidR="009B6202" w:rsidRPr="002E1AB6" w:rsidRDefault="00545E2F" w:rsidP="002E1AB6">
      <w:pPr>
        <w:jc w:val="both"/>
        <w:rPr>
          <w:rFonts w:cs="Times New Roman"/>
          <w:szCs w:val="24"/>
        </w:rPr>
      </w:pPr>
      <w:hyperlink r:id="rId7" w:history="1">
        <w:r w:rsidR="009B6202" w:rsidRPr="002E1AB6">
          <w:rPr>
            <w:rStyle w:val="Hipercze"/>
            <w:rFonts w:cs="Times New Roman"/>
            <w:color w:val="auto"/>
            <w:szCs w:val="24"/>
          </w:rPr>
          <w:t>https://www.consilium.europa.eu/pl/policies/european-semester/</w:t>
        </w:r>
      </w:hyperlink>
    </w:p>
    <w:p w14:paraId="089FED29" w14:textId="77777777" w:rsidR="009B6202" w:rsidRPr="002E1AB6" w:rsidRDefault="006D7DAD" w:rsidP="002E1AB6">
      <w:pPr>
        <w:jc w:val="both"/>
        <w:rPr>
          <w:rFonts w:cs="Times New Roman"/>
          <w:szCs w:val="24"/>
        </w:rPr>
      </w:pPr>
      <w:r w:rsidRPr="002E1AB6">
        <w:rPr>
          <w:rFonts w:cs="Times New Roman"/>
          <w:szCs w:val="24"/>
        </w:rPr>
        <w:t xml:space="preserve">Strona www Ministerstwa Rozwoju </w:t>
      </w:r>
    </w:p>
    <w:p w14:paraId="7A59F470" w14:textId="77777777" w:rsidR="006D7DAD" w:rsidRPr="002E1AB6" w:rsidRDefault="00545E2F" w:rsidP="002E1AB6">
      <w:pPr>
        <w:jc w:val="both"/>
        <w:rPr>
          <w:rFonts w:cs="Times New Roman"/>
          <w:szCs w:val="24"/>
        </w:rPr>
      </w:pPr>
      <w:hyperlink r:id="rId8" w:history="1">
        <w:r w:rsidR="006D7DAD" w:rsidRPr="002E1AB6">
          <w:rPr>
            <w:rStyle w:val="Hipercze"/>
            <w:rFonts w:cs="Times New Roman"/>
            <w:color w:val="auto"/>
            <w:szCs w:val="24"/>
          </w:rPr>
          <w:t>https://www.gov.pl/web/rozwoj/semestr-europejski</w:t>
        </w:r>
      </w:hyperlink>
    </w:p>
    <w:p w14:paraId="680375E1" w14:textId="77777777" w:rsidR="006D7DAD" w:rsidRPr="002E1AB6" w:rsidRDefault="009F0FC7" w:rsidP="002E1AB6">
      <w:pPr>
        <w:jc w:val="both"/>
        <w:rPr>
          <w:rFonts w:cs="Times New Roman"/>
          <w:szCs w:val="24"/>
        </w:rPr>
      </w:pPr>
      <w:r w:rsidRPr="002E1AB6">
        <w:rPr>
          <w:rFonts w:cs="Times New Roman"/>
          <w:szCs w:val="24"/>
        </w:rPr>
        <w:t xml:space="preserve">Stronna www Sejm RP </w:t>
      </w:r>
    </w:p>
    <w:p w14:paraId="67CE290E" w14:textId="77777777" w:rsidR="009B6202" w:rsidRPr="002E1AB6" w:rsidRDefault="00545E2F" w:rsidP="002E1AB6">
      <w:pPr>
        <w:jc w:val="both"/>
        <w:rPr>
          <w:rFonts w:cs="Times New Roman"/>
          <w:szCs w:val="24"/>
        </w:rPr>
      </w:pPr>
      <w:hyperlink r:id="rId9" w:history="1">
        <w:r w:rsidR="009F0FC7" w:rsidRPr="002E1AB6">
          <w:rPr>
            <w:rStyle w:val="Hipercze"/>
            <w:rFonts w:cs="Times New Roman"/>
            <w:color w:val="auto"/>
            <w:szCs w:val="24"/>
          </w:rPr>
          <w:t>http://www.sejm.gov.pl/sejm8.nsf/BASLeksykon.xsp?id=3248D51D40BDF870C1257A64002359D6&amp;litera=S</w:t>
        </w:r>
      </w:hyperlink>
      <w:r w:rsidR="009F0FC7" w:rsidRPr="002E1AB6">
        <w:rPr>
          <w:rFonts w:cs="Times New Roman"/>
          <w:szCs w:val="24"/>
        </w:rPr>
        <w:t xml:space="preserve"> </w:t>
      </w:r>
    </w:p>
    <w:p w14:paraId="6B09E2A3" w14:textId="77777777" w:rsidR="00430108" w:rsidRPr="002E1AB6" w:rsidRDefault="00BF4B34" w:rsidP="002E1AB6">
      <w:pPr>
        <w:jc w:val="both"/>
        <w:rPr>
          <w:rFonts w:cs="Times New Roman"/>
          <w:szCs w:val="24"/>
        </w:rPr>
      </w:pPr>
      <w:r w:rsidRPr="002E1AB6">
        <w:rPr>
          <w:rFonts w:cs="Times New Roman"/>
          <w:szCs w:val="24"/>
        </w:rPr>
        <w:t>Strona www Ministerstwo Rozwoju – informacje dotyczące działania Zespołu Europa 2020</w:t>
      </w:r>
    </w:p>
    <w:p w14:paraId="75487E46" w14:textId="09048002" w:rsidR="00BF4B34" w:rsidRPr="002E1AB6" w:rsidRDefault="00545E2F" w:rsidP="002E1AB6">
      <w:pPr>
        <w:jc w:val="both"/>
        <w:rPr>
          <w:rFonts w:cs="Times New Roman"/>
          <w:szCs w:val="24"/>
        </w:rPr>
      </w:pPr>
      <w:hyperlink r:id="rId10" w:history="1">
        <w:r w:rsidR="00BF4B34" w:rsidRPr="002E1AB6">
          <w:rPr>
            <w:rStyle w:val="Hipercze"/>
            <w:rFonts w:cs="Times New Roman"/>
            <w:color w:val="auto"/>
            <w:szCs w:val="24"/>
          </w:rPr>
          <w:t>https://www.gov.pl/web/rozwoj/zespol-do-spraw-strategi-europa-2020</w:t>
        </w:r>
      </w:hyperlink>
      <w:r w:rsidR="00BF4B34" w:rsidRPr="002E1AB6">
        <w:rPr>
          <w:rFonts w:cs="Times New Roman"/>
          <w:szCs w:val="24"/>
        </w:rPr>
        <w:t xml:space="preserve"> </w:t>
      </w:r>
    </w:p>
    <w:p w14:paraId="0CAF94F6" w14:textId="330B4669" w:rsidR="00F01211" w:rsidRPr="002E1AB6" w:rsidRDefault="00F01211" w:rsidP="002E1AB6">
      <w:pPr>
        <w:jc w:val="both"/>
        <w:rPr>
          <w:rFonts w:cs="Times New Roman"/>
          <w:szCs w:val="24"/>
        </w:rPr>
      </w:pPr>
    </w:p>
    <w:p w14:paraId="419A4ADF" w14:textId="77777777" w:rsidR="00F01211" w:rsidRPr="002E1AB6" w:rsidRDefault="00F01211" w:rsidP="002E1AB6">
      <w:pPr>
        <w:jc w:val="both"/>
        <w:rPr>
          <w:rFonts w:cs="Times New Roman"/>
          <w:szCs w:val="24"/>
        </w:rPr>
      </w:pPr>
    </w:p>
    <w:p w14:paraId="5A432D6A" w14:textId="154B8A5A" w:rsidR="00F01211" w:rsidRPr="002E1AB6" w:rsidRDefault="00F01211" w:rsidP="002E1AB6">
      <w:pPr>
        <w:jc w:val="both"/>
        <w:rPr>
          <w:rFonts w:cs="Times New Roman"/>
          <w:b/>
          <w:bCs/>
          <w:szCs w:val="24"/>
          <w:u w:val="single"/>
        </w:rPr>
      </w:pPr>
      <w:r w:rsidRPr="002E1AB6">
        <w:rPr>
          <w:rFonts w:cs="Times New Roman"/>
          <w:b/>
          <w:bCs/>
          <w:szCs w:val="24"/>
          <w:u w:val="single"/>
        </w:rPr>
        <w:t xml:space="preserve">Materiały dodatkowe </w:t>
      </w:r>
    </w:p>
    <w:p w14:paraId="0E076582" w14:textId="77777777" w:rsidR="001C2DEE" w:rsidRPr="002E1AB6" w:rsidRDefault="001C2DEE" w:rsidP="002E1AB6">
      <w:pPr>
        <w:jc w:val="both"/>
        <w:rPr>
          <w:rFonts w:cs="Times New Roman"/>
          <w:b/>
          <w:bCs/>
          <w:szCs w:val="24"/>
          <w:u w:val="single"/>
        </w:rPr>
      </w:pPr>
    </w:p>
    <w:p w14:paraId="6D6CDDE6" w14:textId="2F6EFC55" w:rsidR="00F01211" w:rsidRPr="002E1AB6" w:rsidRDefault="00F01211" w:rsidP="002E1AB6">
      <w:pPr>
        <w:jc w:val="both"/>
        <w:rPr>
          <w:rFonts w:cs="Times New Roman"/>
          <w:szCs w:val="24"/>
        </w:rPr>
      </w:pPr>
      <w:r w:rsidRPr="002E1AB6">
        <w:rPr>
          <w:rFonts w:cs="Times New Roman"/>
          <w:szCs w:val="24"/>
        </w:rPr>
        <w:t xml:space="preserve">Europejski Filar Praw Socjalnych - </w:t>
      </w:r>
      <w:hyperlink r:id="rId11" w:history="1">
        <w:r w:rsidRPr="002E1AB6">
          <w:rPr>
            <w:rStyle w:val="Hipercze"/>
            <w:rFonts w:cs="Times New Roman"/>
            <w:color w:val="auto"/>
            <w:szCs w:val="24"/>
          </w:rPr>
          <w:t>https://ec.europa.eu/commission/priorities/deeper-and-fairer-economic-and-monetary-union/euro</w:t>
        </w:r>
        <w:bookmarkStart w:id="0" w:name="_GoBack"/>
        <w:bookmarkEnd w:id="0"/>
        <w:r w:rsidRPr="002E1AB6">
          <w:rPr>
            <w:rStyle w:val="Hipercze"/>
            <w:rFonts w:cs="Times New Roman"/>
            <w:color w:val="auto"/>
            <w:szCs w:val="24"/>
          </w:rPr>
          <w:t>pean-pillar-social-rights/european-pillar-social-rights-20-principles_pl</w:t>
        </w:r>
      </w:hyperlink>
      <w:r w:rsidRPr="002E1AB6">
        <w:rPr>
          <w:rFonts w:cs="Times New Roman"/>
          <w:szCs w:val="24"/>
        </w:rPr>
        <w:t xml:space="preserve"> </w:t>
      </w:r>
    </w:p>
    <w:p w14:paraId="4FD31FCC" w14:textId="2105851F" w:rsidR="001C2DEE" w:rsidRPr="002E1AB6" w:rsidRDefault="001C2DEE" w:rsidP="002E1AB6">
      <w:pPr>
        <w:jc w:val="both"/>
        <w:rPr>
          <w:rFonts w:cs="Times New Roman"/>
          <w:szCs w:val="24"/>
        </w:rPr>
      </w:pPr>
      <w:r w:rsidRPr="002E1AB6">
        <w:rPr>
          <w:rFonts w:cs="Times New Roman"/>
          <w:szCs w:val="24"/>
        </w:rPr>
        <w:t>Cele zrównoważonego rozwoju</w:t>
      </w:r>
      <w:r w:rsidR="002E1AB6" w:rsidRPr="002E1AB6">
        <w:rPr>
          <w:rFonts w:cs="Times New Roman"/>
          <w:szCs w:val="24"/>
        </w:rPr>
        <w:t xml:space="preserve"> Organizacja Narodów Zjednoczonych </w:t>
      </w:r>
      <w:r w:rsidRPr="002E1AB6">
        <w:rPr>
          <w:rFonts w:cs="Times New Roman"/>
          <w:szCs w:val="24"/>
        </w:rPr>
        <w:t xml:space="preserve"> - </w:t>
      </w:r>
      <w:hyperlink r:id="rId12" w:history="1">
        <w:r w:rsidRPr="002E1AB6">
          <w:rPr>
            <w:rStyle w:val="Hipercze"/>
            <w:rFonts w:cs="Times New Roman"/>
            <w:color w:val="auto"/>
            <w:szCs w:val="24"/>
          </w:rPr>
          <w:t>http://www.un.org.pl/</w:t>
        </w:r>
      </w:hyperlink>
      <w:r w:rsidRPr="002E1AB6">
        <w:rPr>
          <w:rFonts w:cs="Times New Roman"/>
          <w:szCs w:val="24"/>
        </w:rPr>
        <w:t xml:space="preserve"> </w:t>
      </w:r>
    </w:p>
    <w:p w14:paraId="193CFDE8" w14:textId="4CCDD24A" w:rsidR="001C2DEE" w:rsidRPr="002E1AB6" w:rsidRDefault="001C2DEE" w:rsidP="002E1AB6">
      <w:pPr>
        <w:jc w:val="both"/>
        <w:rPr>
          <w:rFonts w:cs="Times New Roman"/>
          <w:szCs w:val="24"/>
        </w:rPr>
      </w:pPr>
    </w:p>
    <w:p w14:paraId="0F094537" w14:textId="31C5E982" w:rsidR="001C2DEE" w:rsidRPr="002E1AB6" w:rsidRDefault="001C2DEE" w:rsidP="002E1AB6">
      <w:pPr>
        <w:jc w:val="both"/>
        <w:rPr>
          <w:rFonts w:cs="Times New Roman"/>
          <w:szCs w:val="24"/>
        </w:rPr>
      </w:pPr>
      <w:r w:rsidRPr="002E1AB6">
        <w:rPr>
          <w:rFonts w:cs="Times New Roman"/>
          <w:szCs w:val="24"/>
        </w:rPr>
        <w:t xml:space="preserve">Europejski Filar Praw Socjalnych </w:t>
      </w:r>
    </w:p>
    <w:p w14:paraId="0FC37975" w14:textId="77777777" w:rsidR="00F01211" w:rsidRPr="002E1AB6" w:rsidRDefault="00F01211" w:rsidP="002E1AB6">
      <w:pPr>
        <w:pStyle w:val="NormalnyWeb"/>
        <w:spacing w:line="276" w:lineRule="auto"/>
        <w:jc w:val="both"/>
      </w:pPr>
      <w:r w:rsidRPr="002E1AB6">
        <w:t xml:space="preserve">Europejski filar praw socjalnych przewiduje zarówno </w:t>
      </w:r>
      <w:r w:rsidRPr="002E1AB6">
        <w:rPr>
          <w:rStyle w:val="Pogrubienie"/>
        </w:rPr>
        <w:t>nowe prawa dla obywateli, jak i zmierza do ułatwienia im skuteczniejszego egzekwowania praw, które już im przysługują</w:t>
      </w:r>
      <w:r w:rsidRPr="002E1AB6">
        <w:t>. Europejski filar praw socjalnych opiera się na 20 podstawowych zasadach uporządkowanych według trzech następujących kategorii:</w:t>
      </w:r>
    </w:p>
    <w:p w14:paraId="59173579" w14:textId="77777777" w:rsidR="00F01211" w:rsidRPr="002E1AB6" w:rsidRDefault="00F01211" w:rsidP="002E1AB6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cs="Times New Roman"/>
          <w:szCs w:val="24"/>
        </w:rPr>
      </w:pPr>
      <w:r w:rsidRPr="002E1AB6">
        <w:rPr>
          <w:rFonts w:cs="Times New Roman"/>
          <w:szCs w:val="24"/>
        </w:rPr>
        <w:t>równe szanse i dostęp do zatrudnienia</w:t>
      </w:r>
    </w:p>
    <w:p w14:paraId="6A6B5718" w14:textId="77777777" w:rsidR="00F01211" w:rsidRPr="002E1AB6" w:rsidRDefault="00F01211" w:rsidP="002E1AB6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cs="Times New Roman"/>
          <w:szCs w:val="24"/>
        </w:rPr>
      </w:pPr>
      <w:r w:rsidRPr="002E1AB6">
        <w:rPr>
          <w:rFonts w:cs="Times New Roman"/>
          <w:szCs w:val="24"/>
        </w:rPr>
        <w:t>uczciwe warunki pracy</w:t>
      </w:r>
    </w:p>
    <w:p w14:paraId="32F92264" w14:textId="77777777" w:rsidR="00F01211" w:rsidRPr="002E1AB6" w:rsidRDefault="00F01211" w:rsidP="002E1AB6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cs="Times New Roman"/>
          <w:szCs w:val="24"/>
        </w:rPr>
      </w:pPr>
      <w:r w:rsidRPr="002E1AB6">
        <w:rPr>
          <w:rFonts w:cs="Times New Roman"/>
          <w:szCs w:val="24"/>
        </w:rPr>
        <w:t>ochrona socjalna i integracja społeczna.</w:t>
      </w:r>
    </w:p>
    <w:p w14:paraId="1AA914AC" w14:textId="77777777" w:rsidR="00F01211" w:rsidRPr="002E1AB6" w:rsidRDefault="00F01211" w:rsidP="002E1AB6">
      <w:pPr>
        <w:pStyle w:val="NormalnyWeb"/>
        <w:spacing w:line="276" w:lineRule="auto"/>
        <w:jc w:val="both"/>
      </w:pPr>
      <w:r w:rsidRPr="002E1AB6">
        <w:t> </w:t>
      </w:r>
    </w:p>
    <w:p w14:paraId="638AC2C1" w14:textId="77777777" w:rsidR="00F01211" w:rsidRPr="002E1AB6" w:rsidRDefault="00F01211" w:rsidP="002E1AB6">
      <w:pPr>
        <w:pStyle w:val="Nagwek2"/>
        <w:spacing w:line="276" w:lineRule="auto"/>
        <w:jc w:val="both"/>
        <w:rPr>
          <w:sz w:val="24"/>
          <w:szCs w:val="24"/>
        </w:rPr>
      </w:pPr>
      <w:r w:rsidRPr="002E1AB6">
        <w:rPr>
          <w:sz w:val="24"/>
          <w:szCs w:val="24"/>
        </w:rPr>
        <w:t>Kategoria I: równe szanse i dostęp do zatrudnienia</w:t>
      </w:r>
    </w:p>
    <w:p w14:paraId="5D5E4FC3" w14:textId="77777777" w:rsidR="00F01211" w:rsidRPr="002E1AB6" w:rsidRDefault="00F01211" w:rsidP="002E1AB6">
      <w:pPr>
        <w:pStyle w:val="Nagwek3"/>
        <w:jc w:val="both"/>
        <w:rPr>
          <w:rFonts w:ascii="Times New Roman" w:hAnsi="Times New Roman" w:cs="Times New Roman"/>
          <w:color w:val="auto"/>
          <w:szCs w:val="24"/>
        </w:rPr>
      </w:pPr>
      <w:r w:rsidRPr="002E1AB6">
        <w:rPr>
          <w:rStyle w:val="Pogrubienie"/>
          <w:rFonts w:ascii="Times New Roman" w:hAnsi="Times New Roman" w:cs="Times New Roman"/>
          <w:b/>
          <w:bCs/>
          <w:color w:val="auto"/>
          <w:szCs w:val="24"/>
        </w:rPr>
        <w:t xml:space="preserve">1. Kształcenie, szkolenie i uczenie się przez całe życie </w:t>
      </w:r>
    </w:p>
    <w:p w14:paraId="0626CA07" w14:textId="77777777" w:rsidR="00F01211" w:rsidRPr="002E1AB6" w:rsidRDefault="00F01211" w:rsidP="002E1AB6">
      <w:pPr>
        <w:pStyle w:val="NormalnyWeb"/>
        <w:spacing w:line="276" w:lineRule="auto"/>
        <w:jc w:val="both"/>
      </w:pPr>
      <w:r w:rsidRPr="002E1AB6">
        <w:t>Każdy ma prawo do edukacji włączającej, charakteryzującej się dobrą jakością, szkoleń i uczenia się przez całe życie w celu utrzymania i nabywania umiejętności, które pozwolą mu w pełni uczestniczyć w życiu społeczeństwa i skutecznie radzić sobie ze zmianami na rynku pracy.</w:t>
      </w:r>
    </w:p>
    <w:p w14:paraId="19212E62" w14:textId="77777777" w:rsidR="00F01211" w:rsidRPr="002E1AB6" w:rsidRDefault="00F01211" w:rsidP="002E1AB6">
      <w:pPr>
        <w:pStyle w:val="Nagwek3"/>
        <w:jc w:val="both"/>
        <w:rPr>
          <w:rFonts w:ascii="Times New Roman" w:hAnsi="Times New Roman" w:cs="Times New Roman"/>
          <w:color w:val="auto"/>
          <w:szCs w:val="24"/>
        </w:rPr>
      </w:pPr>
      <w:r w:rsidRPr="002E1AB6">
        <w:rPr>
          <w:rStyle w:val="Pogrubienie"/>
          <w:rFonts w:ascii="Times New Roman" w:hAnsi="Times New Roman" w:cs="Times New Roman"/>
          <w:b/>
          <w:bCs/>
          <w:color w:val="auto"/>
          <w:szCs w:val="24"/>
        </w:rPr>
        <w:lastRenderedPageBreak/>
        <w:t xml:space="preserve">2. Równouprawnienie płci </w:t>
      </w:r>
    </w:p>
    <w:p w14:paraId="28FD3627" w14:textId="77777777" w:rsidR="00F01211" w:rsidRPr="002E1AB6" w:rsidRDefault="00F01211" w:rsidP="002E1AB6">
      <w:pPr>
        <w:pStyle w:val="NormalnyWeb"/>
        <w:spacing w:line="276" w:lineRule="auto"/>
        <w:jc w:val="both"/>
      </w:pPr>
      <w:r w:rsidRPr="002E1AB6">
        <w:t>Należy zapewnić i wspierać równość traktowania i szans kobiet i mężczyzn we wszystkich dziedzinach, w tym w odniesieniu do udziału w rynku pracy, warunków zatrudnienia i możliwości rozwoju kariery.</w:t>
      </w:r>
    </w:p>
    <w:p w14:paraId="151333C3" w14:textId="77777777" w:rsidR="00F01211" w:rsidRPr="002E1AB6" w:rsidRDefault="00F01211" w:rsidP="002E1AB6">
      <w:pPr>
        <w:pStyle w:val="NormalnyWeb"/>
        <w:spacing w:line="276" w:lineRule="auto"/>
        <w:jc w:val="both"/>
      </w:pPr>
      <w:r w:rsidRPr="002E1AB6">
        <w:t>Kobiety i mężczyźni mają prawo do równego wynagrodzenia za pracę o równej wartości.</w:t>
      </w:r>
    </w:p>
    <w:p w14:paraId="1CB57F28" w14:textId="77777777" w:rsidR="00F01211" w:rsidRPr="002E1AB6" w:rsidRDefault="00F01211" w:rsidP="002E1AB6">
      <w:pPr>
        <w:pStyle w:val="Nagwek3"/>
        <w:jc w:val="both"/>
        <w:rPr>
          <w:rFonts w:ascii="Times New Roman" w:hAnsi="Times New Roman" w:cs="Times New Roman"/>
          <w:color w:val="auto"/>
          <w:szCs w:val="24"/>
        </w:rPr>
      </w:pPr>
      <w:r w:rsidRPr="002E1AB6">
        <w:rPr>
          <w:rStyle w:val="Pogrubienie"/>
          <w:rFonts w:ascii="Times New Roman" w:hAnsi="Times New Roman" w:cs="Times New Roman"/>
          <w:b/>
          <w:bCs/>
          <w:color w:val="auto"/>
          <w:szCs w:val="24"/>
        </w:rPr>
        <w:t>3. Równe szanse</w:t>
      </w:r>
    </w:p>
    <w:p w14:paraId="79DBE7A9" w14:textId="77777777" w:rsidR="00F01211" w:rsidRPr="002E1AB6" w:rsidRDefault="00F01211" w:rsidP="002E1AB6">
      <w:pPr>
        <w:pStyle w:val="NormalnyWeb"/>
        <w:spacing w:line="276" w:lineRule="auto"/>
        <w:jc w:val="both"/>
      </w:pPr>
      <w:r w:rsidRPr="002E1AB6">
        <w:t>Bez względu na płeć, rasę lub pochodzenie etniczne, religię lub światopogląd, niepełnosprawność, wiek lub orientację seksualną, każdy ma prawo do równego traktowania i równych szans w dziedzinie zatrudnienia, ochrony socjalnej, edukacji, a także dostępu do dóbr i usług dostępnych dla społeczeństwa. Należy wspierać równe szanse grup niedostatecznie reprezentowanych.</w:t>
      </w:r>
    </w:p>
    <w:p w14:paraId="04533F33" w14:textId="77777777" w:rsidR="00F01211" w:rsidRPr="002E1AB6" w:rsidRDefault="00F01211" w:rsidP="002E1AB6">
      <w:pPr>
        <w:pStyle w:val="Nagwek3"/>
        <w:jc w:val="both"/>
        <w:rPr>
          <w:rFonts w:ascii="Times New Roman" w:hAnsi="Times New Roman" w:cs="Times New Roman"/>
          <w:color w:val="auto"/>
          <w:szCs w:val="24"/>
        </w:rPr>
      </w:pPr>
      <w:r w:rsidRPr="002E1AB6">
        <w:rPr>
          <w:rStyle w:val="Pogrubienie"/>
          <w:rFonts w:ascii="Times New Roman" w:hAnsi="Times New Roman" w:cs="Times New Roman"/>
          <w:b/>
          <w:bCs/>
          <w:color w:val="auto"/>
          <w:szCs w:val="24"/>
        </w:rPr>
        <w:t>4.</w:t>
      </w:r>
      <w:r w:rsidRPr="002E1AB6">
        <w:rPr>
          <w:rFonts w:ascii="Times New Roman" w:hAnsi="Times New Roman" w:cs="Times New Roman"/>
          <w:color w:val="auto"/>
          <w:szCs w:val="24"/>
        </w:rPr>
        <w:t xml:space="preserve"> </w:t>
      </w:r>
      <w:r w:rsidRPr="002E1AB6">
        <w:rPr>
          <w:rStyle w:val="Pogrubienie"/>
          <w:rFonts w:ascii="Times New Roman" w:hAnsi="Times New Roman" w:cs="Times New Roman"/>
          <w:b/>
          <w:bCs/>
          <w:color w:val="auto"/>
          <w:szCs w:val="24"/>
        </w:rPr>
        <w:t xml:space="preserve">Aktywne wsparcie na rzecz zatrudnienia </w:t>
      </w:r>
    </w:p>
    <w:p w14:paraId="08AC444C" w14:textId="77777777" w:rsidR="00F01211" w:rsidRPr="002E1AB6" w:rsidRDefault="00F01211" w:rsidP="002E1AB6">
      <w:pPr>
        <w:pStyle w:val="NormalnyWeb"/>
        <w:spacing w:line="276" w:lineRule="auto"/>
        <w:jc w:val="both"/>
      </w:pPr>
      <w:r w:rsidRPr="002E1AB6">
        <w:t>Każdy ma prawo do terminowego i dostosowanego do potrzeb wsparcia na rzecz poprawy perspektyw zatrudnienia lub prowadzenia działalności na własny rachunek. Obejmuje to prawo do otrzymania wsparcia w poszukiwaniu pracy, szkoleniu się i zmianie kwalifikacji zawodowych. Każdy ma prawo do przeniesienia uprawnień do ochrony socjalnej i do szkolenia w trakcie przekwalifikowania zawodowego.</w:t>
      </w:r>
    </w:p>
    <w:p w14:paraId="53C4D6FF" w14:textId="77777777" w:rsidR="00F01211" w:rsidRPr="002E1AB6" w:rsidRDefault="00F01211" w:rsidP="002E1AB6">
      <w:pPr>
        <w:pStyle w:val="NormalnyWeb"/>
        <w:spacing w:line="276" w:lineRule="auto"/>
        <w:jc w:val="both"/>
      </w:pPr>
      <w:r w:rsidRPr="002E1AB6">
        <w:t>Młodzi ludzie mają prawo do dalszego kształcenia, przyuczenia do zawodu, stażu lub dobrej oferty zatrudnienia w ciągu 4 miesięcy od uzyskania statusu bezrobotnego lub ukończenia edukacji.</w:t>
      </w:r>
    </w:p>
    <w:p w14:paraId="4178E81A" w14:textId="77777777" w:rsidR="00F01211" w:rsidRPr="002E1AB6" w:rsidRDefault="00F01211" w:rsidP="002E1AB6">
      <w:pPr>
        <w:pStyle w:val="NormalnyWeb"/>
        <w:spacing w:line="276" w:lineRule="auto"/>
        <w:jc w:val="both"/>
      </w:pPr>
      <w:r w:rsidRPr="002E1AB6">
        <w:t>Osoby bezrobotne mają prawo do ciągłego i konsekwentnego wsparcia dostosowanego do ich indywidualnych potrzeb. Osoby długotrwale bezrobotne mają prawo do dogłębnej indywidualnej oceny najpóźniej do 18. miesiąca bezrobocia.</w:t>
      </w:r>
    </w:p>
    <w:p w14:paraId="566D03C3" w14:textId="77777777" w:rsidR="00F01211" w:rsidRPr="002E1AB6" w:rsidRDefault="00F01211" w:rsidP="002E1AB6">
      <w:pPr>
        <w:pStyle w:val="Nagwek2"/>
        <w:spacing w:line="276" w:lineRule="auto"/>
        <w:jc w:val="both"/>
        <w:rPr>
          <w:sz w:val="24"/>
          <w:szCs w:val="24"/>
        </w:rPr>
      </w:pPr>
      <w:r w:rsidRPr="002E1AB6">
        <w:rPr>
          <w:sz w:val="24"/>
          <w:szCs w:val="24"/>
        </w:rPr>
        <w:t>Kategoria II: uczciwe warunki pracy</w:t>
      </w:r>
    </w:p>
    <w:p w14:paraId="2F363345" w14:textId="77777777" w:rsidR="00F01211" w:rsidRPr="002E1AB6" w:rsidRDefault="00F01211" w:rsidP="002E1AB6">
      <w:pPr>
        <w:pStyle w:val="Nagwek3"/>
        <w:jc w:val="both"/>
        <w:rPr>
          <w:rFonts w:ascii="Times New Roman" w:hAnsi="Times New Roman" w:cs="Times New Roman"/>
          <w:color w:val="auto"/>
          <w:szCs w:val="24"/>
        </w:rPr>
      </w:pPr>
      <w:r w:rsidRPr="002E1AB6">
        <w:rPr>
          <w:rStyle w:val="Pogrubienie"/>
          <w:rFonts w:ascii="Times New Roman" w:hAnsi="Times New Roman" w:cs="Times New Roman"/>
          <w:b/>
          <w:bCs/>
          <w:color w:val="auto"/>
          <w:szCs w:val="24"/>
        </w:rPr>
        <w:t xml:space="preserve">5. Bezpieczne i elastyczne zatrudnienie </w:t>
      </w:r>
    </w:p>
    <w:p w14:paraId="4D59B954" w14:textId="77777777" w:rsidR="00F01211" w:rsidRPr="002E1AB6" w:rsidRDefault="00F01211" w:rsidP="002E1AB6">
      <w:pPr>
        <w:pStyle w:val="NormalnyWeb"/>
        <w:spacing w:line="276" w:lineRule="auto"/>
        <w:jc w:val="both"/>
      </w:pPr>
      <w:r w:rsidRPr="002E1AB6">
        <w:t>Niezależnie od rodzaju i czasu trwania stosunku pracy, pracownicy mają prawo do sprawiedliwego i równego traktowania w odniesieniu do warunków pracy, dostępu do ochrony socjalnej i szkoleń. Należy wspierać przechodzenie w kierunku otwartych form zatrudnienia.</w:t>
      </w:r>
    </w:p>
    <w:p w14:paraId="0627AE80" w14:textId="77777777" w:rsidR="00F01211" w:rsidRPr="002E1AB6" w:rsidRDefault="00F01211" w:rsidP="002E1AB6">
      <w:pPr>
        <w:pStyle w:val="NormalnyWeb"/>
        <w:spacing w:line="276" w:lineRule="auto"/>
        <w:jc w:val="both"/>
      </w:pPr>
      <w:r w:rsidRPr="002E1AB6">
        <w:t>Zgodnie z prawodawstwem i układami zbiorowymi należy zapewnić pracodawcom niezbędną elastyczność, tak by mogli sprawnie dostosowywać się do zmian zachodzących w kontekście gospodarczym.</w:t>
      </w:r>
    </w:p>
    <w:p w14:paraId="3B5E15F4" w14:textId="77777777" w:rsidR="00F01211" w:rsidRPr="002E1AB6" w:rsidRDefault="00F01211" w:rsidP="002E1AB6">
      <w:pPr>
        <w:pStyle w:val="NormalnyWeb"/>
        <w:spacing w:line="276" w:lineRule="auto"/>
        <w:jc w:val="both"/>
      </w:pPr>
      <w:r w:rsidRPr="002E1AB6">
        <w:lastRenderedPageBreak/>
        <w:t>Należy wspierać innowacyjne formy zatrudnienia, które gwarantują wysoką jakość warunków pracy. Należy zachęcać do przedsiębiorczości i samozatrudnienia. Należy ułatwić mobilność zawodową.</w:t>
      </w:r>
    </w:p>
    <w:p w14:paraId="237D06FC" w14:textId="77777777" w:rsidR="00F01211" w:rsidRPr="002E1AB6" w:rsidRDefault="00F01211" w:rsidP="002E1AB6">
      <w:pPr>
        <w:pStyle w:val="NormalnyWeb"/>
        <w:spacing w:line="276" w:lineRule="auto"/>
        <w:jc w:val="both"/>
      </w:pPr>
      <w:r w:rsidRPr="002E1AB6">
        <w:t>Należy zapobiegać powstawaniu stosunków pracy prowadzących do niepewnych warunków pracy, w tym poprzez wprowadzenie zakazu nadużywania nietypowych umów o pracę. Każdy okres próbny powinien mieć rozsądny czas trwania.</w:t>
      </w:r>
    </w:p>
    <w:p w14:paraId="0E81C71E" w14:textId="77777777" w:rsidR="00F01211" w:rsidRPr="002E1AB6" w:rsidRDefault="00F01211" w:rsidP="002E1AB6">
      <w:pPr>
        <w:pStyle w:val="Nagwek3"/>
        <w:jc w:val="both"/>
        <w:rPr>
          <w:rFonts w:ascii="Times New Roman" w:hAnsi="Times New Roman" w:cs="Times New Roman"/>
          <w:color w:val="auto"/>
          <w:szCs w:val="24"/>
        </w:rPr>
      </w:pPr>
      <w:r w:rsidRPr="002E1AB6">
        <w:rPr>
          <w:rStyle w:val="Pogrubienie"/>
          <w:rFonts w:ascii="Times New Roman" w:hAnsi="Times New Roman" w:cs="Times New Roman"/>
          <w:b/>
          <w:bCs/>
          <w:color w:val="auto"/>
          <w:szCs w:val="24"/>
        </w:rPr>
        <w:t xml:space="preserve">6. Wynagrodzenie </w:t>
      </w:r>
    </w:p>
    <w:p w14:paraId="23C08E03" w14:textId="77777777" w:rsidR="00F01211" w:rsidRPr="002E1AB6" w:rsidRDefault="00F01211" w:rsidP="002E1AB6">
      <w:pPr>
        <w:pStyle w:val="NormalnyWeb"/>
        <w:spacing w:line="276" w:lineRule="auto"/>
        <w:jc w:val="both"/>
      </w:pPr>
      <w:r w:rsidRPr="002E1AB6">
        <w:t>Pracownicy mają prawo do sprawiedliwego wynagrodzenia, które zapewnia przyzwoity poziom życia.</w:t>
      </w:r>
    </w:p>
    <w:p w14:paraId="2D14C0D7" w14:textId="77777777" w:rsidR="00F01211" w:rsidRPr="002E1AB6" w:rsidRDefault="00F01211" w:rsidP="002E1AB6">
      <w:pPr>
        <w:pStyle w:val="NormalnyWeb"/>
        <w:spacing w:line="276" w:lineRule="auto"/>
        <w:jc w:val="both"/>
      </w:pPr>
      <w:r w:rsidRPr="002E1AB6">
        <w:t xml:space="preserve">Należy zadbać o odpowiednie płace minimalne, tak by zapewnić zaspokojenie potrzeb pracownika i jego rodziny w świetle krajowych warunków ekonomicznych i społecznych, przy jednoczesnym zapewnieniu dostępu do zatrudnienia i motywacji do poszukiwania pracy. Należy zapobiegać ubóstwu pracujących. </w:t>
      </w:r>
    </w:p>
    <w:p w14:paraId="1036B0FB" w14:textId="77777777" w:rsidR="00F01211" w:rsidRPr="002E1AB6" w:rsidRDefault="00F01211" w:rsidP="002E1AB6">
      <w:pPr>
        <w:pStyle w:val="NormalnyWeb"/>
        <w:spacing w:line="276" w:lineRule="auto"/>
        <w:jc w:val="both"/>
      </w:pPr>
      <w:r w:rsidRPr="002E1AB6">
        <w:t>Wszystkie wynagrodzenia są ustalane w sposób przejrzysty i przewidywalny, zgodnie z praktyką krajową i z poszanowaniem autonomii partnerów społecznych.</w:t>
      </w:r>
    </w:p>
    <w:p w14:paraId="1D303B7E" w14:textId="77777777" w:rsidR="00F01211" w:rsidRPr="002E1AB6" w:rsidRDefault="00F01211" w:rsidP="002E1AB6">
      <w:pPr>
        <w:pStyle w:val="Nagwek3"/>
        <w:jc w:val="both"/>
        <w:rPr>
          <w:rFonts w:ascii="Times New Roman" w:hAnsi="Times New Roman" w:cs="Times New Roman"/>
          <w:color w:val="auto"/>
          <w:szCs w:val="24"/>
        </w:rPr>
      </w:pPr>
      <w:r w:rsidRPr="002E1AB6">
        <w:rPr>
          <w:rStyle w:val="Pogrubienie"/>
          <w:rFonts w:ascii="Times New Roman" w:hAnsi="Times New Roman" w:cs="Times New Roman"/>
          <w:b/>
          <w:bCs/>
          <w:color w:val="auto"/>
          <w:szCs w:val="24"/>
        </w:rPr>
        <w:t>7. Informacje o warunkach zatrudnienia i ochrona w przypadku zwolnień</w:t>
      </w:r>
    </w:p>
    <w:p w14:paraId="5E670DFD" w14:textId="77777777" w:rsidR="00F01211" w:rsidRPr="002E1AB6" w:rsidRDefault="00F01211" w:rsidP="002E1AB6">
      <w:pPr>
        <w:pStyle w:val="NormalnyWeb"/>
        <w:spacing w:line="276" w:lineRule="auto"/>
        <w:jc w:val="both"/>
      </w:pPr>
      <w:r w:rsidRPr="002E1AB6">
        <w:t>Pracownicy mają prawo otrzymać w momencie nawiązania stosunku pracy pisemną informację o ich prawach i obowiązkach wynikających ze stosunku pracy, w tym w trakcie okresu próbnego. </w:t>
      </w:r>
    </w:p>
    <w:p w14:paraId="32908C1C" w14:textId="77777777" w:rsidR="00F01211" w:rsidRPr="002E1AB6" w:rsidRDefault="00F01211" w:rsidP="002E1AB6">
      <w:pPr>
        <w:pStyle w:val="NormalnyWeb"/>
        <w:spacing w:line="276" w:lineRule="auto"/>
        <w:jc w:val="both"/>
      </w:pPr>
      <w:r w:rsidRPr="002E1AB6">
        <w:t>W przypadku zwolnienia z pracy pracownicy mają prawo do uzyskania wcześniej informacji o przyczynach takiego zwolnienia, przysługuje im również rozsądny okres wypowiedzenia. Mają oni prawo do skutecznego i bezstronnego rozstrzygania sporów, a w przypadku nieuzasadnionego zwolnienia z pracy, prawo do dochodzenia roszczeń, w tym do odpowiedniej rekompensaty.</w:t>
      </w:r>
    </w:p>
    <w:p w14:paraId="6E5BE8E8" w14:textId="77777777" w:rsidR="00F01211" w:rsidRPr="002E1AB6" w:rsidRDefault="00F01211" w:rsidP="002E1AB6">
      <w:pPr>
        <w:pStyle w:val="Nagwek3"/>
        <w:jc w:val="both"/>
        <w:rPr>
          <w:rFonts w:ascii="Times New Roman" w:hAnsi="Times New Roman" w:cs="Times New Roman"/>
          <w:color w:val="auto"/>
          <w:szCs w:val="24"/>
        </w:rPr>
      </w:pPr>
      <w:r w:rsidRPr="002E1AB6">
        <w:rPr>
          <w:rStyle w:val="Pogrubienie"/>
          <w:rFonts w:ascii="Times New Roman" w:hAnsi="Times New Roman" w:cs="Times New Roman"/>
          <w:b/>
          <w:bCs/>
          <w:color w:val="auto"/>
          <w:szCs w:val="24"/>
        </w:rPr>
        <w:t xml:space="preserve">8. Dialog społeczny i społeczne zaangażowanie pracowników </w:t>
      </w:r>
    </w:p>
    <w:p w14:paraId="57030B35" w14:textId="77777777" w:rsidR="00F01211" w:rsidRPr="002E1AB6" w:rsidRDefault="00F01211" w:rsidP="002E1AB6">
      <w:pPr>
        <w:pStyle w:val="NormalnyWeb"/>
        <w:spacing w:line="276" w:lineRule="auto"/>
        <w:jc w:val="both"/>
      </w:pPr>
      <w:r w:rsidRPr="002E1AB6">
        <w:t>Należy prowadzić konsultacje z partnerami społecznymi w sprawie opracowywania i wdrażania polityki gospodarczej i społecznej oraz polityki zatrudnienia zgodnie z praktykami krajowymi. Należy ich zachęcać do negocjowania i zawierania układów zbiorowych w sprawach, które ich dotyczą, z poszanowaniem ich autonomii i prawa do podejmowania działań zbiorowych. W stosownych przypadkach porozumienia zawarte między partnerami społecznymi są wdrażane na szczeblu Unii i jej państw członkowskich.</w:t>
      </w:r>
    </w:p>
    <w:p w14:paraId="2AD1E512" w14:textId="77777777" w:rsidR="00F01211" w:rsidRPr="002E1AB6" w:rsidRDefault="00F01211" w:rsidP="002E1AB6">
      <w:pPr>
        <w:pStyle w:val="NormalnyWeb"/>
        <w:spacing w:line="276" w:lineRule="auto"/>
        <w:jc w:val="both"/>
      </w:pPr>
      <w:r w:rsidRPr="002E1AB6">
        <w:t>Pracownicy lub ich przedstawiciele mają prawo do uzyskiwania informacji i wyrażania swojej opinii w odpowiednim czasie w dotyczących ich kwestiach, w szczególności w odniesieniu do transferów, restrukturyzacji oraz łączenia przedsiębiorstw, a także zwolnień grupowych.</w:t>
      </w:r>
    </w:p>
    <w:p w14:paraId="514D9DD5" w14:textId="77777777" w:rsidR="00F01211" w:rsidRPr="002E1AB6" w:rsidRDefault="00F01211" w:rsidP="002E1AB6">
      <w:pPr>
        <w:pStyle w:val="NormalnyWeb"/>
        <w:spacing w:line="276" w:lineRule="auto"/>
        <w:jc w:val="both"/>
      </w:pPr>
      <w:r w:rsidRPr="002E1AB6">
        <w:lastRenderedPageBreak/>
        <w:t>Zachęca się do wspierania zwiększonej zdolności partnerów społecznych do propagowania dialogu społecznego.</w:t>
      </w:r>
    </w:p>
    <w:p w14:paraId="29ACDA5C" w14:textId="77777777" w:rsidR="00F01211" w:rsidRPr="002E1AB6" w:rsidRDefault="00F01211" w:rsidP="002E1AB6">
      <w:pPr>
        <w:pStyle w:val="Nagwek3"/>
        <w:jc w:val="both"/>
        <w:rPr>
          <w:rFonts w:ascii="Times New Roman" w:hAnsi="Times New Roman" w:cs="Times New Roman"/>
          <w:color w:val="auto"/>
          <w:szCs w:val="24"/>
        </w:rPr>
      </w:pPr>
      <w:r w:rsidRPr="002E1AB6">
        <w:rPr>
          <w:rStyle w:val="Pogrubienie"/>
          <w:rFonts w:ascii="Times New Roman" w:hAnsi="Times New Roman" w:cs="Times New Roman"/>
          <w:b/>
          <w:bCs/>
          <w:color w:val="auto"/>
          <w:szCs w:val="24"/>
        </w:rPr>
        <w:t>9. Równowaga między życiem zawodowym a prywatnym</w:t>
      </w:r>
    </w:p>
    <w:p w14:paraId="6741B710" w14:textId="77777777" w:rsidR="00F01211" w:rsidRPr="002E1AB6" w:rsidRDefault="00F01211" w:rsidP="002E1AB6">
      <w:pPr>
        <w:pStyle w:val="NormalnyWeb"/>
        <w:spacing w:line="276" w:lineRule="auto"/>
        <w:jc w:val="both"/>
      </w:pPr>
      <w:r w:rsidRPr="002E1AB6">
        <w:t>Rodzice oraz osoby pełniące obowiązki opiekunów mają prawo do odpowiednich urlopów, elastycznej organizacji pracy oraz dostępu do usług w zakresie opieki. Kobiety i mężczyźni mają równy dostęp do specjalnych urlopów służących wypełnianiu obowiązków w zakresie opieki oraz należy zachęcać ich do korzystania z takich urlopów w racjonalny sposób.</w:t>
      </w:r>
    </w:p>
    <w:p w14:paraId="5F18D121" w14:textId="77777777" w:rsidR="00F01211" w:rsidRPr="002E1AB6" w:rsidRDefault="00F01211" w:rsidP="002E1AB6">
      <w:pPr>
        <w:pStyle w:val="Nagwek3"/>
        <w:jc w:val="both"/>
        <w:rPr>
          <w:rFonts w:ascii="Times New Roman" w:hAnsi="Times New Roman" w:cs="Times New Roman"/>
          <w:color w:val="auto"/>
          <w:szCs w:val="24"/>
        </w:rPr>
      </w:pPr>
      <w:r w:rsidRPr="002E1AB6">
        <w:rPr>
          <w:rStyle w:val="Pogrubienie"/>
          <w:rFonts w:ascii="Times New Roman" w:hAnsi="Times New Roman" w:cs="Times New Roman"/>
          <w:b/>
          <w:bCs/>
          <w:color w:val="auto"/>
          <w:szCs w:val="24"/>
        </w:rPr>
        <w:t>10. Zdrowe, bezpieczne i dobrze dostosowane środowisko pracy oraz ochrona danych</w:t>
      </w:r>
    </w:p>
    <w:p w14:paraId="561BC38B" w14:textId="77777777" w:rsidR="00F01211" w:rsidRPr="002E1AB6" w:rsidRDefault="00F01211" w:rsidP="002E1AB6">
      <w:pPr>
        <w:pStyle w:val="NormalnyWeb"/>
        <w:spacing w:line="276" w:lineRule="auto"/>
        <w:jc w:val="both"/>
      </w:pPr>
      <w:r w:rsidRPr="002E1AB6">
        <w:t>Pracownicy mają prawo do wysokiego poziomu ochrony zdrowia i bezpieczeństwa w miejscu pracy.</w:t>
      </w:r>
    </w:p>
    <w:p w14:paraId="02297C33" w14:textId="77777777" w:rsidR="00F01211" w:rsidRPr="002E1AB6" w:rsidRDefault="00F01211" w:rsidP="002E1AB6">
      <w:pPr>
        <w:pStyle w:val="NormalnyWeb"/>
        <w:spacing w:line="276" w:lineRule="auto"/>
        <w:jc w:val="both"/>
      </w:pPr>
      <w:r w:rsidRPr="002E1AB6">
        <w:t>Pracownicy mają prawo do środowiska pracy dostosowanego do ich potrzeb zawodowych i które pozwala im przedłużyć okres ich uczestnictwa w rynku pracy.</w:t>
      </w:r>
    </w:p>
    <w:p w14:paraId="0C8E55B2" w14:textId="77777777" w:rsidR="00F01211" w:rsidRPr="002E1AB6" w:rsidRDefault="00F01211" w:rsidP="002E1AB6">
      <w:pPr>
        <w:pStyle w:val="NormalnyWeb"/>
        <w:spacing w:line="276" w:lineRule="auto"/>
        <w:jc w:val="both"/>
      </w:pPr>
      <w:r w:rsidRPr="002E1AB6">
        <w:t>Pracownicy mają prawo do ochrony swoich danych osobowych w kontekście zatrudnienia.</w:t>
      </w:r>
    </w:p>
    <w:p w14:paraId="4B7A44BD" w14:textId="77777777" w:rsidR="00F01211" w:rsidRPr="002E1AB6" w:rsidRDefault="00F01211" w:rsidP="002E1AB6">
      <w:pPr>
        <w:pStyle w:val="Nagwek2"/>
        <w:spacing w:line="276" w:lineRule="auto"/>
        <w:jc w:val="both"/>
        <w:rPr>
          <w:sz w:val="24"/>
          <w:szCs w:val="24"/>
        </w:rPr>
      </w:pPr>
      <w:r w:rsidRPr="002E1AB6">
        <w:rPr>
          <w:sz w:val="24"/>
          <w:szCs w:val="24"/>
        </w:rPr>
        <w:t>Kategoria III: ochrona socjalna i integracja społeczna</w:t>
      </w:r>
    </w:p>
    <w:p w14:paraId="2CABE48A" w14:textId="77777777" w:rsidR="00F01211" w:rsidRPr="002E1AB6" w:rsidRDefault="00F01211" w:rsidP="002E1AB6">
      <w:pPr>
        <w:pStyle w:val="Nagwek3"/>
        <w:jc w:val="both"/>
        <w:rPr>
          <w:rFonts w:ascii="Times New Roman" w:hAnsi="Times New Roman" w:cs="Times New Roman"/>
          <w:color w:val="auto"/>
          <w:szCs w:val="24"/>
        </w:rPr>
      </w:pPr>
      <w:r w:rsidRPr="002E1AB6">
        <w:rPr>
          <w:rStyle w:val="Pogrubienie"/>
          <w:rFonts w:ascii="Times New Roman" w:hAnsi="Times New Roman" w:cs="Times New Roman"/>
          <w:b/>
          <w:bCs/>
          <w:color w:val="auto"/>
          <w:szCs w:val="24"/>
        </w:rPr>
        <w:t xml:space="preserve">11. Opieka nad dziećmi i wsparcie dla dzieci </w:t>
      </w:r>
    </w:p>
    <w:p w14:paraId="596B3D2D" w14:textId="77777777" w:rsidR="00F01211" w:rsidRPr="002E1AB6" w:rsidRDefault="00F01211" w:rsidP="002E1AB6">
      <w:pPr>
        <w:pStyle w:val="NormalnyWeb"/>
        <w:spacing w:line="276" w:lineRule="auto"/>
        <w:jc w:val="both"/>
      </w:pPr>
      <w:r w:rsidRPr="002E1AB6">
        <w:t>Dzieci mają prawo dostępu do wysokiej jakości i przystępnych cenowo usług wczesnej edukacji i opieki nad dziećmi.</w:t>
      </w:r>
    </w:p>
    <w:p w14:paraId="0216C649" w14:textId="77777777" w:rsidR="00F01211" w:rsidRPr="002E1AB6" w:rsidRDefault="00F01211" w:rsidP="002E1AB6">
      <w:pPr>
        <w:pStyle w:val="NormalnyWeb"/>
        <w:spacing w:line="276" w:lineRule="auto"/>
        <w:jc w:val="both"/>
      </w:pPr>
      <w:r w:rsidRPr="002E1AB6">
        <w:t>Dzieci mają prawo do ochrony przed ubóstwem. Dzieci ze środowisk znajdujących się w niekorzystnej sytuacji mają prawo do szczególnych środków służących zwiększeniu równości szans.</w:t>
      </w:r>
    </w:p>
    <w:p w14:paraId="3EC19751" w14:textId="77777777" w:rsidR="00F01211" w:rsidRPr="002E1AB6" w:rsidRDefault="00F01211" w:rsidP="002E1AB6">
      <w:pPr>
        <w:pStyle w:val="Nagwek3"/>
        <w:jc w:val="both"/>
        <w:rPr>
          <w:rFonts w:ascii="Times New Roman" w:hAnsi="Times New Roman" w:cs="Times New Roman"/>
          <w:color w:val="auto"/>
          <w:szCs w:val="24"/>
        </w:rPr>
      </w:pPr>
      <w:r w:rsidRPr="002E1AB6">
        <w:rPr>
          <w:rStyle w:val="Pogrubienie"/>
          <w:rFonts w:ascii="Times New Roman" w:hAnsi="Times New Roman" w:cs="Times New Roman"/>
          <w:b/>
          <w:bCs/>
          <w:color w:val="auto"/>
          <w:szCs w:val="24"/>
        </w:rPr>
        <w:t>12. Ochrona socjalna</w:t>
      </w:r>
    </w:p>
    <w:p w14:paraId="23D6CC21" w14:textId="77777777" w:rsidR="00F01211" w:rsidRPr="002E1AB6" w:rsidRDefault="00F01211" w:rsidP="002E1AB6">
      <w:pPr>
        <w:pStyle w:val="NormalnyWeb"/>
        <w:spacing w:line="276" w:lineRule="auto"/>
        <w:jc w:val="both"/>
      </w:pPr>
      <w:r w:rsidRPr="002E1AB6">
        <w:t>Bez względu na rodzaj i czas trwania ich stosunku pracy, pracownicy i, w porównywalnych warunkach, osoby samozatrudnione mają prawo do odpowiedniej ochrony socjalnej.</w:t>
      </w:r>
    </w:p>
    <w:p w14:paraId="0261E655" w14:textId="77777777" w:rsidR="00F01211" w:rsidRPr="002E1AB6" w:rsidRDefault="00F01211" w:rsidP="002E1AB6">
      <w:pPr>
        <w:pStyle w:val="Nagwek3"/>
        <w:jc w:val="both"/>
        <w:rPr>
          <w:rFonts w:ascii="Times New Roman" w:hAnsi="Times New Roman" w:cs="Times New Roman"/>
          <w:color w:val="auto"/>
          <w:szCs w:val="24"/>
        </w:rPr>
      </w:pPr>
      <w:r w:rsidRPr="002E1AB6">
        <w:rPr>
          <w:rStyle w:val="Pogrubienie"/>
          <w:rFonts w:ascii="Times New Roman" w:hAnsi="Times New Roman" w:cs="Times New Roman"/>
          <w:b/>
          <w:bCs/>
          <w:color w:val="auto"/>
          <w:szCs w:val="24"/>
        </w:rPr>
        <w:t xml:space="preserve">13. Świadczenia dla bezrobotnych </w:t>
      </w:r>
    </w:p>
    <w:p w14:paraId="00CE0447" w14:textId="77777777" w:rsidR="00F01211" w:rsidRPr="002E1AB6" w:rsidRDefault="00F01211" w:rsidP="002E1AB6">
      <w:pPr>
        <w:pStyle w:val="NormalnyWeb"/>
        <w:spacing w:line="276" w:lineRule="auto"/>
        <w:jc w:val="both"/>
      </w:pPr>
      <w:r w:rsidRPr="002E1AB6">
        <w:t>Osoby bezrobotne mają prawo do odpowiedniego wsparcia w zakresie aktywizacji ze strony publicznych służb zatrudnienia służącego (re-) integracji na rynku pracy i do właściwych świadczeń dla bezrobotnych otrzymywanych przez rozsądny czas, odpowiednio do płaconych przez nich składek i zgodnie z krajowymi zasadami kwalifikowalności. Tego rodzaju świadczenia nie powinny stanowić czynnika zniechęcającego do szybkiego powrotu do zatrudnienia.</w:t>
      </w:r>
    </w:p>
    <w:p w14:paraId="7A86D083" w14:textId="77777777" w:rsidR="00F01211" w:rsidRPr="002E1AB6" w:rsidRDefault="00F01211" w:rsidP="002E1AB6">
      <w:pPr>
        <w:pStyle w:val="Nagwek3"/>
        <w:jc w:val="both"/>
        <w:rPr>
          <w:rFonts w:ascii="Times New Roman" w:hAnsi="Times New Roman" w:cs="Times New Roman"/>
          <w:color w:val="auto"/>
          <w:szCs w:val="24"/>
        </w:rPr>
      </w:pPr>
      <w:r w:rsidRPr="002E1AB6">
        <w:rPr>
          <w:rStyle w:val="Pogrubienie"/>
          <w:rFonts w:ascii="Times New Roman" w:hAnsi="Times New Roman" w:cs="Times New Roman"/>
          <w:b/>
          <w:bCs/>
          <w:color w:val="auto"/>
          <w:szCs w:val="24"/>
        </w:rPr>
        <w:lastRenderedPageBreak/>
        <w:t>14. Minimalny dochód</w:t>
      </w:r>
    </w:p>
    <w:p w14:paraId="20FA35AF" w14:textId="77777777" w:rsidR="00F01211" w:rsidRPr="002E1AB6" w:rsidRDefault="00F01211" w:rsidP="002E1AB6">
      <w:pPr>
        <w:pStyle w:val="NormalnyWeb"/>
        <w:spacing w:line="276" w:lineRule="auto"/>
        <w:jc w:val="both"/>
      </w:pPr>
      <w:r w:rsidRPr="002E1AB6">
        <w:t>Każdy, kto nie dysponuje wystarczającymi środkami, ma prawo do odpowiedniego dochodu minimalnego zapewniającego godne życie na wszystkich jego etapach oraz skuteczny dostęp do towarów i usług wspierających. W przypadku osób zdolnych do pracy świadczenia związane z dochodem minimalnym powinny być powiązane z zachętami do (ponownego) włączenia się do rynku pracy.</w:t>
      </w:r>
    </w:p>
    <w:p w14:paraId="39EA4A39" w14:textId="77777777" w:rsidR="00F01211" w:rsidRPr="002E1AB6" w:rsidRDefault="00F01211" w:rsidP="002E1AB6">
      <w:pPr>
        <w:pStyle w:val="Nagwek3"/>
        <w:jc w:val="both"/>
        <w:rPr>
          <w:rFonts w:ascii="Times New Roman" w:hAnsi="Times New Roman" w:cs="Times New Roman"/>
          <w:color w:val="auto"/>
          <w:szCs w:val="24"/>
        </w:rPr>
      </w:pPr>
      <w:r w:rsidRPr="002E1AB6">
        <w:rPr>
          <w:rStyle w:val="Pogrubienie"/>
          <w:rFonts w:ascii="Times New Roman" w:hAnsi="Times New Roman" w:cs="Times New Roman"/>
          <w:b/>
          <w:bCs/>
          <w:color w:val="auto"/>
          <w:szCs w:val="24"/>
        </w:rPr>
        <w:t>15. Świadczenia emerytalne i renty</w:t>
      </w:r>
    </w:p>
    <w:p w14:paraId="6C2E49C4" w14:textId="77777777" w:rsidR="00F01211" w:rsidRPr="002E1AB6" w:rsidRDefault="00F01211" w:rsidP="002E1AB6">
      <w:pPr>
        <w:pStyle w:val="NormalnyWeb"/>
        <w:spacing w:line="276" w:lineRule="auto"/>
        <w:jc w:val="both"/>
      </w:pPr>
      <w:r w:rsidRPr="002E1AB6">
        <w:t>Pracownicy i osoby pracujące na własny rachunek przechodzące na emeryturę mają prawo do emerytury proporcjonalnej do ich składek oraz zapewniającej odpowiedni dochód. Kobiety i mężczyźni mają równe szanse w odniesieniu do nabywania praw emerytalnych.</w:t>
      </w:r>
    </w:p>
    <w:p w14:paraId="46D0D4F8" w14:textId="77777777" w:rsidR="00F01211" w:rsidRPr="002E1AB6" w:rsidRDefault="00F01211" w:rsidP="002E1AB6">
      <w:pPr>
        <w:pStyle w:val="NormalnyWeb"/>
        <w:spacing w:line="276" w:lineRule="auto"/>
        <w:jc w:val="both"/>
      </w:pPr>
      <w:r w:rsidRPr="002E1AB6">
        <w:t>Każda osoba w podeszłym wieku ma prawo do posiadania środków umożliwiających godne życie.</w:t>
      </w:r>
    </w:p>
    <w:p w14:paraId="5487162B" w14:textId="77777777" w:rsidR="00F01211" w:rsidRPr="002E1AB6" w:rsidRDefault="00F01211" w:rsidP="002E1AB6">
      <w:pPr>
        <w:pStyle w:val="Nagwek3"/>
        <w:jc w:val="both"/>
        <w:rPr>
          <w:rFonts w:ascii="Times New Roman" w:hAnsi="Times New Roman" w:cs="Times New Roman"/>
          <w:color w:val="auto"/>
          <w:szCs w:val="24"/>
        </w:rPr>
      </w:pPr>
      <w:r w:rsidRPr="002E1AB6">
        <w:rPr>
          <w:rStyle w:val="Pogrubienie"/>
          <w:rFonts w:ascii="Times New Roman" w:hAnsi="Times New Roman" w:cs="Times New Roman"/>
          <w:b/>
          <w:bCs/>
          <w:color w:val="auto"/>
          <w:szCs w:val="24"/>
        </w:rPr>
        <w:t xml:space="preserve">16. Służba zdrowia </w:t>
      </w:r>
    </w:p>
    <w:p w14:paraId="5D6A54EC" w14:textId="77777777" w:rsidR="00F01211" w:rsidRPr="002E1AB6" w:rsidRDefault="00F01211" w:rsidP="002E1AB6">
      <w:pPr>
        <w:pStyle w:val="NormalnyWeb"/>
        <w:spacing w:line="276" w:lineRule="auto"/>
        <w:jc w:val="both"/>
      </w:pPr>
      <w:r w:rsidRPr="002E1AB6">
        <w:t>Każdy ma prawo do szybkiego dostępu do przystępnej cenowo, profilaktycznej i objawowej opieki zdrowotnej dobrej jakości.</w:t>
      </w:r>
    </w:p>
    <w:p w14:paraId="5348D1C0" w14:textId="77777777" w:rsidR="00F01211" w:rsidRPr="002E1AB6" w:rsidRDefault="00F01211" w:rsidP="002E1AB6">
      <w:pPr>
        <w:pStyle w:val="Nagwek3"/>
        <w:jc w:val="both"/>
        <w:rPr>
          <w:rFonts w:ascii="Times New Roman" w:hAnsi="Times New Roman" w:cs="Times New Roman"/>
          <w:color w:val="auto"/>
          <w:szCs w:val="24"/>
        </w:rPr>
      </w:pPr>
      <w:r w:rsidRPr="002E1AB6">
        <w:rPr>
          <w:rStyle w:val="Pogrubienie"/>
          <w:rFonts w:ascii="Times New Roman" w:hAnsi="Times New Roman" w:cs="Times New Roman"/>
          <w:b/>
          <w:bCs/>
          <w:color w:val="auto"/>
          <w:szCs w:val="24"/>
        </w:rPr>
        <w:t xml:space="preserve">17. Integracja osób niepełnosprawnych </w:t>
      </w:r>
    </w:p>
    <w:p w14:paraId="2BA3A1CC" w14:textId="77777777" w:rsidR="00F01211" w:rsidRPr="002E1AB6" w:rsidRDefault="00F01211" w:rsidP="002E1AB6">
      <w:pPr>
        <w:pStyle w:val="NormalnyWeb"/>
        <w:spacing w:line="276" w:lineRule="auto"/>
        <w:jc w:val="both"/>
      </w:pPr>
      <w:r w:rsidRPr="002E1AB6">
        <w:t>Osoby niepełnosprawne mają prawo do otrzymania wsparcia dochodu, które zapewnia godne życie, usług, które pozwolą im na uczestnictwo w rynku pracy i w życiu społecznym, a także do środowiska pracy dostosowanego do ich potrzeb.</w:t>
      </w:r>
    </w:p>
    <w:p w14:paraId="3F82C9EE" w14:textId="77777777" w:rsidR="00F01211" w:rsidRPr="002E1AB6" w:rsidRDefault="00F01211" w:rsidP="002E1AB6">
      <w:pPr>
        <w:pStyle w:val="Nagwek3"/>
        <w:jc w:val="both"/>
        <w:rPr>
          <w:rFonts w:ascii="Times New Roman" w:hAnsi="Times New Roman" w:cs="Times New Roman"/>
          <w:color w:val="auto"/>
          <w:szCs w:val="24"/>
        </w:rPr>
      </w:pPr>
      <w:r w:rsidRPr="002E1AB6">
        <w:rPr>
          <w:rStyle w:val="Pogrubienie"/>
          <w:rFonts w:ascii="Times New Roman" w:hAnsi="Times New Roman" w:cs="Times New Roman"/>
          <w:b/>
          <w:bCs/>
          <w:color w:val="auto"/>
          <w:szCs w:val="24"/>
        </w:rPr>
        <w:t xml:space="preserve">18. Opieka długoterminowa </w:t>
      </w:r>
    </w:p>
    <w:p w14:paraId="1789797E" w14:textId="77777777" w:rsidR="00F01211" w:rsidRPr="002E1AB6" w:rsidRDefault="00F01211" w:rsidP="002E1AB6">
      <w:pPr>
        <w:pStyle w:val="NormalnyWeb"/>
        <w:spacing w:line="276" w:lineRule="auto"/>
        <w:jc w:val="both"/>
      </w:pPr>
      <w:r w:rsidRPr="002E1AB6">
        <w:t>Każdy ma prawo do przystępnych cenowo i dobrej jakości usług opieki długoterminowej, w szczególności opieki w domu i usług środowiskowych.</w:t>
      </w:r>
    </w:p>
    <w:p w14:paraId="10069BEF" w14:textId="77777777" w:rsidR="00F01211" w:rsidRPr="002E1AB6" w:rsidRDefault="00F01211" w:rsidP="002E1AB6">
      <w:pPr>
        <w:pStyle w:val="Nagwek3"/>
        <w:jc w:val="both"/>
        <w:rPr>
          <w:rFonts w:ascii="Times New Roman" w:hAnsi="Times New Roman" w:cs="Times New Roman"/>
          <w:color w:val="auto"/>
          <w:szCs w:val="24"/>
        </w:rPr>
      </w:pPr>
      <w:r w:rsidRPr="002E1AB6">
        <w:rPr>
          <w:rStyle w:val="Pogrubienie"/>
          <w:rFonts w:ascii="Times New Roman" w:hAnsi="Times New Roman" w:cs="Times New Roman"/>
          <w:b/>
          <w:bCs/>
          <w:color w:val="auto"/>
          <w:szCs w:val="24"/>
        </w:rPr>
        <w:t>19. Mieszkalnictwo i pomoc dla bezdomnych</w:t>
      </w:r>
    </w:p>
    <w:p w14:paraId="6898EC66" w14:textId="77777777" w:rsidR="00F01211" w:rsidRPr="002E1AB6" w:rsidRDefault="00F01211" w:rsidP="002E1AB6">
      <w:pPr>
        <w:pStyle w:val="NormalnyWeb"/>
        <w:spacing w:line="276" w:lineRule="auto"/>
        <w:jc w:val="both"/>
      </w:pPr>
      <w:r w:rsidRPr="002E1AB6">
        <w:t>Należy zapewnić osobom potrzebującym dostęp do mieszkań socjalnych lub pomocy mieszkaniowej dobrej jakości.</w:t>
      </w:r>
    </w:p>
    <w:p w14:paraId="4DB1F752" w14:textId="77777777" w:rsidR="00F01211" w:rsidRPr="002E1AB6" w:rsidRDefault="00F01211" w:rsidP="002E1AB6">
      <w:pPr>
        <w:pStyle w:val="NormalnyWeb"/>
        <w:spacing w:line="276" w:lineRule="auto"/>
        <w:jc w:val="both"/>
      </w:pPr>
      <w:r w:rsidRPr="002E1AB6">
        <w:t>Osoby znajdujące się w trudnej sytuacji mają prawo do odpowiedniej pomocy i ochrony przed przymusową eksmisją.</w:t>
      </w:r>
    </w:p>
    <w:p w14:paraId="3F69DEB4" w14:textId="77777777" w:rsidR="00F01211" w:rsidRPr="002E1AB6" w:rsidRDefault="00F01211" w:rsidP="002E1AB6">
      <w:pPr>
        <w:pStyle w:val="NormalnyWeb"/>
        <w:spacing w:line="276" w:lineRule="auto"/>
        <w:jc w:val="both"/>
      </w:pPr>
      <w:r w:rsidRPr="002E1AB6">
        <w:t>Osoby bezdomne otrzymują odpowiednie schronienie oraz świadczone są na ich rzecz usługi służące promowaniu ich integracji społecznej.</w:t>
      </w:r>
    </w:p>
    <w:p w14:paraId="5B917808" w14:textId="77777777" w:rsidR="00F01211" w:rsidRPr="002E1AB6" w:rsidRDefault="00F01211" w:rsidP="002E1AB6">
      <w:pPr>
        <w:pStyle w:val="Nagwek3"/>
        <w:jc w:val="both"/>
        <w:rPr>
          <w:rFonts w:ascii="Times New Roman" w:hAnsi="Times New Roman" w:cs="Times New Roman"/>
          <w:color w:val="auto"/>
          <w:szCs w:val="24"/>
        </w:rPr>
      </w:pPr>
      <w:r w:rsidRPr="002E1AB6">
        <w:rPr>
          <w:rStyle w:val="Pogrubienie"/>
          <w:rFonts w:ascii="Times New Roman" w:hAnsi="Times New Roman" w:cs="Times New Roman"/>
          <w:b/>
          <w:bCs/>
          <w:color w:val="auto"/>
          <w:szCs w:val="24"/>
        </w:rPr>
        <w:lastRenderedPageBreak/>
        <w:t>20. Dostęp do niezbędnych usług</w:t>
      </w:r>
    </w:p>
    <w:p w14:paraId="76B6A02C" w14:textId="77777777" w:rsidR="00F01211" w:rsidRPr="002E1AB6" w:rsidRDefault="00F01211" w:rsidP="002E1AB6">
      <w:pPr>
        <w:pStyle w:val="NormalnyWeb"/>
        <w:spacing w:line="276" w:lineRule="auto"/>
        <w:jc w:val="both"/>
      </w:pPr>
      <w:r w:rsidRPr="002E1AB6">
        <w:t>Każdy ma prawo dostępu do podstawowych usług dobrej jakości, w tym wody, urządzeń sanitarnych, energii, transportu, usług finansowych i usług łączności cyfrowej. Osoby potrzebujące otrzymają wsparcie w zakresie dostępu do tych usług.</w:t>
      </w:r>
    </w:p>
    <w:p w14:paraId="572BACF2" w14:textId="77777777" w:rsidR="00F01211" w:rsidRPr="002E1AB6" w:rsidRDefault="00F01211" w:rsidP="002E1AB6">
      <w:pPr>
        <w:pStyle w:val="NormalnyWeb"/>
        <w:spacing w:line="276" w:lineRule="auto"/>
        <w:jc w:val="both"/>
      </w:pPr>
      <w:r w:rsidRPr="002E1AB6">
        <w:t> </w:t>
      </w:r>
    </w:p>
    <w:p w14:paraId="48E4236E" w14:textId="77777777" w:rsidR="00F01211" w:rsidRPr="002E1AB6" w:rsidRDefault="00F01211" w:rsidP="002E1AB6">
      <w:pPr>
        <w:jc w:val="both"/>
        <w:rPr>
          <w:rFonts w:cs="Times New Roman"/>
          <w:szCs w:val="24"/>
        </w:rPr>
      </w:pPr>
    </w:p>
    <w:sectPr w:rsidR="00F01211" w:rsidRPr="002E1AB6" w:rsidSect="0060220E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7B207" w14:textId="77777777" w:rsidR="00545E2F" w:rsidRDefault="00545E2F" w:rsidP="002A45F6">
      <w:pPr>
        <w:spacing w:after="0" w:line="240" w:lineRule="auto"/>
      </w:pPr>
      <w:r>
        <w:separator/>
      </w:r>
    </w:p>
  </w:endnote>
  <w:endnote w:type="continuationSeparator" w:id="0">
    <w:p w14:paraId="0C741292" w14:textId="77777777" w:rsidR="00545E2F" w:rsidRDefault="00545E2F" w:rsidP="002A4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97291"/>
      <w:docPartObj>
        <w:docPartGallery w:val="Page Numbers (Bottom of Page)"/>
        <w:docPartUnique/>
      </w:docPartObj>
    </w:sdtPr>
    <w:sdtEndPr/>
    <w:sdtContent>
      <w:p w14:paraId="3DFBD93B" w14:textId="77777777" w:rsidR="002A45F6" w:rsidRDefault="008E0E87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5A5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1C9896C" w14:textId="77777777" w:rsidR="002A45F6" w:rsidRDefault="002A45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11E69" w14:textId="77777777" w:rsidR="00545E2F" w:rsidRDefault="00545E2F" w:rsidP="002A45F6">
      <w:pPr>
        <w:spacing w:after="0" w:line="240" w:lineRule="auto"/>
      </w:pPr>
      <w:r>
        <w:separator/>
      </w:r>
    </w:p>
  </w:footnote>
  <w:footnote w:type="continuationSeparator" w:id="0">
    <w:p w14:paraId="6195A367" w14:textId="77777777" w:rsidR="00545E2F" w:rsidRDefault="00545E2F" w:rsidP="002A4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80472"/>
    <w:multiLevelType w:val="multilevel"/>
    <w:tmpl w:val="5E48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FE652D"/>
    <w:multiLevelType w:val="hybridMultilevel"/>
    <w:tmpl w:val="D3BA8C9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8C061A5"/>
    <w:multiLevelType w:val="multilevel"/>
    <w:tmpl w:val="8B2C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9973B2"/>
    <w:multiLevelType w:val="multilevel"/>
    <w:tmpl w:val="848A2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BC204E"/>
    <w:multiLevelType w:val="multilevel"/>
    <w:tmpl w:val="1898D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B54AEF"/>
    <w:multiLevelType w:val="multilevel"/>
    <w:tmpl w:val="DBF0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A6F913"/>
    <w:multiLevelType w:val="hybridMultilevel"/>
    <w:tmpl w:val="CFD35AD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9BD56BD"/>
    <w:multiLevelType w:val="multilevel"/>
    <w:tmpl w:val="A5B0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577EB0"/>
    <w:multiLevelType w:val="multilevel"/>
    <w:tmpl w:val="0FB4B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6B5753"/>
    <w:multiLevelType w:val="multilevel"/>
    <w:tmpl w:val="D73A5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9A01CE"/>
    <w:multiLevelType w:val="hybridMultilevel"/>
    <w:tmpl w:val="67B4D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9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202"/>
    <w:rsid w:val="00085A5A"/>
    <w:rsid w:val="000A4114"/>
    <w:rsid w:val="001C2DEE"/>
    <w:rsid w:val="002A45F6"/>
    <w:rsid w:val="002E1AB6"/>
    <w:rsid w:val="00334F3D"/>
    <w:rsid w:val="003D4C9F"/>
    <w:rsid w:val="00430108"/>
    <w:rsid w:val="004A226F"/>
    <w:rsid w:val="00545E2F"/>
    <w:rsid w:val="0060220E"/>
    <w:rsid w:val="006D7DAD"/>
    <w:rsid w:val="00710072"/>
    <w:rsid w:val="0085089A"/>
    <w:rsid w:val="008E0E87"/>
    <w:rsid w:val="00906AEE"/>
    <w:rsid w:val="009B59FD"/>
    <w:rsid w:val="009B6202"/>
    <w:rsid w:val="009F0FC7"/>
    <w:rsid w:val="00BF4B34"/>
    <w:rsid w:val="00CA7A2E"/>
    <w:rsid w:val="00EA22D5"/>
    <w:rsid w:val="00F0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6E5A4"/>
  <w15:docId w15:val="{9D2CA865-785B-4580-A85D-8BC8F76E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220E"/>
  </w:style>
  <w:style w:type="paragraph" w:styleId="Nagwek2">
    <w:name w:val="heading 2"/>
    <w:basedOn w:val="Normalny"/>
    <w:link w:val="Nagwek2Znak"/>
    <w:uiPriority w:val="9"/>
    <w:qFormat/>
    <w:rsid w:val="009B620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7D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59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B620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B620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9B6202"/>
    <w:rPr>
      <w:rFonts w:eastAsia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B620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D7DAD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7D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59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4A226F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2A4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A45F6"/>
  </w:style>
  <w:style w:type="paragraph" w:styleId="Stopka">
    <w:name w:val="footer"/>
    <w:basedOn w:val="Normalny"/>
    <w:link w:val="StopkaZnak"/>
    <w:uiPriority w:val="99"/>
    <w:unhideWhenUsed/>
    <w:rsid w:val="002A4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5F6"/>
  </w:style>
  <w:style w:type="character" w:styleId="Odwoaniedokomentarza">
    <w:name w:val="annotation reference"/>
    <w:basedOn w:val="Domylnaczcionkaakapitu"/>
    <w:uiPriority w:val="99"/>
    <w:semiHidden/>
    <w:unhideWhenUsed/>
    <w:rsid w:val="00EA22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22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22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22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22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2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2D5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1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6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1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1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6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6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4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7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8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8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5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8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06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ozwoj/semestr-europejski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onsilium.europa.eu/pl/policies/european-semester/" TargetMode="External"/><Relationship Id="rId12" Type="http://schemas.openxmlformats.org/officeDocument/2006/relationships/hyperlink" Target="http://www.un.org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c.europa.eu/commission/priorities/deeper-and-fairer-economic-and-monetary-union/european-pillar-social-rights/european-pillar-social-rights-20-principles_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ov.pl/web/rozwoj/zespol-do-spraw-strategi-europa-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jm.gov.pl/sejm8.nsf/BASLeksykon.xsp?id=3248D51D40BDF870C1257A64002359D6&amp;litera=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3415</Words>
  <Characters>20496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Basia</cp:lastModifiedBy>
  <cp:revision>3</cp:revision>
  <dcterms:created xsi:type="dcterms:W3CDTF">2020-01-03T08:23:00Z</dcterms:created>
  <dcterms:modified xsi:type="dcterms:W3CDTF">2020-01-03T08:24:00Z</dcterms:modified>
</cp:coreProperties>
</file>